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09D0A0" w14:textId="692AE668" w:rsidR="00415BC5" w:rsidRPr="00AA2617" w:rsidRDefault="00A93F69" w:rsidP="00AA2617">
      <w:pPr>
        <w:spacing w:before="120"/>
        <w:jc w:val="center"/>
        <w:rPr>
          <w:rFonts w:eastAsia="Times New Roman" w:cs="Times New Roman"/>
          <w:b/>
          <w:lang w:val="en-GB" w:eastAsia="it-IT"/>
        </w:rPr>
      </w:pPr>
      <w:r w:rsidRPr="00AA2617">
        <w:rPr>
          <w:rFonts w:cs="Times New Roman"/>
          <w:noProof/>
        </w:rPr>
        <w:drawing>
          <wp:inline distT="0" distB="0" distL="0" distR="0" wp14:anchorId="10A3C1EA" wp14:editId="0A6FEA61">
            <wp:extent cx="523667" cy="662940"/>
            <wp:effectExtent l="0" t="0" r="0" b="381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ministry logo.png"/>
                    <pic:cNvPicPr/>
                  </pic:nvPicPr>
                  <pic:blipFill>
                    <a:blip r:embed="rId11">
                      <a:extLst>
                        <a:ext uri="{28A0092B-C50C-407E-A947-70E740481C1C}">
                          <a14:useLocalDpi xmlns:a14="http://schemas.microsoft.com/office/drawing/2010/main" val="0"/>
                        </a:ext>
                      </a:extLst>
                    </a:blip>
                    <a:stretch>
                      <a:fillRect/>
                    </a:stretch>
                  </pic:blipFill>
                  <pic:spPr>
                    <a:xfrm>
                      <a:off x="0" y="0"/>
                      <a:ext cx="526965" cy="667115"/>
                    </a:xfrm>
                    <a:prstGeom prst="rect">
                      <a:avLst/>
                    </a:prstGeom>
                  </pic:spPr>
                </pic:pic>
              </a:graphicData>
            </a:graphic>
          </wp:inline>
        </w:drawing>
      </w:r>
      <w:r w:rsidRPr="00AA2617">
        <w:rPr>
          <w:rFonts w:cs="Times New Roman"/>
          <w:noProof/>
        </w:rPr>
        <w:drawing>
          <wp:inline distT="0" distB="0" distL="0" distR="0" wp14:anchorId="3E373E47" wp14:editId="050B3C8C">
            <wp:extent cx="488950" cy="578695"/>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1299" cy="581475"/>
                    </a:xfrm>
                    <a:prstGeom prst="rect">
                      <a:avLst/>
                    </a:prstGeom>
                    <a:noFill/>
                    <a:ln w="9525">
                      <a:noFill/>
                      <a:miter lim="800000"/>
                      <a:headEnd/>
                      <a:tailEnd/>
                    </a:ln>
                  </pic:spPr>
                </pic:pic>
              </a:graphicData>
            </a:graphic>
          </wp:inline>
        </w:drawing>
      </w:r>
      <w:r w:rsidR="00415BC5" w:rsidRPr="00AA2617">
        <w:rPr>
          <w:rFonts w:eastAsia="Times New Roman" w:cs="Times New Roman"/>
          <w:b/>
          <w:noProof/>
        </w:rPr>
        <w:drawing>
          <wp:inline distT="0" distB="0" distL="0" distR="0" wp14:anchorId="3F5DF823" wp14:editId="2A6B3E65">
            <wp:extent cx="2179320" cy="646478"/>
            <wp:effectExtent l="0" t="0" r="0" b="1270"/>
            <wp:docPr id="24" name="Picture 24" descr="C:\Users\trevorself\Documents\Trevor's FAO Back-up 20170124\FAO Publications\FA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evorself\Documents\Trevor's FAO Back-up 20170124\FAO Publications\FAO logo.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80716" cy="706220"/>
                    </a:xfrm>
                    <a:prstGeom prst="rect">
                      <a:avLst/>
                    </a:prstGeom>
                    <a:noFill/>
                    <a:ln>
                      <a:noFill/>
                    </a:ln>
                  </pic:spPr>
                </pic:pic>
              </a:graphicData>
            </a:graphic>
          </wp:inline>
        </w:drawing>
      </w:r>
    </w:p>
    <w:p w14:paraId="1895664A" w14:textId="77777777" w:rsidR="00DB113C" w:rsidRPr="00AA2617" w:rsidRDefault="00DB113C" w:rsidP="00AA2617">
      <w:pPr>
        <w:spacing w:before="120"/>
        <w:jc w:val="center"/>
        <w:rPr>
          <w:rFonts w:eastAsia="Times New Roman" w:cs="Times New Roman"/>
          <w:b/>
          <w:lang w:val="en-GB" w:eastAsia="it-IT"/>
        </w:rPr>
      </w:pPr>
      <w:r w:rsidRPr="00AA2617">
        <w:rPr>
          <w:rFonts w:eastAsia="Times New Roman" w:cs="Times New Roman"/>
          <w:b/>
          <w:lang w:val="en-GB" w:eastAsia="it-IT"/>
        </w:rPr>
        <w:t>FAO/GEF PROJECT DOCUMENT</w:t>
      </w:r>
      <w:r w:rsidR="00415BC5" w:rsidRPr="00AA2617">
        <w:rPr>
          <w:rFonts w:eastAsia="Times New Roman" w:cs="Times New Roman"/>
          <w:b/>
          <w:lang w:val="en-GB" w:eastAsia="it-IT"/>
        </w:rPr>
        <w:t xml:space="preserve"> </w:t>
      </w:r>
    </w:p>
    <w:tbl>
      <w:tblPr>
        <w:tblW w:w="5000" w:type="pct"/>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3179"/>
        <w:gridCol w:w="5837"/>
      </w:tblGrid>
      <w:tr w:rsidR="001F2D90" w:rsidRPr="00AA2617" w14:paraId="30BD376B" w14:textId="77777777" w:rsidTr="00D24363">
        <w:trPr>
          <w:trHeight w:val="1007"/>
        </w:trPr>
        <w:tc>
          <w:tcPr>
            <w:tcW w:w="5000" w:type="pct"/>
            <w:gridSpan w:val="2"/>
            <w:tcBorders>
              <w:top w:val="single" w:sz="4" w:space="0" w:color="auto"/>
              <w:left w:val="single" w:sz="4" w:space="0" w:color="auto"/>
              <w:bottom w:val="dotted" w:sz="4" w:space="0" w:color="auto"/>
              <w:right w:val="single" w:sz="4" w:space="0" w:color="auto"/>
            </w:tcBorders>
            <w:shd w:val="clear" w:color="auto" w:fill="D9D9D9" w:themeFill="background1" w:themeFillShade="D9"/>
          </w:tcPr>
          <w:p w14:paraId="3681E865" w14:textId="6B9714F8" w:rsidR="001F2D90" w:rsidRPr="00AA2617" w:rsidRDefault="001F2D90" w:rsidP="00AA2617">
            <w:pPr>
              <w:tabs>
                <w:tab w:val="left" w:pos="1440"/>
              </w:tabs>
              <w:spacing w:before="120"/>
              <w:ind w:left="1440" w:hanging="1440"/>
              <w:jc w:val="left"/>
              <w:rPr>
                <w:rFonts w:eastAsia="Batang" w:cs="Times New Roman"/>
                <w:color w:val="000000" w:themeColor="text1"/>
                <w:lang w:val="en-GB" w:eastAsia="it-IT"/>
              </w:rPr>
            </w:pPr>
            <w:r w:rsidRPr="00AA2617">
              <w:rPr>
                <w:rFonts w:eastAsia="Batang" w:cs="Times New Roman"/>
                <w:bCs/>
                <w:color w:val="000000" w:themeColor="text1"/>
                <w:lang w:val="en-GB" w:eastAsia="it-IT"/>
              </w:rPr>
              <w:t>Project Title</w:t>
            </w:r>
            <w:r w:rsidR="00BB7FF8" w:rsidRPr="00AA2617">
              <w:rPr>
                <w:rFonts w:eastAsia="Batang" w:cs="Times New Roman"/>
                <w:bCs/>
                <w:color w:val="000000" w:themeColor="text1"/>
                <w:lang w:val="en-GB" w:eastAsia="it-IT"/>
              </w:rPr>
              <w:t xml:space="preserve">:      </w:t>
            </w:r>
            <w:bookmarkStart w:id="0" w:name="_Hlk500883997"/>
            <w:r w:rsidR="00A93F69" w:rsidRPr="00AA2617">
              <w:rPr>
                <w:color w:val="000000"/>
                <w:sz w:val="20"/>
                <w:szCs w:val="20"/>
              </w:rPr>
              <w:t>Enhancing and bridging knowledge gaps in Sri Lanka's NDC implementation of AFOLU sector for Enhanced Transparency Framework (ETF)</w:t>
            </w:r>
            <w:bookmarkEnd w:id="0"/>
          </w:p>
        </w:tc>
      </w:tr>
      <w:tr w:rsidR="00CB5AFB" w:rsidRPr="00AA2617" w14:paraId="4256FEC6" w14:textId="77777777" w:rsidTr="004D0BF4">
        <w:trPr>
          <w:trHeight w:val="328"/>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6603DDB5" w14:textId="77777777" w:rsidR="00CB5AFB" w:rsidRPr="00AA2617" w:rsidRDefault="00CB5AFB"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FAO Project symbol:</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3D5D60CA" w14:textId="77ED38B0" w:rsidR="00CB5AFB" w:rsidRPr="00AA2617" w:rsidRDefault="00A93F69"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GCP/SRL/</w:t>
            </w:r>
            <w:r w:rsidR="00846596" w:rsidRPr="00AA2617">
              <w:rPr>
                <w:rFonts w:eastAsia="Batang" w:cs="Times New Roman"/>
                <w:color w:val="000000" w:themeColor="text1"/>
                <w:lang w:val="en-GB" w:eastAsia="it-IT"/>
              </w:rPr>
              <w:t>0</w:t>
            </w:r>
            <w:r w:rsidRPr="00AA2617">
              <w:rPr>
                <w:rFonts w:eastAsia="Batang" w:cs="Times New Roman"/>
                <w:color w:val="000000" w:themeColor="text1"/>
                <w:lang w:val="en-GB" w:eastAsia="it-IT"/>
              </w:rPr>
              <w:t>7</w:t>
            </w:r>
            <w:r w:rsidR="00387E58" w:rsidRPr="00AA2617">
              <w:rPr>
                <w:rFonts w:eastAsia="Batang" w:cs="Times New Roman"/>
                <w:color w:val="000000" w:themeColor="text1"/>
                <w:lang w:val="en-GB" w:eastAsia="it-IT"/>
              </w:rPr>
              <w:t>4</w:t>
            </w:r>
            <w:r w:rsidRPr="00AA2617">
              <w:rPr>
                <w:rFonts w:eastAsia="Batang" w:cs="Times New Roman"/>
                <w:color w:val="000000" w:themeColor="text1"/>
                <w:lang w:val="en-GB" w:eastAsia="it-IT"/>
              </w:rPr>
              <w:t>/CBT</w:t>
            </w:r>
          </w:p>
        </w:tc>
      </w:tr>
      <w:tr w:rsidR="00CB5AFB" w:rsidRPr="00AA2617" w14:paraId="0D75DE80" w14:textId="77777777" w:rsidTr="004D0BF4">
        <w:trPr>
          <w:trHeight w:val="393"/>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1E78C028" w14:textId="77777777" w:rsidR="00CB5AFB" w:rsidRPr="00AA2617" w:rsidRDefault="00CB5AFB"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GEF Project ID:</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19708A49" w14:textId="3876F11D" w:rsidR="00CB5AFB" w:rsidRPr="00AA2617" w:rsidRDefault="00A93F69"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10040</w:t>
            </w:r>
          </w:p>
        </w:tc>
      </w:tr>
      <w:tr w:rsidR="00DB113C" w:rsidRPr="00AA2617" w14:paraId="77D0C3E2" w14:textId="77777777" w:rsidTr="004D0BF4">
        <w:trPr>
          <w:trHeight w:val="343"/>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7DE58F04" w14:textId="77777777" w:rsidR="00DB113C" w:rsidRPr="00AA2617" w:rsidRDefault="00DB113C"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Recipient Country(ies):</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6AAC8755" w14:textId="70BB9C67" w:rsidR="00DB113C" w:rsidRPr="00AA2617" w:rsidRDefault="00A93F69" w:rsidP="00AA2617">
            <w:pPr>
              <w:tabs>
                <w:tab w:val="left" w:pos="270"/>
                <w:tab w:val="left" w:pos="540"/>
                <w:tab w:val="left" w:pos="1476"/>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Sri Lanka</w:t>
            </w:r>
          </w:p>
        </w:tc>
      </w:tr>
      <w:tr w:rsidR="00DB113C" w:rsidRPr="00AA2617" w14:paraId="7634C065" w14:textId="77777777" w:rsidTr="001264B9">
        <w:trPr>
          <w:trHeight w:val="899"/>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1EF7A68C" w14:textId="77777777" w:rsidR="00DB113C" w:rsidRPr="00AA2617" w:rsidRDefault="00DB113C"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Executing partners:</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1DBCFCA3" w14:textId="0EF3F749" w:rsidR="00415BC5" w:rsidRPr="00AA2617" w:rsidRDefault="004E6546" w:rsidP="00AA2617">
            <w:pPr>
              <w:tabs>
                <w:tab w:val="left" w:pos="270"/>
                <w:tab w:val="left" w:pos="540"/>
              </w:tabs>
              <w:spacing w:before="120"/>
              <w:jc w:val="left"/>
              <w:rPr>
                <w:rFonts w:eastAsia="Batang" w:cs="Times New Roman"/>
                <w:color w:val="000000" w:themeColor="text1"/>
                <w:lang w:val="en-GB" w:eastAsia="it-IT"/>
              </w:rPr>
            </w:pPr>
            <w:r w:rsidRPr="00AA2617">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default w:val="Ministry of Mahaweli Development and Environment (Climate Change Secratariate), Ministry of Tourism Development, Wildlife and Christian Religious Affairs (Department of Wildlife), Mnistry of Agriculture and Ministry of Land"/>
                  </w:textInput>
                </w:ffData>
              </w:fldChar>
            </w:r>
            <w:bookmarkStart w:id="1" w:name="ExecutingAgency"/>
            <w:r w:rsidRPr="00AA2617">
              <w:rPr>
                <w:color w:val="000000"/>
                <w:sz w:val="20"/>
                <w:szCs w:val="20"/>
              </w:rPr>
              <w:instrText xml:space="preserve"> FORMTEXT </w:instrText>
            </w:r>
            <w:r w:rsidRPr="00AA2617">
              <w:rPr>
                <w:color w:val="000000"/>
                <w:sz w:val="20"/>
                <w:szCs w:val="20"/>
              </w:rPr>
            </w:r>
            <w:r w:rsidRPr="00AA2617">
              <w:rPr>
                <w:color w:val="000000"/>
                <w:sz w:val="20"/>
                <w:szCs w:val="20"/>
              </w:rPr>
              <w:fldChar w:fldCharType="separate"/>
            </w:r>
            <w:r w:rsidRPr="00AA2617">
              <w:rPr>
                <w:noProof/>
                <w:color w:val="000000"/>
                <w:sz w:val="20"/>
                <w:szCs w:val="20"/>
              </w:rPr>
              <w:t>Ministry of Mahaweli Development and Environment (Climate Change Secratariate), Ministry of Tourism Development, Wildlife and Christian Religious Affairs (Department of Wildlife), Mnistry of Agriculture and Ministry of Land</w:t>
            </w:r>
            <w:r w:rsidRPr="00AA2617">
              <w:rPr>
                <w:color w:val="000000"/>
                <w:sz w:val="20"/>
                <w:szCs w:val="20"/>
              </w:rPr>
              <w:fldChar w:fldCharType="end"/>
            </w:r>
            <w:bookmarkEnd w:id="1"/>
          </w:p>
        </w:tc>
      </w:tr>
      <w:tr w:rsidR="00CB5AFB" w:rsidRPr="00AA2617" w14:paraId="516B2841" w14:textId="77777777" w:rsidTr="004D0BF4">
        <w:trPr>
          <w:trHeight w:val="275"/>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60C5D1F5" w14:textId="77777777" w:rsidR="00CB5AFB" w:rsidRPr="00AA2617" w:rsidRDefault="00CB5AFB"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Expected EOD (Starting Date):</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20149A2B" w14:textId="7575F6BF" w:rsidR="00CB5AFB" w:rsidRPr="00AA2617" w:rsidRDefault="005003C9"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 xml:space="preserve">September </w:t>
            </w:r>
            <w:r w:rsidR="00CB5AFB" w:rsidRPr="00AA2617">
              <w:rPr>
                <w:rFonts w:eastAsia="Batang" w:cs="Times New Roman"/>
                <w:color w:val="000000" w:themeColor="text1"/>
                <w:lang w:val="en-GB" w:eastAsia="it-IT"/>
              </w:rPr>
              <w:t>201</w:t>
            </w:r>
            <w:r w:rsidR="00A93F69" w:rsidRPr="00AA2617">
              <w:rPr>
                <w:rFonts w:eastAsia="Batang" w:cs="Times New Roman"/>
                <w:color w:val="000000" w:themeColor="text1"/>
                <w:lang w:val="en-GB" w:eastAsia="it-IT"/>
              </w:rPr>
              <w:t>9</w:t>
            </w:r>
          </w:p>
        </w:tc>
      </w:tr>
      <w:tr w:rsidR="00CB5AFB" w:rsidRPr="00AA2617" w14:paraId="402EF586" w14:textId="77777777" w:rsidTr="004D0BF4">
        <w:trPr>
          <w:trHeight w:val="353"/>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16F42E24" w14:textId="77777777" w:rsidR="00CB5AFB" w:rsidRPr="00AA2617" w:rsidRDefault="00CB5AFB"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Expected NTE (End Date):</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309ADD77" w14:textId="77777777" w:rsidR="00CB5AFB" w:rsidRPr="00AA2617" w:rsidRDefault="005003C9"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August</w:t>
            </w:r>
            <w:r w:rsidR="00CB5AFB" w:rsidRPr="00AA2617">
              <w:rPr>
                <w:rFonts w:eastAsia="Batang" w:cs="Times New Roman"/>
                <w:color w:val="000000" w:themeColor="text1"/>
                <w:lang w:val="en-GB" w:eastAsia="it-IT"/>
              </w:rPr>
              <w:t xml:space="preserve"> 2021</w:t>
            </w:r>
          </w:p>
        </w:tc>
      </w:tr>
      <w:tr w:rsidR="00DB113C" w:rsidRPr="00AA2617" w14:paraId="7A905CC0" w14:textId="77777777" w:rsidTr="004D0BF4">
        <w:trPr>
          <w:trHeight w:val="202"/>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648DE09B" w14:textId="77777777" w:rsidR="00DB113C" w:rsidRPr="00AA2617" w:rsidRDefault="00DB113C" w:rsidP="00AA2617">
            <w:pPr>
              <w:tabs>
                <w:tab w:val="left" w:pos="270"/>
                <w:tab w:val="left" w:pos="540"/>
              </w:tabs>
              <w:spacing w:before="120"/>
              <w:jc w:val="left"/>
              <w:rPr>
                <w:rFonts w:eastAsia="Batang" w:cs="Times New Roman"/>
                <w:color w:val="000000" w:themeColor="text1"/>
                <w:lang w:val="en-GB" w:eastAsia="it-IT"/>
              </w:rPr>
            </w:pPr>
            <w:r w:rsidRPr="00AA2617">
              <w:rPr>
                <w:rFonts w:eastAsia="Batang" w:cs="Times New Roman"/>
                <w:color w:val="000000" w:themeColor="text1"/>
                <w:lang w:val="en-GB" w:eastAsia="it-IT"/>
              </w:rPr>
              <w:t>Contribution to FAO’s Strategic Framework:</w:t>
            </w:r>
          </w:p>
          <w:p w14:paraId="31EE8CBA" w14:textId="77777777" w:rsidR="00DB113C" w:rsidRPr="00AA2617" w:rsidRDefault="00DB113C" w:rsidP="00AA2617">
            <w:pPr>
              <w:tabs>
                <w:tab w:val="left" w:pos="270"/>
                <w:tab w:val="left" w:pos="540"/>
              </w:tabs>
              <w:spacing w:before="120"/>
              <w:jc w:val="left"/>
              <w:rPr>
                <w:rFonts w:eastAsia="Batang" w:cs="Times New Roman"/>
                <w:color w:val="000000" w:themeColor="text1"/>
                <w:lang w:val="en-GB" w:eastAsia="it-IT"/>
              </w:rPr>
            </w:pPr>
            <w:r w:rsidRPr="00AA2617">
              <w:rPr>
                <w:rFonts w:eastAsia="Batang" w:cs="Times New Roman"/>
                <w:color w:val="000000" w:themeColor="text1"/>
                <w:lang w:val="en-GB" w:eastAsia="it-IT"/>
              </w:rPr>
              <w:t xml:space="preserve">(Indicate as appropriate) </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27997D0F" w14:textId="77777777" w:rsidR="00213739" w:rsidRPr="00AA2617" w:rsidRDefault="00213739" w:rsidP="00AA2617">
            <w:pPr>
              <w:numPr>
                <w:ilvl w:val="1"/>
                <w:numId w:val="17"/>
              </w:numPr>
              <w:tabs>
                <w:tab w:val="left" w:pos="7541"/>
              </w:tabs>
              <w:ind w:left="161" w:hanging="180"/>
              <w:jc w:val="left"/>
              <w:rPr>
                <w:rFonts w:cs="Times New Roman"/>
                <w:color w:val="000000" w:themeColor="text1"/>
                <w:szCs w:val="21"/>
                <w:lang w:val="en-GB"/>
              </w:rPr>
            </w:pPr>
            <w:r w:rsidRPr="00AA2617">
              <w:rPr>
                <w:rFonts w:cs="Times New Roman"/>
                <w:color w:val="000000" w:themeColor="text1"/>
                <w:szCs w:val="21"/>
                <w:lang w:val="en-GB"/>
              </w:rPr>
              <w:t>Strategic Objective 2: Increase and improve provision of goods and services from agriculture, forestry, and fisheries in a sustainable manner.</w:t>
            </w:r>
          </w:p>
          <w:p w14:paraId="465F78D9" w14:textId="77777777" w:rsidR="00213739" w:rsidRPr="00AA2617" w:rsidRDefault="00213739" w:rsidP="00AA2617">
            <w:pPr>
              <w:numPr>
                <w:ilvl w:val="1"/>
                <w:numId w:val="17"/>
              </w:numPr>
              <w:tabs>
                <w:tab w:val="left" w:pos="7541"/>
              </w:tabs>
              <w:ind w:left="161" w:hanging="180"/>
              <w:jc w:val="left"/>
              <w:rPr>
                <w:rFonts w:cs="Times New Roman"/>
                <w:color w:val="000000" w:themeColor="text1"/>
                <w:szCs w:val="21"/>
                <w:lang w:val="en-GB"/>
              </w:rPr>
            </w:pPr>
            <w:r w:rsidRPr="00AA2617">
              <w:rPr>
                <w:rFonts w:cs="Times New Roman"/>
                <w:color w:val="000000" w:themeColor="text1"/>
                <w:szCs w:val="21"/>
                <w:lang w:val="en-GB"/>
              </w:rPr>
              <w:t>Outcome 204: Stakeholders make evidence-based decisions in the planning and management of the agricultural sectors and natural resources to support the transition to sustainable agricultural sector production systems through monitoring, statistics, assessment, and analysis.</w:t>
            </w:r>
          </w:p>
          <w:p w14:paraId="57ABF2D9" w14:textId="77777777" w:rsidR="00DB113C" w:rsidRPr="00AA2617" w:rsidRDefault="00213739" w:rsidP="00AA2617">
            <w:pPr>
              <w:numPr>
                <w:ilvl w:val="1"/>
                <w:numId w:val="17"/>
              </w:numPr>
              <w:tabs>
                <w:tab w:val="left" w:pos="7541"/>
              </w:tabs>
              <w:ind w:left="161" w:hanging="180"/>
              <w:jc w:val="left"/>
              <w:rPr>
                <w:rFonts w:cs="Times New Roman"/>
                <w:color w:val="000000" w:themeColor="text1"/>
                <w:szCs w:val="21"/>
                <w:lang w:val="en-GB"/>
              </w:rPr>
            </w:pPr>
            <w:r w:rsidRPr="00AA2617">
              <w:rPr>
                <w:iCs/>
                <w:color w:val="000000" w:themeColor="text1"/>
                <w:lang w:val="en-GB" w:eastAsia="it-IT"/>
              </w:rPr>
              <w:t>Regional initiatives:</w:t>
            </w:r>
            <w:r w:rsidRPr="00AA2617">
              <w:rPr>
                <w:color w:val="000000" w:themeColor="text1"/>
                <w:lang w:val="en-GB" w:eastAsia="it-IT"/>
              </w:rPr>
              <w:t xml:space="preserve"> </w:t>
            </w:r>
            <w:r w:rsidRPr="00AA2617">
              <w:rPr>
                <w:lang w:val="en-GB"/>
              </w:rPr>
              <w:t>Regional Rice Initiative, Climate Change, One Health, Blue Growth</w:t>
            </w:r>
          </w:p>
        </w:tc>
      </w:tr>
      <w:tr w:rsidR="00DB113C" w:rsidRPr="00AA2617" w14:paraId="15CB21CB" w14:textId="77777777" w:rsidTr="004D0BF4">
        <w:trPr>
          <w:trHeight w:val="202"/>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0F431D80" w14:textId="77777777" w:rsidR="00DB113C" w:rsidRPr="00AA2617" w:rsidRDefault="00DB113C" w:rsidP="00AA2617">
            <w:pPr>
              <w:tabs>
                <w:tab w:val="left" w:pos="270"/>
                <w:tab w:val="left" w:pos="540"/>
              </w:tabs>
              <w:spacing w:before="240"/>
              <w:jc w:val="left"/>
              <w:rPr>
                <w:rFonts w:eastAsia="Batang" w:cs="Times New Roman"/>
                <w:color w:val="000000" w:themeColor="text1"/>
                <w:lang w:val="en-GB" w:eastAsia="it-IT"/>
              </w:rPr>
            </w:pPr>
            <w:r w:rsidRPr="00AA2617">
              <w:rPr>
                <w:rFonts w:eastAsia="Batang" w:cs="Times New Roman"/>
                <w:color w:val="000000" w:themeColor="text1"/>
                <w:lang w:val="en-GB" w:eastAsia="it-IT"/>
              </w:rPr>
              <w:t>Contribution to GEF TF Focal Area Str</w:t>
            </w:r>
            <w:r w:rsidR="005D5EE6" w:rsidRPr="00AA2617">
              <w:rPr>
                <w:rFonts w:eastAsia="Batang" w:cs="Times New Roman"/>
                <w:color w:val="000000" w:themeColor="text1"/>
                <w:lang w:val="en-GB" w:eastAsia="it-IT"/>
              </w:rPr>
              <w:t>ategic Objectives and Programs:</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1CCF72C5" w14:textId="77777777" w:rsidR="005D5EE6" w:rsidRPr="00AA2617" w:rsidRDefault="00826E52" w:rsidP="00AA2617">
            <w:pPr>
              <w:pStyle w:val="ListParagraph"/>
              <w:numPr>
                <w:ilvl w:val="0"/>
                <w:numId w:val="5"/>
              </w:numPr>
              <w:jc w:val="left"/>
              <w:rPr>
                <w:rFonts w:cs="Times New Roman"/>
                <w:i/>
                <w:sz w:val="20"/>
                <w:lang w:val="en-GB"/>
              </w:rPr>
            </w:pPr>
            <w:r w:rsidRPr="00AA2617">
              <w:rPr>
                <w:rFonts w:cs="Times New Roman"/>
                <w:i/>
                <w:sz w:val="20"/>
                <w:lang w:val="en-GB"/>
              </w:rPr>
              <w:t>OI3: MRV systems for emissions reductions in place and reporting verified data</w:t>
            </w:r>
          </w:p>
          <w:p w14:paraId="5D72BD0A" w14:textId="77777777" w:rsidR="00826E52" w:rsidRPr="00AA2617" w:rsidRDefault="00826E52" w:rsidP="00AA2617">
            <w:pPr>
              <w:pStyle w:val="ListParagraph"/>
              <w:numPr>
                <w:ilvl w:val="0"/>
                <w:numId w:val="5"/>
              </w:numPr>
              <w:jc w:val="left"/>
              <w:rPr>
                <w:rFonts w:cs="Times New Roman"/>
                <w:i/>
                <w:sz w:val="20"/>
                <w:lang w:val="en-GB"/>
              </w:rPr>
            </w:pPr>
            <w:r w:rsidRPr="00AA2617">
              <w:rPr>
                <w:rFonts w:cs="Times New Roman"/>
                <w:i/>
                <w:sz w:val="20"/>
                <w:lang w:val="en-GB"/>
              </w:rPr>
              <w:t>OI7: Number of countries meeting convention reporting requirements and including mitigation contributions</w:t>
            </w:r>
          </w:p>
        </w:tc>
      </w:tr>
      <w:tr w:rsidR="00DB113C" w:rsidRPr="00AA2617" w14:paraId="4F4FAAB9" w14:textId="77777777" w:rsidTr="004D0BF4">
        <w:trPr>
          <w:trHeight w:val="593"/>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2CDC3792" w14:textId="77777777" w:rsidR="00DB113C" w:rsidRPr="00AA2617" w:rsidRDefault="00DB113C" w:rsidP="00AA2617">
            <w:pPr>
              <w:tabs>
                <w:tab w:val="left" w:pos="270"/>
                <w:tab w:val="left" w:pos="540"/>
              </w:tabs>
              <w:spacing w:before="120"/>
              <w:jc w:val="left"/>
              <w:rPr>
                <w:rFonts w:eastAsia="Batang" w:cs="Times New Roman"/>
                <w:color w:val="000000" w:themeColor="text1"/>
                <w:lang w:val="en-GB" w:eastAsia="it-IT"/>
              </w:rPr>
            </w:pPr>
            <w:r w:rsidRPr="00AA2617">
              <w:rPr>
                <w:rFonts w:eastAsia="Batang" w:cs="Times New Roman"/>
                <w:color w:val="000000" w:themeColor="text1"/>
                <w:lang w:val="en-GB" w:eastAsia="it-IT"/>
              </w:rPr>
              <w:t>Environmental and Social Risk Classification</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174CB92E" w14:textId="77777777" w:rsidR="009B1A30" w:rsidRPr="00AA2617" w:rsidRDefault="009B1A30" w:rsidP="00AA2617">
            <w:pPr>
              <w:tabs>
                <w:tab w:val="left" w:pos="270"/>
                <w:tab w:val="left" w:pos="540"/>
                <w:tab w:val="left" w:pos="4827"/>
                <w:tab w:val="left" w:pos="4977"/>
                <w:tab w:val="left" w:pos="5535"/>
              </w:tabs>
              <w:rPr>
                <w:rFonts w:eastAsia="Batang" w:cs="Times New Roman"/>
                <w:color w:val="000000" w:themeColor="text1"/>
                <w:lang w:val="en-GB"/>
              </w:rPr>
            </w:pPr>
          </w:p>
          <w:p w14:paraId="7568C4B8" w14:textId="77777777" w:rsidR="00DB113C" w:rsidRPr="00AA2617" w:rsidRDefault="009B1A30" w:rsidP="00AA2617">
            <w:pPr>
              <w:tabs>
                <w:tab w:val="left" w:pos="270"/>
                <w:tab w:val="left" w:pos="540"/>
                <w:tab w:val="left" w:pos="4827"/>
                <w:tab w:val="left" w:pos="4977"/>
                <w:tab w:val="left" w:pos="5535"/>
              </w:tabs>
              <w:rPr>
                <w:rFonts w:eastAsia="Batang" w:cs="Times New Roman"/>
                <w:color w:val="000000" w:themeColor="text1"/>
                <w:lang w:val="en-GB"/>
              </w:rPr>
            </w:pPr>
            <w:r w:rsidRPr="00AA2617">
              <w:rPr>
                <w:rFonts w:eastAsia="Batang" w:cs="Times New Roman"/>
                <w:color w:val="000000" w:themeColor="text1"/>
                <w:lang w:val="en-GB"/>
              </w:rPr>
              <w:t>low risk</w:t>
            </w:r>
          </w:p>
        </w:tc>
      </w:tr>
      <w:tr w:rsidR="00DB113C" w:rsidRPr="00AA2617" w14:paraId="64B97C14" w14:textId="77777777" w:rsidTr="004D0BF4">
        <w:trPr>
          <w:trHeight w:val="655"/>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3E5559FE" w14:textId="77777777" w:rsidR="00DB113C" w:rsidRPr="00AA2617" w:rsidRDefault="00DB113C" w:rsidP="00AA2617">
            <w:pPr>
              <w:tabs>
                <w:tab w:val="left" w:pos="270"/>
                <w:tab w:val="left" w:pos="540"/>
              </w:tabs>
              <w:spacing w:before="120"/>
              <w:rPr>
                <w:rFonts w:eastAsia="Batang" w:cs="Times New Roman"/>
                <w:color w:val="000000" w:themeColor="text1"/>
                <w:lang w:val="en-GB" w:eastAsia="it-IT"/>
              </w:rPr>
            </w:pPr>
            <w:r w:rsidRPr="00AA2617">
              <w:rPr>
                <w:rFonts w:eastAsia="Batang" w:cs="Times New Roman"/>
                <w:color w:val="000000" w:themeColor="text1"/>
                <w:lang w:val="en-GB" w:eastAsia="it-IT"/>
              </w:rPr>
              <w:t>Gender Marker</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6B6A367E" w14:textId="77777777" w:rsidR="00DB113C" w:rsidRPr="00AA2617" w:rsidRDefault="00DB113C" w:rsidP="00AA2617">
            <w:pPr>
              <w:tabs>
                <w:tab w:val="left" w:pos="270"/>
                <w:tab w:val="left" w:pos="540"/>
                <w:tab w:val="left" w:pos="4827"/>
                <w:tab w:val="left" w:pos="4977"/>
                <w:tab w:val="left" w:pos="5535"/>
              </w:tabs>
              <w:rPr>
                <w:rFonts w:eastAsia="Batang" w:cs="Times New Roman"/>
                <w:color w:val="000000" w:themeColor="text1"/>
                <w:lang w:val="en-GB" w:eastAsia="it-IT"/>
              </w:rPr>
            </w:pPr>
            <w:r w:rsidRPr="00AA2617">
              <w:rPr>
                <w:rFonts w:eastAsia="Batang" w:cs="Times New Roman"/>
                <w:color w:val="000000" w:themeColor="text1"/>
                <w:lang w:val="en-GB"/>
              </w:rPr>
              <w:t xml:space="preserve">G0  </w:t>
            </w:r>
            <w:r w:rsidRPr="00AA2617">
              <w:rPr>
                <w:rFonts w:eastAsia="Batang" w:cs="Times New Roman"/>
                <w:color w:val="000000" w:themeColor="text1"/>
                <w:lang w:val="en-GB"/>
              </w:rPr>
              <w:sym w:font="Symbol" w:char="F0A0"/>
            </w:r>
            <w:r w:rsidRPr="00AA2617">
              <w:rPr>
                <w:rFonts w:eastAsia="Batang" w:cs="Times New Roman"/>
                <w:color w:val="000000" w:themeColor="text1"/>
                <w:lang w:val="en-GB"/>
              </w:rPr>
              <w:t xml:space="preserve">     </w:t>
            </w:r>
            <w:r w:rsidRPr="00AA2617">
              <w:rPr>
                <w:rFonts w:eastAsia="Batang" w:cs="Times New Roman"/>
                <w:b/>
                <w:color w:val="000000" w:themeColor="text1"/>
                <w:lang w:val="en-GB"/>
              </w:rPr>
              <w:t xml:space="preserve">G1 </w:t>
            </w:r>
            <w:r w:rsidR="00213739" w:rsidRPr="00AA2617">
              <w:rPr>
                <w:rFonts w:eastAsia="Batang" w:cs="Times New Roman"/>
                <w:b/>
                <w:color w:val="000000" w:themeColor="text1"/>
                <w:lang w:val="en-GB"/>
              </w:rPr>
              <w:sym w:font="Symbol" w:char="F0C4"/>
            </w:r>
            <w:r w:rsidR="00213739" w:rsidRPr="00AA2617">
              <w:rPr>
                <w:rFonts w:eastAsia="Batang" w:cs="Times New Roman"/>
                <w:color w:val="000000" w:themeColor="text1"/>
                <w:lang w:val="en-GB"/>
              </w:rPr>
              <w:t xml:space="preserve">    </w:t>
            </w:r>
            <w:r w:rsidRPr="00AA2617">
              <w:rPr>
                <w:rFonts w:eastAsia="Batang" w:cs="Times New Roman"/>
                <w:color w:val="000000" w:themeColor="text1"/>
                <w:lang w:val="en-GB"/>
              </w:rPr>
              <w:t xml:space="preserve">G2a </w:t>
            </w:r>
            <w:r w:rsidRPr="00AA2617">
              <w:rPr>
                <w:rFonts w:eastAsia="Batang" w:cs="Times New Roman"/>
                <w:color w:val="000000" w:themeColor="text1"/>
                <w:lang w:val="en-GB"/>
              </w:rPr>
              <w:sym w:font="Symbol" w:char="F0A0"/>
            </w:r>
            <w:r w:rsidRPr="00AA2617">
              <w:rPr>
                <w:rFonts w:eastAsia="Batang" w:cs="Times New Roman"/>
                <w:color w:val="000000" w:themeColor="text1"/>
                <w:lang w:val="en-GB"/>
              </w:rPr>
              <w:t xml:space="preserve">   G2b </w:t>
            </w:r>
            <w:r w:rsidRPr="00AA2617">
              <w:rPr>
                <w:rFonts w:eastAsia="Batang" w:cs="Times New Roman"/>
                <w:color w:val="000000" w:themeColor="text1"/>
                <w:lang w:val="en-GB"/>
              </w:rPr>
              <w:sym w:font="Symbol" w:char="F0A0"/>
            </w:r>
          </w:p>
        </w:tc>
      </w:tr>
      <w:tr w:rsidR="00DB113C" w:rsidRPr="00AA2617" w14:paraId="113C1CA8" w14:textId="77777777" w:rsidTr="004D0BF4">
        <w:trPr>
          <w:trHeight w:val="274"/>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3AD9F24B" w14:textId="77777777" w:rsidR="00DB113C" w:rsidRPr="00AA2617" w:rsidRDefault="00DB113C" w:rsidP="00AA2617">
            <w:pPr>
              <w:tabs>
                <w:tab w:val="left" w:pos="270"/>
                <w:tab w:val="left" w:pos="540"/>
                <w:tab w:val="left" w:pos="4827"/>
                <w:tab w:val="left" w:pos="4977"/>
                <w:tab w:val="left" w:pos="5535"/>
              </w:tabs>
              <w:rPr>
                <w:rFonts w:eastAsia="Batang" w:cs="Times New Roman"/>
                <w:color w:val="000000" w:themeColor="text1"/>
                <w:lang w:val="en-GB"/>
              </w:rPr>
            </w:pPr>
            <w:r w:rsidRPr="00AA2617">
              <w:rPr>
                <w:rFonts w:eastAsia="Batang" w:cs="Times New Roman"/>
                <w:color w:val="000000" w:themeColor="text1"/>
                <w:lang w:val="en-GB"/>
              </w:rPr>
              <w:t>Financing Plan:</w:t>
            </w:r>
          </w:p>
          <w:p w14:paraId="5630F7B8" w14:textId="0AD8C6EC" w:rsidR="00DB113C" w:rsidRPr="00AA2617" w:rsidRDefault="00554482" w:rsidP="00AA2617">
            <w:pPr>
              <w:tabs>
                <w:tab w:val="left" w:pos="270"/>
                <w:tab w:val="left" w:pos="540"/>
                <w:tab w:val="left" w:pos="4827"/>
                <w:tab w:val="left" w:pos="4977"/>
                <w:tab w:val="left" w:pos="5535"/>
              </w:tabs>
              <w:jc w:val="right"/>
              <w:rPr>
                <w:rFonts w:eastAsia="Batang" w:cs="Times New Roman"/>
                <w:color w:val="000000" w:themeColor="text1"/>
                <w:lang w:val="en-GB"/>
              </w:rPr>
            </w:pPr>
            <w:r w:rsidRPr="00AA2617">
              <w:rPr>
                <w:rFonts w:eastAsia="Batang" w:cs="Times New Roman"/>
                <w:color w:val="000000" w:themeColor="text1"/>
                <w:lang w:val="en-GB"/>
              </w:rPr>
              <w:t>GEF</w:t>
            </w:r>
            <w:r w:rsidR="00DB113C" w:rsidRPr="00AA2617">
              <w:rPr>
                <w:rFonts w:eastAsia="Batang" w:cs="Times New Roman"/>
                <w:color w:val="000000" w:themeColor="text1"/>
                <w:lang w:val="en-GB"/>
              </w:rPr>
              <w:t xml:space="preserve"> allocation:</w:t>
            </w:r>
          </w:p>
          <w:p w14:paraId="1523F0D1" w14:textId="77777777" w:rsidR="00DB113C" w:rsidRPr="00AA2617" w:rsidRDefault="00DB113C" w:rsidP="00AA2617">
            <w:pPr>
              <w:tabs>
                <w:tab w:val="left" w:pos="270"/>
                <w:tab w:val="left" w:pos="540"/>
                <w:tab w:val="left" w:pos="4827"/>
                <w:tab w:val="left" w:pos="4977"/>
                <w:tab w:val="left" w:pos="5535"/>
              </w:tabs>
              <w:jc w:val="right"/>
              <w:rPr>
                <w:rFonts w:eastAsia="Batang" w:cs="Times New Roman"/>
                <w:color w:val="000000" w:themeColor="text1"/>
                <w:lang w:val="en-GB"/>
              </w:rPr>
            </w:pPr>
            <w:r w:rsidRPr="00AA2617">
              <w:rPr>
                <w:rFonts w:eastAsia="Batang" w:cs="Times New Roman"/>
                <w:color w:val="000000" w:themeColor="text1"/>
                <w:lang w:val="en-GB"/>
              </w:rPr>
              <w:t>Co-financing:</w:t>
            </w:r>
          </w:p>
          <w:p w14:paraId="1EDA47B0" w14:textId="77777777" w:rsidR="00DB113C" w:rsidRPr="00AA2617" w:rsidRDefault="00DB113C" w:rsidP="00AA2617">
            <w:pPr>
              <w:tabs>
                <w:tab w:val="left" w:pos="270"/>
                <w:tab w:val="left" w:pos="540"/>
                <w:tab w:val="left" w:pos="4827"/>
                <w:tab w:val="left" w:pos="4977"/>
                <w:tab w:val="left" w:pos="5535"/>
              </w:tabs>
              <w:rPr>
                <w:rFonts w:eastAsia="Batang" w:cs="Times New Roman"/>
                <w:color w:val="000000" w:themeColor="text1"/>
                <w:lang w:val="en-GB"/>
              </w:rPr>
            </w:pP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36FCE289" w14:textId="77777777" w:rsidR="00472CB5" w:rsidRPr="00AA2617" w:rsidRDefault="00472CB5" w:rsidP="00AA2617">
            <w:pPr>
              <w:tabs>
                <w:tab w:val="left" w:pos="270"/>
                <w:tab w:val="left" w:pos="540"/>
                <w:tab w:val="left" w:pos="4827"/>
                <w:tab w:val="left" w:pos="4977"/>
                <w:tab w:val="left" w:pos="5535"/>
              </w:tabs>
              <w:rPr>
                <w:rFonts w:eastAsia="Batang" w:cs="Times New Roman"/>
                <w:color w:val="000000" w:themeColor="text1"/>
                <w:lang w:val="en-GB"/>
              </w:rPr>
            </w:pPr>
          </w:p>
          <w:p w14:paraId="1E8B7312" w14:textId="74E727FB" w:rsidR="00DB113C" w:rsidRPr="00AA2617" w:rsidRDefault="002C3B72" w:rsidP="00AA2617">
            <w:pPr>
              <w:tabs>
                <w:tab w:val="right" w:pos="1421"/>
                <w:tab w:val="left" w:pos="1781"/>
                <w:tab w:val="left" w:pos="7631"/>
              </w:tabs>
              <w:rPr>
                <w:rFonts w:eastAsia="Batang" w:cs="Times New Roman"/>
                <w:color w:val="000000" w:themeColor="text1"/>
                <w:lang w:val="en-GB"/>
              </w:rPr>
            </w:pPr>
            <w:r w:rsidRPr="00AA2617">
              <w:rPr>
                <w:rFonts w:eastAsia="Batang" w:cs="Times New Roman"/>
                <w:color w:val="000000" w:themeColor="text1"/>
                <w:lang w:val="en-GB"/>
              </w:rPr>
              <w:t>USD</w:t>
            </w:r>
            <w:r w:rsidR="00554482" w:rsidRPr="00AA2617">
              <w:rPr>
                <w:rFonts w:eastAsia="Batang" w:cs="Times New Roman"/>
                <w:color w:val="000000" w:themeColor="text1"/>
                <w:lang w:val="en-GB"/>
              </w:rPr>
              <w:t xml:space="preserve"> </w:t>
            </w:r>
            <w:r w:rsidR="00C81829" w:rsidRPr="00AA2617">
              <w:rPr>
                <w:rFonts w:eastAsia="Batang" w:cs="Times New Roman"/>
                <w:color w:val="000000" w:themeColor="text1"/>
                <w:lang w:val="en-GB"/>
              </w:rPr>
              <w:t xml:space="preserve"> </w:t>
            </w:r>
            <w:r w:rsidR="00554482" w:rsidRPr="00AA2617">
              <w:rPr>
                <w:rFonts w:eastAsia="Batang" w:cs="Times New Roman"/>
                <w:color w:val="000000" w:themeColor="text1"/>
                <w:lang w:val="en-GB"/>
              </w:rPr>
              <w:t xml:space="preserve">  </w:t>
            </w:r>
            <w:r w:rsidRPr="00AA2617">
              <w:rPr>
                <w:rFonts w:eastAsia="Batang" w:cs="Times New Roman"/>
                <w:color w:val="000000" w:themeColor="text1"/>
                <w:lang w:val="en-GB"/>
              </w:rPr>
              <w:t xml:space="preserve"> </w:t>
            </w:r>
            <w:r w:rsidR="00554482" w:rsidRPr="00AA2617">
              <w:rPr>
                <w:rFonts w:eastAsia="Batang" w:cs="Times New Roman"/>
                <w:color w:val="000000" w:themeColor="text1"/>
                <w:lang w:val="en-GB"/>
              </w:rPr>
              <w:t>863,242      GEF Trust Fund</w:t>
            </w:r>
          </w:p>
          <w:p w14:paraId="66CA3016" w14:textId="5D289556" w:rsidR="00554482" w:rsidRPr="00AA2617" w:rsidRDefault="00554482" w:rsidP="00AA2617">
            <w:pPr>
              <w:tabs>
                <w:tab w:val="right" w:pos="1421"/>
                <w:tab w:val="left" w:pos="1781"/>
                <w:tab w:val="left" w:pos="7631"/>
              </w:tabs>
              <w:rPr>
                <w:rFonts w:eastAsia="Batang" w:cs="Times New Roman"/>
                <w:color w:val="000000" w:themeColor="text1"/>
                <w:lang w:val="en-GB"/>
              </w:rPr>
            </w:pPr>
          </w:p>
          <w:p w14:paraId="75A39ED2" w14:textId="5A46BA1B" w:rsidR="009E0031" w:rsidRPr="00AA2617" w:rsidRDefault="002C3B72" w:rsidP="00AA2617">
            <w:pPr>
              <w:tabs>
                <w:tab w:val="left" w:pos="270"/>
                <w:tab w:val="left" w:pos="540"/>
                <w:tab w:val="right" w:pos="1421"/>
                <w:tab w:val="left" w:pos="1781"/>
                <w:tab w:val="left" w:pos="7631"/>
              </w:tabs>
              <w:rPr>
                <w:rFonts w:eastAsia="Batang" w:cs="Times New Roman"/>
                <w:color w:val="000000" w:themeColor="text1"/>
                <w:lang w:val="en-GB"/>
              </w:rPr>
            </w:pPr>
            <w:r w:rsidRPr="00AA2617">
              <w:rPr>
                <w:rFonts w:eastAsia="Batang" w:cs="Times New Roman"/>
                <w:color w:val="000000" w:themeColor="text1"/>
                <w:lang w:val="en-GB"/>
              </w:rPr>
              <w:t>USD</w:t>
            </w:r>
            <w:r w:rsidR="00990DBA" w:rsidRPr="00AA2617">
              <w:rPr>
                <w:rFonts w:eastAsia="Batang" w:cs="Times New Roman"/>
                <w:color w:val="000000" w:themeColor="text1"/>
                <w:lang w:val="en-GB"/>
              </w:rPr>
              <w:t xml:space="preserve"> </w:t>
            </w:r>
            <w:r w:rsidR="002B73B1" w:rsidRPr="00AA2617">
              <w:rPr>
                <w:rFonts w:eastAsia="Batang" w:cs="Times New Roman"/>
                <w:color w:val="000000" w:themeColor="text1"/>
                <w:lang w:val="en-GB"/>
              </w:rPr>
              <w:t>1,596,000</w:t>
            </w:r>
            <w:r w:rsidRPr="00AA2617">
              <w:rPr>
                <w:rFonts w:eastAsia="Batang" w:cs="Times New Roman"/>
                <w:color w:val="000000" w:themeColor="text1"/>
                <w:lang w:val="en-GB"/>
              </w:rPr>
              <w:t xml:space="preserve">  </w:t>
            </w:r>
            <w:r w:rsidR="00892D47" w:rsidRPr="00AA2617">
              <w:rPr>
                <w:rFonts w:eastAsia="Batang" w:cs="Times New Roman"/>
                <w:color w:val="000000" w:themeColor="text1"/>
                <w:lang w:val="en-GB"/>
              </w:rPr>
              <w:t xml:space="preserve">Min. of </w:t>
            </w:r>
            <w:r w:rsidR="002B73B1" w:rsidRPr="00AA2617">
              <w:rPr>
                <w:rFonts w:eastAsia="Batang" w:cs="Times New Roman"/>
                <w:color w:val="000000" w:themeColor="text1"/>
                <w:lang w:val="en-GB"/>
              </w:rPr>
              <w:t xml:space="preserve">Mahaweli Development and Environment </w:t>
            </w:r>
            <w:r w:rsidR="000E2B7E" w:rsidRPr="00AA2617">
              <w:rPr>
                <w:rFonts w:eastAsia="Batang" w:cs="Times New Roman"/>
                <w:color w:val="000000" w:themeColor="text1"/>
                <w:lang w:val="en-GB"/>
              </w:rPr>
              <w:t>(in-kind)</w:t>
            </w:r>
          </w:p>
          <w:p w14:paraId="1CD01525" w14:textId="6F6B8D76" w:rsidR="00C23056" w:rsidRPr="00AA2617" w:rsidRDefault="002C3B72" w:rsidP="00AA2617">
            <w:pPr>
              <w:tabs>
                <w:tab w:val="left" w:pos="270"/>
                <w:tab w:val="left" w:pos="540"/>
                <w:tab w:val="right" w:pos="1421"/>
                <w:tab w:val="left" w:pos="1781"/>
                <w:tab w:val="left" w:pos="7631"/>
              </w:tabs>
              <w:rPr>
                <w:rFonts w:eastAsia="Batang" w:cs="Times New Roman"/>
                <w:color w:val="000000" w:themeColor="text1"/>
                <w:lang w:val="en-GB"/>
              </w:rPr>
            </w:pPr>
            <w:r w:rsidRPr="00AA2617">
              <w:rPr>
                <w:rFonts w:eastAsia="Batang" w:cs="Times New Roman"/>
                <w:color w:val="000000" w:themeColor="text1"/>
                <w:lang w:val="en-GB"/>
              </w:rPr>
              <w:t>USD</w:t>
            </w:r>
            <w:r w:rsidR="00990DBA" w:rsidRPr="00AA2617">
              <w:rPr>
                <w:rFonts w:eastAsia="Batang" w:cs="Times New Roman"/>
                <w:color w:val="000000" w:themeColor="text1"/>
                <w:lang w:val="en-GB"/>
              </w:rPr>
              <w:t xml:space="preserve"> </w:t>
            </w:r>
            <w:r w:rsidR="00C81829" w:rsidRPr="00AA2617">
              <w:rPr>
                <w:rFonts w:eastAsia="Batang" w:cs="Times New Roman"/>
                <w:color w:val="000000" w:themeColor="text1"/>
                <w:lang w:val="en-GB"/>
              </w:rPr>
              <w:t xml:space="preserve">     </w:t>
            </w:r>
            <w:r w:rsidR="00071F9C" w:rsidRPr="00AA2617">
              <w:rPr>
                <w:rFonts w:eastAsia="Batang" w:cs="Times New Roman"/>
                <w:color w:val="000000" w:themeColor="text1"/>
                <w:lang w:val="en-GB"/>
              </w:rPr>
              <w:t xml:space="preserve"> </w:t>
            </w:r>
            <w:r w:rsidR="002B73B1" w:rsidRPr="00AA2617">
              <w:rPr>
                <w:rFonts w:eastAsia="Batang" w:cs="Times New Roman"/>
                <w:color w:val="000000" w:themeColor="text1"/>
                <w:lang w:val="en-GB"/>
              </w:rPr>
              <w:t>200,000</w:t>
            </w:r>
            <w:r w:rsidR="00554482" w:rsidRPr="00AA2617">
              <w:rPr>
                <w:rFonts w:eastAsia="Batang" w:cs="Times New Roman"/>
                <w:color w:val="000000" w:themeColor="text1"/>
                <w:lang w:val="en-GB"/>
              </w:rPr>
              <w:t xml:space="preserve">    </w:t>
            </w:r>
            <w:r w:rsidR="00071F9C" w:rsidRPr="00AA2617">
              <w:rPr>
                <w:rFonts w:eastAsia="Batang" w:cs="Times New Roman"/>
                <w:color w:val="000000" w:themeColor="text1"/>
                <w:lang w:val="en-GB"/>
              </w:rPr>
              <w:t xml:space="preserve">  </w:t>
            </w:r>
            <w:r w:rsidR="00554482" w:rsidRPr="00AA2617">
              <w:rPr>
                <w:rFonts w:eastAsia="Batang" w:cs="Times New Roman"/>
                <w:color w:val="000000" w:themeColor="text1"/>
                <w:lang w:val="en-GB"/>
              </w:rPr>
              <w:t>FAO</w:t>
            </w:r>
            <w:r w:rsidR="000E2B7E" w:rsidRPr="00AA2617">
              <w:rPr>
                <w:rFonts w:eastAsia="Batang" w:cs="Times New Roman"/>
                <w:color w:val="000000" w:themeColor="text1"/>
                <w:lang w:val="en-GB"/>
              </w:rPr>
              <w:t xml:space="preserve"> (in-kind)</w:t>
            </w:r>
          </w:p>
          <w:p w14:paraId="75C7E8D5" w14:textId="77777777" w:rsidR="00990DBA" w:rsidRPr="00AA2617" w:rsidRDefault="00990DBA" w:rsidP="00AA2617">
            <w:pPr>
              <w:tabs>
                <w:tab w:val="left" w:pos="270"/>
                <w:tab w:val="left" w:pos="540"/>
                <w:tab w:val="right" w:pos="1421"/>
                <w:tab w:val="left" w:pos="1781"/>
                <w:tab w:val="left" w:pos="7631"/>
              </w:tabs>
              <w:rPr>
                <w:rFonts w:eastAsia="Batang" w:cs="Times New Roman"/>
                <w:color w:val="000000" w:themeColor="text1"/>
                <w:lang w:val="en-GB"/>
              </w:rPr>
            </w:pPr>
          </w:p>
        </w:tc>
      </w:tr>
      <w:tr w:rsidR="003D34C0" w:rsidRPr="00AA2617" w14:paraId="3184315B" w14:textId="77777777" w:rsidTr="004D0BF4">
        <w:trPr>
          <w:trHeight w:val="274"/>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4A241473" w14:textId="77777777" w:rsidR="003D34C0" w:rsidRPr="00AA2617" w:rsidRDefault="003D34C0" w:rsidP="00AA2617">
            <w:pPr>
              <w:tabs>
                <w:tab w:val="left" w:pos="270"/>
                <w:tab w:val="left" w:pos="540"/>
                <w:tab w:val="left" w:pos="4827"/>
                <w:tab w:val="left" w:pos="4977"/>
                <w:tab w:val="left" w:pos="5535"/>
              </w:tabs>
              <w:rPr>
                <w:rFonts w:cs="Times New Roman"/>
                <w:szCs w:val="21"/>
                <w:lang w:val="en-GB" w:eastAsia="it-IT"/>
              </w:rPr>
            </w:pPr>
            <w:r w:rsidRPr="00AA2617">
              <w:rPr>
                <w:rFonts w:cs="Times New Roman"/>
                <w:color w:val="000000"/>
                <w:szCs w:val="21"/>
                <w:lang w:val="en-GB"/>
              </w:rPr>
              <w:lastRenderedPageBreak/>
              <w:t>Sub</w:t>
            </w:r>
            <w:r w:rsidRPr="00AA2617">
              <w:rPr>
                <w:rFonts w:eastAsia="Batang" w:cs="Times New Roman"/>
                <w:szCs w:val="21"/>
                <w:lang w:val="en-GB" w:eastAsia="it-IT"/>
              </w:rPr>
              <w:t>-total co-financing</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65315B30" w14:textId="78F6D2C9" w:rsidR="003D34C0" w:rsidRPr="00AA2617" w:rsidRDefault="002C3B72" w:rsidP="00AA2617">
            <w:pPr>
              <w:tabs>
                <w:tab w:val="left" w:pos="270"/>
                <w:tab w:val="left" w:pos="540"/>
                <w:tab w:val="left" w:pos="4827"/>
                <w:tab w:val="left" w:pos="4977"/>
                <w:tab w:val="left" w:pos="5535"/>
              </w:tabs>
              <w:rPr>
                <w:rFonts w:eastAsia="Batang" w:cs="Times New Roman"/>
                <w:color w:val="000000" w:themeColor="text1"/>
                <w:szCs w:val="21"/>
                <w:lang w:val="en-GB"/>
              </w:rPr>
            </w:pPr>
            <w:r w:rsidRPr="00AA2617">
              <w:rPr>
                <w:rFonts w:cs="Times New Roman"/>
                <w:color w:val="000000"/>
                <w:szCs w:val="21"/>
                <w:lang w:val="en-GB"/>
              </w:rPr>
              <w:t>USD</w:t>
            </w:r>
            <w:r w:rsidR="00D43C97" w:rsidRPr="00AA2617">
              <w:rPr>
                <w:rFonts w:cs="Times New Roman"/>
                <w:color w:val="000000"/>
                <w:szCs w:val="21"/>
                <w:lang w:val="en-GB"/>
              </w:rPr>
              <w:t xml:space="preserve">  1,</w:t>
            </w:r>
            <w:r w:rsidR="00ED516A" w:rsidRPr="00AA2617">
              <w:rPr>
                <w:rFonts w:cs="Times New Roman"/>
                <w:color w:val="000000"/>
                <w:szCs w:val="21"/>
                <w:lang w:val="en-GB"/>
              </w:rPr>
              <w:t>79</w:t>
            </w:r>
            <w:r w:rsidR="00D16A81" w:rsidRPr="00AA2617">
              <w:rPr>
                <w:rFonts w:cs="Times New Roman"/>
                <w:color w:val="000000"/>
                <w:szCs w:val="21"/>
                <w:lang w:val="en-GB"/>
              </w:rPr>
              <w:t>6,000</w:t>
            </w:r>
          </w:p>
        </w:tc>
      </w:tr>
      <w:tr w:rsidR="003D34C0" w:rsidRPr="00AA2617" w14:paraId="769EB570" w14:textId="77777777" w:rsidTr="004D0BF4">
        <w:trPr>
          <w:trHeight w:val="277"/>
        </w:trPr>
        <w:tc>
          <w:tcPr>
            <w:tcW w:w="1763" w:type="pct"/>
            <w:tcBorders>
              <w:top w:val="dotted" w:sz="4" w:space="0" w:color="auto"/>
              <w:left w:val="single" w:sz="4" w:space="0" w:color="auto"/>
              <w:bottom w:val="dotted" w:sz="4" w:space="0" w:color="auto"/>
              <w:right w:val="dotted" w:sz="4" w:space="0" w:color="auto"/>
            </w:tcBorders>
            <w:shd w:val="clear" w:color="auto" w:fill="auto"/>
          </w:tcPr>
          <w:p w14:paraId="37663FA2" w14:textId="77777777" w:rsidR="003D34C0" w:rsidRPr="00AA2617" w:rsidRDefault="003D34C0" w:rsidP="00AA2617">
            <w:pPr>
              <w:spacing w:before="80"/>
              <w:rPr>
                <w:rFonts w:cs="Times New Roman"/>
                <w:lang w:val="en-GB" w:eastAsia="it-IT"/>
              </w:rPr>
            </w:pPr>
            <w:r w:rsidRPr="00AA2617">
              <w:rPr>
                <w:rFonts w:eastAsia="Batang" w:cs="Times New Roman"/>
                <w:b/>
                <w:lang w:val="en-GB" w:eastAsia="it-IT"/>
              </w:rPr>
              <w:t>Total budget:</w:t>
            </w:r>
          </w:p>
        </w:tc>
        <w:tc>
          <w:tcPr>
            <w:tcW w:w="3237" w:type="pct"/>
            <w:tcBorders>
              <w:top w:val="dotted" w:sz="4" w:space="0" w:color="auto"/>
              <w:left w:val="dotted" w:sz="4" w:space="0" w:color="auto"/>
              <w:bottom w:val="dotted" w:sz="4" w:space="0" w:color="auto"/>
              <w:right w:val="single" w:sz="4" w:space="0" w:color="auto"/>
            </w:tcBorders>
            <w:shd w:val="clear" w:color="auto" w:fill="auto"/>
          </w:tcPr>
          <w:p w14:paraId="68A3FFF1" w14:textId="3E22DE10" w:rsidR="003D34C0" w:rsidRPr="00AA2617" w:rsidRDefault="002C3B72" w:rsidP="00AA2617">
            <w:pPr>
              <w:tabs>
                <w:tab w:val="left" w:pos="270"/>
                <w:tab w:val="left" w:pos="540"/>
                <w:tab w:val="left" w:pos="4827"/>
                <w:tab w:val="left" w:pos="4977"/>
                <w:tab w:val="left" w:pos="5535"/>
              </w:tabs>
              <w:rPr>
                <w:rFonts w:eastAsia="Batang" w:cs="Times New Roman"/>
                <w:b/>
                <w:color w:val="000000" w:themeColor="text1"/>
                <w:lang w:val="en-GB"/>
              </w:rPr>
            </w:pPr>
            <w:r w:rsidRPr="00AA2617">
              <w:rPr>
                <w:rFonts w:eastAsia="Batang" w:cs="Times New Roman"/>
                <w:b/>
                <w:color w:val="000000" w:themeColor="text1"/>
                <w:lang w:val="en-GB"/>
              </w:rPr>
              <w:t>USD</w:t>
            </w:r>
            <w:r w:rsidR="002F5EA7" w:rsidRPr="00AA2617">
              <w:rPr>
                <w:rFonts w:eastAsia="Batang" w:cs="Times New Roman"/>
                <w:b/>
                <w:color w:val="000000" w:themeColor="text1"/>
                <w:lang w:val="en-GB"/>
              </w:rPr>
              <w:t xml:space="preserve"> </w:t>
            </w:r>
            <w:r w:rsidR="00071F9C" w:rsidRPr="00AA2617">
              <w:rPr>
                <w:rFonts w:eastAsia="Batang" w:cs="Times New Roman"/>
                <w:b/>
                <w:color w:val="000000" w:themeColor="text1"/>
                <w:lang w:val="en-GB"/>
              </w:rPr>
              <w:t xml:space="preserve"> </w:t>
            </w:r>
            <w:r w:rsidR="00D16A81" w:rsidRPr="00AA2617">
              <w:rPr>
                <w:rFonts w:eastAsia="Batang" w:cs="Times New Roman"/>
                <w:b/>
                <w:color w:val="000000" w:themeColor="text1"/>
                <w:lang w:val="en-GB"/>
              </w:rPr>
              <w:t>2,659,44</w:t>
            </w:r>
            <w:r w:rsidR="00653BC9" w:rsidRPr="00AA2617">
              <w:rPr>
                <w:rFonts w:eastAsia="Batang" w:cs="Times New Roman"/>
                <w:b/>
                <w:color w:val="000000" w:themeColor="text1"/>
                <w:lang w:val="en-GB"/>
              </w:rPr>
              <w:t>2</w:t>
            </w:r>
          </w:p>
        </w:tc>
      </w:tr>
      <w:tr w:rsidR="00DB113C" w:rsidRPr="00AA2617" w14:paraId="19E5AAE3" w14:textId="77777777" w:rsidTr="00741546">
        <w:trPr>
          <w:trHeight w:val="1432"/>
        </w:trPr>
        <w:tc>
          <w:tcPr>
            <w:tcW w:w="5000" w:type="pct"/>
            <w:gridSpan w:val="2"/>
            <w:tcBorders>
              <w:top w:val="dotted" w:sz="4" w:space="0" w:color="auto"/>
              <w:left w:val="single" w:sz="4" w:space="0" w:color="auto"/>
              <w:bottom w:val="single" w:sz="4" w:space="0" w:color="auto"/>
              <w:right w:val="single" w:sz="4" w:space="0" w:color="auto"/>
            </w:tcBorders>
            <w:shd w:val="clear" w:color="auto" w:fill="auto"/>
          </w:tcPr>
          <w:p w14:paraId="41A37150" w14:textId="77777777" w:rsidR="00DB113C" w:rsidRPr="00AA2617" w:rsidRDefault="00DB113C" w:rsidP="00AA2617">
            <w:pPr>
              <w:outlineLvl w:val="0"/>
              <w:rPr>
                <w:rFonts w:cs="Times New Roman"/>
                <w:b/>
                <w:lang w:val="en-GB"/>
              </w:rPr>
            </w:pPr>
            <w:bookmarkStart w:id="2" w:name="_Toc9249165"/>
            <w:r w:rsidRPr="00AA2617">
              <w:rPr>
                <w:rFonts w:cs="Times New Roman"/>
                <w:b/>
                <w:lang w:val="en-GB"/>
              </w:rPr>
              <w:t>Executive Summary</w:t>
            </w:r>
            <w:bookmarkEnd w:id="2"/>
          </w:p>
          <w:p w14:paraId="363EEBFF" w14:textId="5B3D52DB" w:rsidR="00DB113C" w:rsidRPr="00AA2617" w:rsidRDefault="009047BB" w:rsidP="00AA2617">
            <w:pPr>
              <w:rPr>
                <w:rFonts w:cs="Times New Roman"/>
                <w:iCs/>
                <w:lang w:val="en-GB"/>
              </w:rPr>
            </w:pPr>
            <w:r w:rsidRPr="00AA2617">
              <w:rPr>
                <w:rFonts w:cs="Times New Roman"/>
                <w:iCs/>
                <w:lang w:val="en-GB"/>
              </w:rPr>
              <w:t xml:space="preserve">This project strengthens </w:t>
            </w:r>
            <w:r w:rsidR="007850EF" w:rsidRPr="00AA2617">
              <w:rPr>
                <w:rFonts w:cs="Times New Roman"/>
                <w:iCs/>
                <w:lang w:val="en-GB"/>
              </w:rPr>
              <w:t>Sri Lanka’s</w:t>
            </w:r>
            <w:r w:rsidRPr="00AA2617">
              <w:rPr>
                <w:rFonts w:cs="Times New Roman"/>
                <w:iCs/>
                <w:lang w:val="en-GB"/>
              </w:rPr>
              <w:t xml:space="preserve"> capacities for measurement, reporting, and verification (MRV) in the agricultur</w:t>
            </w:r>
            <w:r w:rsidR="00D170ED" w:rsidRPr="00AA2617">
              <w:rPr>
                <w:rFonts w:cs="Times New Roman"/>
                <w:iCs/>
                <w:lang w:val="en-GB"/>
              </w:rPr>
              <w:t>al</w:t>
            </w:r>
            <w:r w:rsidRPr="00AA2617">
              <w:rPr>
                <w:rFonts w:cs="Times New Roman"/>
                <w:iCs/>
                <w:lang w:val="en-GB"/>
              </w:rPr>
              <w:t xml:space="preserve"> and land</w:t>
            </w:r>
            <w:r w:rsidR="00D170ED" w:rsidRPr="00AA2617">
              <w:rPr>
                <w:rFonts w:cs="Times New Roman"/>
                <w:iCs/>
                <w:lang w:val="en-GB"/>
              </w:rPr>
              <w:t>-</w:t>
            </w:r>
            <w:r w:rsidRPr="00AA2617">
              <w:rPr>
                <w:rFonts w:cs="Times New Roman"/>
                <w:iCs/>
                <w:lang w:val="en-GB"/>
              </w:rPr>
              <w:t>use</w:t>
            </w:r>
            <w:r w:rsidR="00D170ED" w:rsidRPr="00AA2617">
              <w:rPr>
                <w:rFonts w:cs="Times New Roman"/>
                <w:iCs/>
                <w:lang w:val="en-GB"/>
              </w:rPr>
              <w:t xml:space="preserve"> sub-</w:t>
            </w:r>
            <w:r w:rsidRPr="00AA2617">
              <w:rPr>
                <w:rFonts w:cs="Times New Roman"/>
                <w:iCs/>
                <w:lang w:val="en-GB"/>
              </w:rPr>
              <w:t xml:space="preserve">sector in order to help </w:t>
            </w:r>
            <w:r w:rsidR="0089068E" w:rsidRPr="00AA2617">
              <w:rPr>
                <w:rFonts w:cs="Times New Roman"/>
                <w:iCs/>
                <w:lang w:val="en-GB"/>
              </w:rPr>
              <w:t>Sri Lanka to</w:t>
            </w:r>
            <w:r w:rsidRPr="00AA2617">
              <w:rPr>
                <w:rFonts w:cs="Times New Roman"/>
                <w:iCs/>
                <w:lang w:val="en-GB"/>
              </w:rPr>
              <w:t xml:space="preserve"> meet its commitments associated with the Enhanced Transparency Framework (ETF) of the Paris Agreement under the United Nations Framework Convention on Climate Change (UNFCCC).</w:t>
            </w:r>
          </w:p>
          <w:p w14:paraId="6D84B46F" w14:textId="757E0624" w:rsidR="00213739" w:rsidRPr="00AA2617" w:rsidRDefault="00213739" w:rsidP="00AA2617">
            <w:pPr>
              <w:rPr>
                <w:rFonts w:cs="Times New Roman"/>
                <w:lang w:val="en-GB"/>
              </w:rPr>
            </w:pPr>
            <w:r w:rsidRPr="00AA2617">
              <w:rPr>
                <w:rFonts w:cs="Times New Roman"/>
                <w:lang w:val="en-GB"/>
              </w:rPr>
              <w:t>As a Non-Annex I party to the Paris Agreement u</w:t>
            </w:r>
            <w:r w:rsidR="00655E34" w:rsidRPr="00AA2617">
              <w:rPr>
                <w:rFonts w:cs="Times New Roman"/>
                <w:lang w:val="en-GB"/>
              </w:rPr>
              <w:t>nder the UNFCCC</w:t>
            </w:r>
            <w:r w:rsidRPr="00AA2617">
              <w:rPr>
                <w:rFonts w:cs="Times New Roman"/>
                <w:lang w:val="en-GB"/>
              </w:rPr>
              <w:t xml:space="preserve">, </w:t>
            </w:r>
            <w:r w:rsidR="0089068E" w:rsidRPr="00AA2617">
              <w:rPr>
                <w:rFonts w:cs="Times New Roman"/>
                <w:lang w:val="en-GB"/>
              </w:rPr>
              <w:t xml:space="preserve">Sri Lanka </w:t>
            </w:r>
            <w:r w:rsidRPr="00AA2617">
              <w:rPr>
                <w:rFonts w:cs="Times New Roman"/>
                <w:lang w:val="en-GB"/>
              </w:rPr>
              <w:t xml:space="preserve">has </w:t>
            </w:r>
            <w:r w:rsidR="00F57F8F" w:rsidRPr="00AA2617">
              <w:rPr>
                <w:rFonts w:cs="Times New Roman"/>
                <w:lang w:val="en-GB"/>
              </w:rPr>
              <w:t>submitted Nationally Determined Contributions (NDC) to help keep climate change below a global rise of two degrees Celsius.</w:t>
            </w:r>
            <w:r w:rsidR="00655E34" w:rsidRPr="00AA2617">
              <w:rPr>
                <w:rFonts w:cs="Times New Roman"/>
                <w:lang w:val="en-GB"/>
              </w:rPr>
              <w:t xml:space="preserve">  As part of the </w:t>
            </w:r>
            <w:r w:rsidR="00F57F8F" w:rsidRPr="00AA2617">
              <w:rPr>
                <w:rFonts w:cs="Times New Roman"/>
                <w:lang w:val="en-GB"/>
              </w:rPr>
              <w:t xml:space="preserve">ETF, </w:t>
            </w:r>
            <w:r w:rsidR="0089068E" w:rsidRPr="00AA2617">
              <w:rPr>
                <w:rFonts w:cs="Times New Roman"/>
                <w:lang w:val="en-GB"/>
              </w:rPr>
              <w:t>Sri Lanka</w:t>
            </w:r>
            <w:r w:rsidR="00F57F8F" w:rsidRPr="00AA2617">
              <w:rPr>
                <w:rFonts w:cs="Times New Roman"/>
                <w:lang w:val="en-GB"/>
              </w:rPr>
              <w:t xml:space="preserve"> has committed to certain protocols for MRV</w:t>
            </w:r>
            <w:r w:rsidR="00655E34" w:rsidRPr="00AA2617">
              <w:rPr>
                <w:rFonts w:cs="Times New Roman"/>
                <w:lang w:val="en-GB"/>
              </w:rPr>
              <w:t xml:space="preserve"> regarding</w:t>
            </w:r>
            <w:r w:rsidR="00F57F8F" w:rsidRPr="00AA2617">
              <w:rPr>
                <w:rFonts w:cs="Times New Roman"/>
                <w:lang w:val="en-GB"/>
              </w:rPr>
              <w:t xml:space="preserve"> progress toward its NDC targets.</w:t>
            </w:r>
          </w:p>
          <w:p w14:paraId="1B992B24" w14:textId="51CC4C02" w:rsidR="00F57F8F" w:rsidRPr="00AA2617" w:rsidRDefault="00F57F8F" w:rsidP="00AA2617">
            <w:pPr>
              <w:rPr>
                <w:rFonts w:cs="Times New Roman"/>
                <w:lang w:val="en-GB"/>
              </w:rPr>
            </w:pPr>
            <w:r w:rsidRPr="00AA2617">
              <w:rPr>
                <w:rFonts w:cs="Times New Roman"/>
                <w:lang w:val="en-GB"/>
              </w:rPr>
              <w:t xml:space="preserve">This project avails of multiple sources of funding—including from the Global Environment Facility’s (GEF) Capacity-building Initiative for Transparency (CBIT)—to strengthen </w:t>
            </w:r>
            <w:r w:rsidR="0089068E" w:rsidRPr="00AA2617">
              <w:rPr>
                <w:rFonts w:cs="Times New Roman"/>
                <w:lang w:val="en-GB"/>
              </w:rPr>
              <w:t>Sri Lanka’s</w:t>
            </w:r>
            <w:r w:rsidRPr="00AA2617">
              <w:rPr>
                <w:rFonts w:cs="Times New Roman"/>
                <w:lang w:val="en-GB"/>
              </w:rPr>
              <w:t xml:space="preserve"> MRV systems </w:t>
            </w:r>
            <w:r w:rsidR="00655E34" w:rsidRPr="00AA2617">
              <w:rPr>
                <w:rFonts w:cs="Times New Roman"/>
                <w:lang w:val="en-GB"/>
              </w:rPr>
              <w:t xml:space="preserve">within the </w:t>
            </w:r>
            <w:r w:rsidR="00D170ED" w:rsidRPr="00AA2617">
              <w:rPr>
                <w:rFonts w:cs="Times New Roman"/>
                <w:lang w:val="en-GB"/>
              </w:rPr>
              <w:t>agriculture, forestry, and other land-uses (</w:t>
            </w:r>
            <w:r w:rsidR="00655E34" w:rsidRPr="00AA2617">
              <w:rPr>
                <w:rFonts w:cs="Times New Roman"/>
                <w:lang w:val="en-GB"/>
              </w:rPr>
              <w:t>AFOLU</w:t>
            </w:r>
            <w:r w:rsidR="00D170ED" w:rsidRPr="00AA2617">
              <w:rPr>
                <w:rFonts w:cs="Times New Roman"/>
                <w:lang w:val="en-GB"/>
              </w:rPr>
              <w:t>)</w:t>
            </w:r>
            <w:r w:rsidRPr="00AA2617">
              <w:rPr>
                <w:rFonts w:cs="Times New Roman"/>
                <w:lang w:val="en-GB"/>
              </w:rPr>
              <w:t xml:space="preserve"> sector in order to </w:t>
            </w:r>
            <w:r w:rsidR="0089068E" w:rsidRPr="00AA2617">
              <w:rPr>
                <w:rFonts w:cs="Times New Roman"/>
                <w:lang w:val="en-GB"/>
              </w:rPr>
              <w:t>fulfil</w:t>
            </w:r>
            <w:r w:rsidRPr="00AA2617">
              <w:rPr>
                <w:rFonts w:cs="Times New Roman"/>
                <w:lang w:val="en-GB"/>
              </w:rPr>
              <w:t xml:space="preserve"> </w:t>
            </w:r>
            <w:r w:rsidR="0089068E" w:rsidRPr="00AA2617">
              <w:rPr>
                <w:rFonts w:cs="Times New Roman"/>
                <w:lang w:val="en-GB"/>
              </w:rPr>
              <w:t>Sri Lanka’s</w:t>
            </w:r>
            <w:r w:rsidRPr="00AA2617">
              <w:rPr>
                <w:rFonts w:cs="Times New Roman"/>
                <w:lang w:val="en-GB"/>
              </w:rPr>
              <w:t xml:space="preserve"> ETF commitments and improve the quality of climate-related decision-making at international, national, </w:t>
            </w:r>
            <w:r w:rsidR="00D170ED" w:rsidRPr="00AA2617">
              <w:rPr>
                <w:rFonts w:cs="Times New Roman"/>
                <w:lang w:val="en-GB"/>
              </w:rPr>
              <w:t>provincial</w:t>
            </w:r>
            <w:r w:rsidRPr="00AA2617">
              <w:rPr>
                <w:rFonts w:cs="Times New Roman"/>
                <w:lang w:val="en-GB"/>
              </w:rPr>
              <w:t xml:space="preserve">, </w:t>
            </w:r>
            <w:r w:rsidR="00D170ED" w:rsidRPr="00AA2617">
              <w:rPr>
                <w:rFonts w:cs="Times New Roman"/>
                <w:lang w:val="en-GB"/>
              </w:rPr>
              <w:t>district</w:t>
            </w:r>
            <w:r w:rsidRPr="00AA2617">
              <w:rPr>
                <w:rFonts w:cs="Times New Roman"/>
                <w:lang w:val="en-GB"/>
              </w:rPr>
              <w:t>, and local</w:t>
            </w:r>
            <w:r w:rsidR="00D170ED" w:rsidRPr="00AA2617">
              <w:rPr>
                <w:rFonts w:cs="Times New Roman"/>
                <w:lang w:val="en-GB"/>
              </w:rPr>
              <w:t>/ village</w:t>
            </w:r>
            <w:r w:rsidRPr="00AA2617">
              <w:rPr>
                <w:rFonts w:cs="Times New Roman"/>
                <w:lang w:val="en-GB"/>
              </w:rPr>
              <w:t xml:space="preserve"> levels.</w:t>
            </w:r>
          </w:p>
          <w:p w14:paraId="5D435658" w14:textId="36602023" w:rsidR="00D66D0C" w:rsidRPr="00AA2617" w:rsidRDefault="00D66D0C" w:rsidP="00AA2617">
            <w:pPr>
              <w:rPr>
                <w:rFonts w:cs="Times New Roman"/>
                <w:lang w:val="en-GB"/>
              </w:rPr>
            </w:pPr>
            <w:r w:rsidRPr="00AA2617">
              <w:rPr>
                <w:rFonts w:cs="Times New Roman"/>
                <w:lang w:val="en-GB"/>
              </w:rPr>
              <w:t>Sri Lanka’s estimated total emission</w:t>
            </w:r>
            <w:r w:rsidR="007A12BA" w:rsidRPr="00AA2617">
              <w:rPr>
                <w:rFonts w:cs="Times New Roman"/>
                <w:lang w:val="en-GB"/>
              </w:rPr>
              <w:t>s as</w:t>
            </w:r>
            <w:r w:rsidRPr="00AA2617">
              <w:rPr>
                <w:rFonts w:cs="Times New Roman"/>
                <w:lang w:val="en-GB"/>
              </w:rPr>
              <w:t xml:space="preserve"> </w:t>
            </w:r>
            <w:r w:rsidR="00D721BA" w:rsidRPr="00AA2617">
              <w:rPr>
                <w:rFonts w:cs="Times New Roman"/>
                <w:lang w:val="en-GB"/>
              </w:rPr>
              <w:t>12,588.9</w:t>
            </w:r>
            <w:r w:rsidR="004E6546" w:rsidRPr="00AA2617">
              <w:rPr>
                <w:rFonts w:cs="Times New Roman"/>
                <w:lang w:val="en-GB"/>
              </w:rPr>
              <w:t xml:space="preserve"> </w:t>
            </w:r>
            <w:r w:rsidRPr="00AA2617">
              <w:rPr>
                <w:rFonts w:cs="Times New Roman"/>
                <w:lang w:val="en-GB"/>
              </w:rPr>
              <w:t>Gg CO</w:t>
            </w:r>
            <w:r w:rsidRPr="00AA2617">
              <w:rPr>
                <w:rFonts w:cs="Times New Roman"/>
                <w:vertAlign w:val="subscript"/>
                <w:lang w:val="en-GB"/>
              </w:rPr>
              <w:t>2</w:t>
            </w:r>
            <w:r w:rsidRPr="00AA2617">
              <w:rPr>
                <w:rFonts w:cs="Times New Roman"/>
                <w:lang w:val="en-GB"/>
              </w:rPr>
              <w:t>e from all sectors</w:t>
            </w:r>
            <w:r w:rsidR="00163CDD" w:rsidRPr="00AA2617">
              <w:rPr>
                <w:rFonts w:cs="Times New Roman"/>
                <w:lang w:val="en-GB"/>
              </w:rPr>
              <w:t>,</w:t>
            </w:r>
            <w:r w:rsidRPr="00AA2617">
              <w:rPr>
                <w:rFonts w:cs="Times New Roman"/>
                <w:lang w:val="en-GB"/>
              </w:rPr>
              <w:t xml:space="preserve"> whereas </w:t>
            </w:r>
            <w:r w:rsidR="007A12BA" w:rsidRPr="00AA2617">
              <w:rPr>
                <w:rFonts w:cs="Times New Roman"/>
                <w:lang w:val="en-GB"/>
              </w:rPr>
              <w:t xml:space="preserve">the </w:t>
            </w:r>
            <w:r w:rsidRPr="00AA2617">
              <w:rPr>
                <w:rFonts w:cs="Times New Roman"/>
                <w:lang w:val="en-GB"/>
              </w:rPr>
              <w:t xml:space="preserve">agriculture </w:t>
            </w:r>
            <w:r w:rsidR="007A12BA" w:rsidRPr="00AA2617">
              <w:rPr>
                <w:rFonts w:cs="Times New Roman"/>
                <w:lang w:val="en-GB"/>
              </w:rPr>
              <w:t>sub-</w:t>
            </w:r>
            <w:r w:rsidRPr="00AA2617">
              <w:rPr>
                <w:rFonts w:cs="Times New Roman"/>
                <w:lang w:val="en-GB"/>
              </w:rPr>
              <w:t xml:space="preserve">sector contributes </w:t>
            </w:r>
            <w:r w:rsidR="00D721BA" w:rsidRPr="00AA2617">
              <w:rPr>
                <w:rFonts w:cs="Times New Roman"/>
                <w:lang w:val="en-GB"/>
              </w:rPr>
              <w:t>4709.4 Gg CO</w:t>
            </w:r>
            <w:r w:rsidR="00D721BA" w:rsidRPr="00AA2617">
              <w:rPr>
                <w:rFonts w:cs="Times New Roman"/>
                <w:vertAlign w:val="subscript"/>
                <w:lang w:val="en-GB"/>
              </w:rPr>
              <w:t>2</w:t>
            </w:r>
            <w:r w:rsidR="00D721BA" w:rsidRPr="00AA2617">
              <w:rPr>
                <w:rFonts w:cs="Times New Roman"/>
                <w:lang w:val="en-GB"/>
              </w:rPr>
              <w:t xml:space="preserve">e </w:t>
            </w:r>
            <w:r w:rsidRPr="00AA2617">
              <w:rPr>
                <w:rFonts w:cs="Times New Roman"/>
                <w:lang w:val="en-GB"/>
              </w:rPr>
              <w:t xml:space="preserve">These estimates come from GHG estimation </w:t>
            </w:r>
            <w:r w:rsidR="004E6546" w:rsidRPr="00AA2617">
              <w:rPr>
                <w:rFonts w:cs="Times New Roman"/>
                <w:lang w:val="en-GB"/>
              </w:rPr>
              <w:t>of second</w:t>
            </w:r>
            <w:r w:rsidRPr="00AA2617">
              <w:rPr>
                <w:rFonts w:cs="Times New Roman"/>
                <w:lang w:val="en-GB"/>
              </w:rPr>
              <w:t xml:space="preserve"> National Communication of Sri Lanka to UNFCCC. Sri Lanka also report</w:t>
            </w:r>
            <w:r w:rsidR="00D721BA" w:rsidRPr="00AA2617">
              <w:rPr>
                <w:rFonts w:cs="Times New Roman"/>
                <w:lang w:val="en-GB"/>
              </w:rPr>
              <w:t>ed</w:t>
            </w:r>
            <w:r w:rsidRPr="00AA2617">
              <w:rPr>
                <w:rFonts w:cs="Times New Roman"/>
                <w:lang w:val="en-GB"/>
              </w:rPr>
              <w:t xml:space="preserve"> </w:t>
            </w:r>
            <w:r w:rsidR="00D721BA" w:rsidRPr="00AA2617">
              <w:rPr>
                <w:rFonts w:cs="Times New Roman"/>
                <w:lang w:val="en-GB"/>
              </w:rPr>
              <w:t xml:space="preserve">LUCF </w:t>
            </w:r>
            <w:r w:rsidRPr="00AA2617">
              <w:rPr>
                <w:rFonts w:cs="Times New Roman"/>
                <w:lang w:val="en-GB"/>
              </w:rPr>
              <w:t>CO</w:t>
            </w:r>
            <w:r w:rsidRPr="00AA2617">
              <w:rPr>
                <w:rFonts w:cs="Times New Roman"/>
                <w:vertAlign w:val="subscript"/>
                <w:lang w:val="en-GB"/>
              </w:rPr>
              <w:t>2</w:t>
            </w:r>
            <w:r w:rsidRPr="00AA2617">
              <w:rPr>
                <w:rFonts w:cs="Times New Roman"/>
                <w:lang w:val="en-GB"/>
              </w:rPr>
              <w:t xml:space="preserve"> Removals as </w:t>
            </w:r>
            <w:r w:rsidR="00D721BA" w:rsidRPr="00AA2617">
              <w:rPr>
                <w:rFonts w:cs="Times New Roman"/>
                <w:lang w:val="en-GB"/>
              </w:rPr>
              <w:t>-6254.0 Gg CO</w:t>
            </w:r>
            <w:r w:rsidR="00D721BA" w:rsidRPr="00AA2617">
              <w:rPr>
                <w:rFonts w:cs="Times New Roman"/>
                <w:vertAlign w:val="subscript"/>
                <w:lang w:val="en-GB"/>
              </w:rPr>
              <w:t>2</w:t>
            </w:r>
            <w:r w:rsidR="00D721BA" w:rsidRPr="00AA2617">
              <w:rPr>
                <w:rFonts w:cs="Times New Roman"/>
                <w:lang w:val="en-GB"/>
              </w:rPr>
              <w:t xml:space="preserve">e. </w:t>
            </w:r>
          </w:p>
          <w:p w14:paraId="78E70A7B" w14:textId="685AB753" w:rsidR="00F57F8F" w:rsidRPr="00AA2617" w:rsidRDefault="009047BB" w:rsidP="00AA2617">
            <w:pPr>
              <w:rPr>
                <w:rFonts w:cs="Times New Roman"/>
                <w:lang w:val="en-GB"/>
              </w:rPr>
            </w:pPr>
            <w:r w:rsidRPr="00AA2617">
              <w:rPr>
                <w:rFonts w:cs="Times New Roman"/>
                <w:lang w:val="en-GB"/>
              </w:rPr>
              <w:t xml:space="preserve">Moreover, the AFOLU sector features prominently in </w:t>
            </w:r>
            <w:r w:rsidR="00B30187" w:rsidRPr="00AA2617">
              <w:rPr>
                <w:rFonts w:cs="Times New Roman"/>
                <w:lang w:val="en-GB"/>
              </w:rPr>
              <w:t xml:space="preserve">Sri Lanka’s </w:t>
            </w:r>
            <w:r w:rsidRPr="00AA2617">
              <w:rPr>
                <w:rFonts w:cs="Times New Roman"/>
                <w:lang w:val="en-GB"/>
              </w:rPr>
              <w:t>NDC</w:t>
            </w:r>
            <w:r w:rsidR="00B00F22" w:rsidRPr="00AA2617">
              <w:rPr>
                <w:rFonts w:cs="Times New Roman"/>
                <w:lang w:val="en-GB"/>
              </w:rPr>
              <w:t xml:space="preserve"> and predominates the section on climate-change adaptation, though strategies and capacities for adaptation-related monitoring and reporting (M&amp;R) significantly lag </w:t>
            </w:r>
            <w:r w:rsidR="003B68C9" w:rsidRPr="00AA2617">
              <w:rPr>
                <w:rFonts w:cs="Times New Roman"/>
                <w:lang w:val="en-GB"/>
              </w:rPr>
              <w:t xml:space="preserve">behind </w:t>
            </w:r>
            <w:r w:rsidR="00B00F22" w:rsidRPr="00AA2617">
              <w:rPr>
                <w:rFonts w:cs="Times New Roman"/>
                <w:lang w:val="en-GB"/>
              </w:rPr>
              <w:t>those for mitigation-related MRV.</w:t>
            </w:r>
            <w:r w:rsidR="003B68C9" w:rsidRPr="00AA2617">
              <w:rPr>
                <w:rFonts w:cs="Times New Roman"/>
                <w:lang w:val="en-GB"/>
              </w:rPr>
              <w:t xml:space="preserve"> It was widely agreed during stakeholder consultation meeting that Climate change adaptation NDC needs to be enhanced and updated. </w:t>
            </w:r>
          </w:p>
          <w:p w14:paraId="1762F2DF" w14:textId="779CB9A0" w:rsidR="009047BB" w:rsidRPr="00AA2617" w:rsidRDefault="009047BB" w:rsidP="00AA2617">
            <w:pPr>
              <w:rPr>
                <w:rFonts w:cs="Times New Roman"/>
                <w:lang w:val="en-GB"/>
              </w:rPr>
            </w:pPr>
            <w:r w:rsidRPr="00AA2617">
              <w:rPr>
                <w:rFonts w:cs="Times New Roman"/>
                <w:lang w:val="en-GB"/>
              </w:rPr>
              <w:t xml:space="preserve">However, gaps remain in </w:t>
            </w:r>
            <w:r w:rsidR="0091322D" w:rsidRPr="00AA2617">
              <w:rPr>
                <w:rFonts w:cs="Times New Roman"/>
                <w:lang w:val="en-GB"/>
              </w:rPr>
              <w:t>Sri Lanka’s</w:t>
            </w:r>
            <w:r w:rsidRPr="00AA2617">
              <w:rPr>
                <w:rFonts w:cs="Times New Roman"/>
                <w:lang w:val="en-GB"/>
              </w:rPr>
              <w:t xml:space="preserve"> AFOLU MRV systems</w:t>
            </w:r>
            <w:r w:rsidR="00BE0C26" w:rsidRPr="00AA2617">
              <w:rPr>
                <w:rFonts w:cs="Times New Roman"/>
                <w:lang w:val="en-GB"/>
              </w:rPr>
              <w:t>, for example,</w:t>
            </w:r>
            <w:r w:rsidR="00D322EB" w:rsidRPr="00AA2617">
              <w:rPr>
                <w:rFonts w:cs="Times New Roman"/>
                <w:lang w:val="en-GB"/>
              </w:rPr>
              <w:t xml:space="preserve"> with respect to (i) establishment of nationally specific emissions factors and activity data (for </w:t>
            </w:r>
            <w:r w:rsidR="004E6546" w:rsidRPr="00AA2617">
              <w:rPr>
                <w:rFonts w:cs="Times New Roman"/>
                <w:lang w:val="en-GB"/>
              </w:rPr>
              <w:t xml:space="preserve">26 guidelines of </w:t>
            </w:r>
            <w:r w:rsidR="00D322EB" w:rsidRPr="00AA2617">
              <w:rPr>
                <w:rFonts w:cs="Times New Roman"/>
                <w:lang w:val="en-GB"/>
              </w:rPr>
              <w:t>IPCC Tier 2 reporting</w:t>
            </w:r>
            <w:r w:rsidR="00BE0C26" w:rsidRPr="00AA2617">
              <w:rPr>
                <w:rFonts w:cs="Times New Roman"/>
                <w:lang w:val="en-GB"/>
              </w:rPr>
              <w:t xml:space="preserve"> for key categories</w:t>
            </w:r>
            <w:r w:rsidR="00D322EB" w:rsidRPr="00AA2617">
              <w:rPr>
                <w:rFonts w:cs="Times New Roman"/>
                <w:lang w:val="en-GB"/>
              </w:rPr>
              <w:t xml:space="preserve">), (ii) </w:t>
            </w:r>
            <w:r w:rsidR="00BE0C26" w:rsidRPr="00AA2617">
              <w:rPr>
                <w:rFonts w:cs="Times New Roman"/>
                <w:lang w:val="en-GB"/>
              </w:rPr>
              <w:t>full determination of key sub-categories, (iii) uncertainty estimates, (iv) establishment of metadata and quality-control protocols, (v) reliable measurement of activity data for key IPCC AFOLU categories, (vi) feasibility studies for adaptation-related interventions, (vii) prioritization and specification of adaptation-related metrics, and (viii) ensuring the financial and operational sustainability of MRV initiatives.</w:t>
            </w:r>
          </w:p>
          <w:p w14:paraId="4A94963F" w14:textId="77777777" w:rsidR="00D170ED" w:rsidRPr="00AA2617" w:rsidRDefault="009047BB" w:rsidP="00AA2617">
            <w:pPr>
              <w:rPr>
                <w:rFonts w:cs="Times New Roman"/>
                <w:lang w:val="en-GB"/>
              </w:rPr>
            </w:pPr>
            <w:r w:rsidRPr="00AA2617">
              <w:rPr>
                <w:rFonts w:cs="Times New Roman"/>
                <w:lang w:val="en-GB"/>
              </w:rPr>
              <w:t>Closing these gaps requires addressing some important barriers</w:t>
            </w:r>
            <w:r w:rsidR="00D170ED" w:rsidRPr="00AA2617">
              <w:rPr>
                <w:rFonts w:cs="Times New Roman"/>
                <w:lang w:val="en-GB"/>
              </w:rPr>
              <w:t>, namely:</w:t>
            </w:r>
          </w:p>
          <w:p w14:paraId="6C633C37" w14:textId="77777777" w:rsidR="009047BB" w:rsidRPr="00AA2617" w:rsidRDefault="00406218" w:rsidP="00AA2617">
            <w:pPr>
              <w:pStyle w:val="ListParagraph"/>
              <w:numPr>
                <w:ilvl w:val="0"/>
                <w:numId w:val="27"/>
              </w:numPr>
              <w:ind w:hanging="360"/>
              <w:rPr>
                <w:rFonts w:cs="Times New Roman"/>
                <w:lang w:val="en-GB"/>
              </w:rPr>
            </w:pPr>
            <w:r w:rsidRPr="00AA2617">
              <w:rPr>
                <w:rFonts w:cs="Times New Roman"/>
                <w:lang w:val="en-GB"/>
              </w:rPr>
              <w:t>Inadequate institutional arrangements to support the transition to ETF;</w:t>
            </w:r>
          </w:p>
          <w:p w14:paraId="3609F56E" w14:textId="77777777" w:rsidR="00406218" w:rsidRPr="00AA2617" w:rsidRDefault="00406218" w:rsidP="00AA2617">
            <w:pPr>
              <w:pStyle w:val="ListParagraph"/>
              <w:numPr>
                <w:ilvl w:val="0"/>
                <w:numId w:val="27"/>
              </w:numPr>
              <w:ind w:hanging="360"/>
              <w:rPr>
                <w:rFonts w:cs="Times New Roman"/>
                <w:lang w:val="en-GB"/>
              </w:rPr>
            </w:pPr>
            <w:r w:rsidRPr="00AA2617">
              <w:rPr>
                <w:rFonts w:cs="Times New Roman"/>
                <w:lang w:val="en-GB"/>
              </w:rPr>
              <w:t>Inadequate technological and technical capacities for mitigation-related MRV; and</w:t>
            </w:r>
          </w:p>
          <w:p w14:paraId="371942B8" w14:textId="77777777" w:rsidR="00406218" w:rsidRPr="00AA2617" w:rsidRDefault="00406218" w:rsidP="00AA2617">
            <w:pPr>
              <w:pStyle w:val="ListParagraph"/>
              <w:numPr>
                <w:ilvl w:val="0"/>
                <w:numId w:val="27"/>
              </w:numPr>
              <w:ind w:hanging="360"/>
              <w:rPr>
                <w:rFonts w:cs="Times New Roman"/>
                <w:lang w:val="en-GB"/>
              </w:rPr>
            </w:pPr>
            <w:r w:rsidRPr="00AA2617">
              <w:rPr>
                <w:rFonts w:cs="Times New Roman"/>
                <w:lang w:val="en-GB"/>
              </w:rPr>
              <w:t>Inadequate technological and technical capacities for adaptation-related M&amp;R.</w:t>
            </w:r>
          </w:p>
          <w:p w14:paraId="200B3223" w14:textId="77777777" w:rsidR="009047BB" w:rsidRPr="00AA2617" w:rsidRDefault="009047BB" w:rsidP="00AA2617">
            <w:pPr>
              <w:rPr>
                <w:rFonts w:cs="Times New Roman"/>
                <w:lang w:val="en-GB"/>
              </w:rPr>
            </w:pPr>
            <w:r w:rsidRPr="00AA2617">
              <w:rPr>
                <w:rFonts w:cs="Times New Roman"/>
                <w:lang w:val="en-GB"/>
              </w:rPr>
              <w:t>This project is structured in</w:t>
            </w:r>
            <w:r w:rsidR="00D170ED" w:rsidRPr="00AA2617">
              <w:rPr>
                <w:rFonts w:cs="Times New Roman"/>
                <w:lang w:val="en-GB"/>
              </w:rPr>
              <w:t>to three components to address these</w:t>
            </w:r>
            <w:r w:rsidRPr="00AA2617">
              <w:rPr>
                <w:rFonts w:cs="Times New Roman"/>
                <w:lang w:val="en-GB"/>
              </w:rPr>
              <w:t xml:space="preserve"> barriers.</w:t>
            </w:r>
          </w:p>
          <w:p w14:paraId="688F1F43" w14:textId="267E1BD6" w:rsidR="009047BB" w:rsidRPr="00AA2617" w:rsidRDefault="00F64A7E" w:rsidP="00AA2617">
            <w:pPr>
              <w:rPr>
                <w:color w:val="000000"/>
                <w:sz w:val="20"/>
                <w:szCs w:val="20"/>
              </w:rPr>
            </w:pPr>
            <w:r w:rsidRPr="00AA2617">
              <w:rPr>
                <w:i/>
                <w:color w:val="000000"/>
                <w:sz w:val="20"/>
                <w:szCs w:val="20"/>
              </w:rPr>
              <w:t>Component 1.</w:t>
            </w:r>
            <w:r w:rsidRPr="00AA2617">
              <w:rPr>
                <w:color w:val="000000"/>
                <w:sz w:val="20"/>
                <w:szCs w:val="20"/>
              </w:rPr>
              <w:t xml:space="preserve"> Institutional arrangements to coordinate preparation of ETF reports for agriculture, land-use and other relevant sectors</w:t>
            </w:r>
            <w:r w:rsidRPr="00AA2617" w:rsidDel="00DB2BB0">
              <w:rPr>
                <w:color w:val="000000"/>
                <w:sz w:val="20"/>
                <w:szCs w:val="20"/>
              </w:rPr>
              <w:t xml:space="preserve"> </w:t>
            </w:r>
            <w:r w:rsidRPr="00AA2617">
              <w:rPr>
                <w:color w:val="000000"/>
                <w:sz w:val="20"/>
                <w:szCs w:val="20"/>
              </w:rPr>
              <w:t>enhanced</w:t>
            </w:r>
          </w:p>
          <w:p w14:paraId="1C31E459" w14:textId="77777777" w:rsidR="00EC6A93" w:rsidRPr="00AA2617" w:rsidRDefault="00EC6A93" w:rsidP="00AA2617">
            <w:pPr>
              <w:numPr>
                <w:ilvl w:val="1"/>
                <w:numId w:val="44"/>
              </w:numPr>
              <w:spacing w:before="120"/>
              <w:ind w:left="792"/>
            </w:pPr>
            <w:r w:rsidRPr="00AA2617">
              <w:t>1.1 Institutional arrangements coordinating information and data collection from the agriculture and land use sectors into ETF processes and reports enhanced.</w:t>
            </w:r>
          </w:p>
          <w:p w14:paraId="4111ED78" w14:textId="77777777" w:rsidR="00EC6A93" w:rsidRPr="00AA2617" w:rsidRDefault="00EC6A93" w:rsidP="00AA2617">
            <w:pPr>
              <w:numPr>
                <w:ilvl w:val="2"/>
                <w:numId w:val="44"/>
              </w:numPr>
              <w:spacing w:before="120"/>
              <w:ind w:left="1080"/>
            </w:pPr>
            <w:r w:rsidRPr="00AA2617">
              <w:t>1.1.1 Coordination mechanism established/strengthened integrating relevant authorities from the agriculture and land use sector into national UNFCCC reporting processes.</w:t>
            </w:r>
          </w:p>
          <w:p w14:paraId="67CFE4D7" w14:textId="77777777" w:rsidR="00EC6A93" w:rsidRPr="00AA2617" w:rsidRDefault="00EC6A93" w:rsidP="00AA2617">
            <w:pPr>
              <w:numPr>
                <w:ilvl w:val="2"/>
                <w:numId w:val="44"/>
              </w:numPr>
              <w:spacing w:before="120"/>
              <w:ind w:left="1080"/>
            </w:pPr>
            <w:r w:rsidRPr="00AA2617">
              <w:t>1.1.2. Assessment prepared to assess institutional, data collection, analysis and reporting capacity gas and needs for meeting ETF requirements with specific focus on the priority NDC actions for the agriculture and land-use sectors.</w:t>
            </w:r>
          </w:p>
          <w:p w14:paraId="2D8AFA8D" w14:textId="77777777" w:rsidR="00EC6A93" w:rsidRPr="00AA2617" w:rsidRDefault="00EC6A93" w:rsidP="00AA2617">
            <w:pPr>
              <w:numPr>
                <w:ilvl w:val="2"/>
                <w:numId w:val="44"/>
              </w:numPr>
              <w:spacing w:before="120"/>
              <w:ind w:left="1080"/>
            </w:pPr>
            <w:r w:rsidRPr="00AA2617">
              <w:t>1.1.3. National ETF monitoring and reporting roadmap for the agriculture and land-use sectors prepared and adopted</w:t>
            </w:r>
          </w:p>
          <w:p w14:paraId="47BAC305" w14:textId="77777777" w:rsidR="00EC6A93" w:rsidRPr="00AA2617" w:rsidRDefault="00EC6A93" w:rsidP="00AA2617">
            <w:pPr>
              <w:numPr>
                <w:ilvl w:val="2"/>
                <w:numId w:val="44"/>
              </w:numPr>
              <w:spacing w:before="120"/>
              <w:ind w:left="1080"/>
            </w:pPr>
            <w:r w:rsidRPr="00AA2617">
              <w:lastRenderedPageBreak/>
              <w:t>1.1.4. Capacity developed to clarify measurement and reporting of key NDC information (baselines, Business-As-Usual targets) and support provided for ETF reporting in the agriculture and land-use sectors.</w:t>
            </w:r>
          </w:p>
          <w:p w14:paraId="62D881D0" w14:textId="77777777" w:rsidR="00EC6A93" w:rsidRPr="00AA2617" w:rsidRDefault="00EC6A93" w:rsidP="00AA2617">
            <w:pPr>
              <w:numPr>
                <w:ilvl w:val="2"/>
                <w:numId w:val="44"/>
              </w:numPr>
              <w:spacing w:before="120"/>
              <w:ind w:left="1080"/>
            </w:pPr>
            <w:r w:rsidRPr="00AA2617">
              <w:t>1.1.5. Sri Lanka's engagement strengthened in the agriculture and land-use sectors with international transparency-related processes under the UNFCCC.</w:t>
            </w:r>
          </w:p>
          <w:p w14:paraId="26F8F117" w14:textId="77777777" w:rsidR="00EC6A93" w:rsidRPr="00AA2617" w:rsidRDefault="00EC6A93" w:rsidP="00AA2617">
            <w:pPr>
              <w:numPr>
                <w:ilvl w:val="1"/>
                <w:numId w:val="44"/>
              </w:numPr>
              <w:spacing w:before="120"/>
              <w:ind w:left="792"/>
            </w:pPr>
            <w:r w:rsidRPr="00AA2617">
              <w:t xml:space="preserve">1.2 Best practices on ETF reporting processes, information gathering, system infrastructure, methodologies in the agriculture and land-use sectors disseminated to relevant priority sectors (e.g. energy, industry/trade, transportation). </w:t>
            </w:r>
          </w:p>
          <w:p w14:paraId="3745C1BE" w14:textId="77777777" w:rsidR="00EC6A93" w:rsidRPr="00AA2617" w:rsidRDefault="00EC6A93" w:rsidP="00AA2617">
            <w:pPr>
              <w:numPr>
                <w:ilvl w:val="2"/>
                <w:numId w:val="44"/>
              </w:numPr>
              <w:spacing w:before="120"/>
              <w:ind w:left="1080"/>
            </w:pPr>
            <w:r w:rsidRPr="00AA2617">
              <w:t>1.2.1 Multi-sectoral coordination mechanism strengthened integrating relevant authorities into national UNFCCC reporting processes.</w:t>
            </w:r>
          </w:p>
          <w:p w14:paraId="0A266D52" w14:textId="77777777" w:rsidR="00EC6A93" w:rsidRPr="00AA2617" w:rsidRDefault="00EC6A93" w:rsidP="00AA2617">
            <w:pPr>
              <w:numPr>
                <w:ilvl w:val="2"/>
                <w:numId w:val="44"/>
              </w:numPr>
              <w:spacing w:before="120"/>
              <w:ind w:left="1080"/>
            </w:pPr>
            <w:r w:rsidRPr="00AA2617">
              <w:t>1.2.2 ETF lessons learned from agriculture and land-use sectors monitored, captured, scaled up and shared to enhance wider national reporting.</w:t>
            </w:r>
          </w:p>
          <w:p w14:paraId="7F3C875A" w14:textId="77777777" w:rsidR="00EC6A93" w:rsidRPr="00AA2617" w:rsidRDefault="00EC6A93" w:rsidP="00AA2617">
            <w:pPr>
              <w:numPr>
                <w:ilvl w:val="2"/>
                <w:numId w:val="44"/>
              </w:numPr>
              <w:spacing w:before="120"/>
              <w:ind w:left="1080"/>
            </w:pPr>
            <w:r w:rsidRPr="00AA2617">
              <w:t>1.2.3 Peer exchange program on transparency activities established for relevant priority sectors.</w:t>
            </w:r>
          </w:p>
          <w:p w14:paraId="31BF1143" w14:textId="0A05FF6D" w:rsidR="00EC6A93" w:rsidRPr="00AA2617" w:rsidRDefault="00EC6A93" w:rsidP="00AA2617">
            <w:pPr>
              <w:rPr>
                <w:rFonts w:cs="Times New Roman"/>
                <w:i/>
                <w:szCs w:val="21"/>
                <w:lang w:val="en-GB"/>
              </w:rPr>
            </w:pPr>
            <w:r w:rsidRPr="00AA2617">
              <w:rPr>
                <w:i/>
                <w:color w:val="000000"/>
                <w:sz w:val="20"/>
                <w:szCs w:val="20"/>
              </w:rPr>
              <w:t>Component 2</w:t>
            </w:r>
            <w:r w:rsidRPr="00AA2617">
              <w:rPr>
                <w:color w:val="000000"/>
                <w:sz w:val="20"/>
                <w:szCs w:val="20"/>
              </w:rPr>
              <w:t>. Capacity to assess and report emissions and removals from land-use sectors and to design and monitor related emission reduction activities strengthened and adaptation capacity in agriculture sector enhanced”</w:t>
            </w:r>
          </w:p>
          <w:p w14:paraId="135DCEE8" w14:textId="77777777" w:rsidR="00D26DA7" w:rsidRPr="00AA2617" w:rsidRDefault="00D26DA7" w:rsidP="00AA2617">
            <w:pPr>
              <w:numPr>
                <w:ilvl w:val="1"/>
                <w:numId w:val="44"/>
              </w:numPr>
              <w:spacing w:before="120"/>
              <w:ind w:left="792"/>
            </w:pPr>
            <w:r w:rsidRPr="00AA2617">
              <w:t>2.1. Reporting on inventories of emissions sources and sinks and mitigation activities from agriculture and land-use sectors strengthened</w:t>
            </w:r>
          </w:p>
          <w:p w14:paraId="10D75B66" w14:textId="77777777" w:rsidR="00D26DA7" w:rsidRPr="00AA2617" w:rsidRDefault="00D26DA7" w:rsidP="00AA2617">
            <w:pPr>
              <w:numPr>
                <w:ilvl w:val="2"/>
                <w:numId w:val="44"/>
              </w:numPr>
              <w:spacing w:before="120"/>
              <w:ind w:left="1080"/>
            </w:pPr>
            <w:r w:rsidRPr="00AA2617">
              <w:t>2.1.1. Regular and systematic documentation and archiving process established to ensure accuracy and sustainability of the inventory, including quality assurance and quality control, in the agriculture and land-use sectors</w:t>
            </w:r>
          </w:p>
          <w:p w14:paraId="30DA059D" w14:textId="77777777" w:rsidR="00D26DA7" w:rsidRPr="00AA2617" w:rsidRDefault="00D26DA7" w:rsidP="00AA2617">
            <w:pPr>
              <w:numPr>
                <w:ilvl w:val="2"/>
                <w:numId w:val="44"/>
              </w:numPr>
              <w:spacing w:before="120"/>
              <w:ind w:left="1080"/>
            </w:pPr>
            <w:r w:rsidRPr="00AA2617">
              <w:t>2.1.2. GHG Information Management System (IMS) and infrastructure for agriculture and land-use sectors upgraded (interface w/ 3.1.3)</w:t>
            </w:r>
          </w:p>
          <w:p w14:paraId="37161C4C" w14:textId="77777777" w:rsidR="00D26DA7" w:rsidRPr="00AA2617" w:rsidRDefault="00D26DA7" w:rsidP="00AA2617">
            <w:pPr>
              <w:numPr>
                <w:ilvl w:val="2"/>
                <w:numId w:val="44"/>
              </w:numPr>
              <w:spacing w:before="120"/>
              <w:ind w:left="1080"/>
            </w:pPr>
            <w:r w:rsidRPr="00AA2617">
              <w:t>2.1.3. Capacity and system hardware developed for relevant institutions at different levels to adopt and mainstream latest tools and methodologies to develop country-specific emission factors (EFs), improve activity data (AD) and better quantify the impact of mitigation policy measures in the agriculture and land-use sectors (inter-face w/ 3.1.4).</w:t>
            </w:r>
          </w:p>
          <w:p w14:paraId="6648554A" w14:textId="77777777" w:rsidR="00D26DA7" w:rsidRPr="00AA2617" w:rsidRDefault="00D26DA7" w:rsidP="00AA2617">
            <w:pPr>
              <w:numPr>
                <w:ilvl w:val="2"/>
                <w:numId w:val="44"/>
              </w:numPr>
              <w:spacing w:before="120"/>
              <w:ind w:left="1080"/>
            </w:pPr>
            <w:r w:rsidRPr="00AA2617">
              <w:t>2.1.4. National/sectoral reports prepared and submitted on inventory of emissions sources and sinks and emissions reduction activities from agriculture and land-use sectors consistent with latest UNFCCC guidance </w:t>
            </w:r>
          </w:p>
          <w:p w14:paraId="37103122" w14:textId="0635B141" w:rsidR="00EC6A93" w:rsidRPr="00AA2617" w:rsidRDefault="00EC6A93" w:rsidP="00AA2617">
            <w:pPr>
              <w:rPr>
                <w:color w:val="000000"/>
                <w:sz w:val="20"/>
                <w:szCs w:val="20"/>
              </w:rPr>
            </w:pPr>
            <w:r w:rsidRPr="00AA2617">
              <w:rPr>
                <w:i/>
                <w:color w:val="000000"/>
                <w:sz w:val="20"/>
                <w:szCs w:val="20"/>
              </w:rPr>
              <w:t>Component 3.</w:t>
            </w:r>
            <w:r w:rsidRPr="00AA2617">
              <w:rPr>
                <w:color w:val="000000"/>
                <w:sz w:val="20"/>
                <w:szCs w:val="20"/>
              </w:rPr>
              <w:t xml:space="preserve"> Capacity to monitor and report </w:t>
            </w:r>
            <w:r w:rsidRPr="00AA2617">
              <w:rPr>
                <w:i/>
                <w:color w:val="000000"/>
                <w:sz w:val="20"/>
                <w:szCs w:val="20"/>
              </w:rPr>
              <w:t xml:space="preserve">adaptation </w:t>
            </w:r>
            <w:r w:rsidRPr="00AA2617">
              <w:rPr>
                <w:color w:val="000000"/>
                <w:sz w:val="20"/>
                <w:szCs w:val="20"/>
              </w:rPr>
              <w:t>activities in agriculture and land-use sectors strengthened</w:t>
            </w:r>
          </w:p>
          <w:p w14:paraId="752BB7DE" w14:textId="6D542048" w:rsidR="00A202B1" w:rsidRPr="00AA2617" w:rsidRDefault="00A202B1" w:rsidP="00AA2617">
            <w:pPr>
              <w:numPr>
                <w:ilvl w:val="1"/>
                <w:numId w:val="44"/>
              </w:numPr>
              <w:spacing w:before="120"/>
              <w:ind w:left="792"/>
            </w:pPr>
            <w:r w:rsidRPr="00AA2617">
              <w:t>3.1. Strengthened capacity to measure climate-change impacts, vulnerabilities, and adaptation-related activities in the agricultural and land-use sectors.</w:t>
            </w:r>
          </w:p>
          <w:p w14:paraId="7806EBD3" w14:textId="4F676710" w:rsidR="00A202B1" w:rsidRPr="00AA2617" w:rsidRDefault="00A202B1" w:rsidP="00AA2617">
            <w:pPr>
              <w:numPr>
                <w:ilvl w:val="2"/>
                <w:numId w:val="44"/>
              </w:numPr>
              <w:spacing w:before="120"/>
              <w:ind w:left="1080"/>
            </w:pPr>
            <w:r w:rsidRPr="00AA2617">
              <w:t>3.1.1.  Measurement framework developed for climate-change impacts, vulnerabilities, and adaptation-related activities prioritized in the NDC for the agriculture, forestry  and land-use sectors.</w:t>
            </w:r>
          </w:p>
          <w:p w14:paraId="33AE3301" w14:textId="4CE9A2DC" w:rsidR="00A202B1" w:rsidRPr="00AA2617" w:rsidRDefault="00A202B1" w:rsidP="00AA2617">
            <w:pPr>
              <w:numPr>
                <w:ilvl w:val="2"/>
                <w:numId w:val="44"/>
              </w:numPr>
              <w:spacing w:before="120"/>
              <w:ind w:left="1080"/>
            </w:pPr>
            <w:r w:rsidRPr="00AA2617">
              <w:t>3.1.2. Information technology systems upgraded to integrate and analyze adaptation-related data.</w:t>
            </w:r>
          </w:p>
          <w:p w14:paraId="2AD71F1E" w14:textId="3A19A7CA" w:rsidR="00A202B1" w:rsidRPr="00AA2617" w:rsidRDefault="00A202B1" w:rsidP="00AA2617">
            <w:pPr>
              <w:numPr>
                <w:ilvl w:val="2"/>
                <w:numId w:val="44"/>
              </w:numPr>
              <w:spacing w:before="120"/>
              <w:ind w:left="1080"/>
            </w:pPr>
            <w:r w:rsidRPr="00AA2617">
              <w:t>3.1.3. Capacity and technology upgraded in relevant institutions to strengthen M&amp;R for adaptation priorities identified in the NDC for the agricultural and land-use sectors.  (Coordinates with 2.1.3.)</w:t>
            </w:r>
          </w:p>
          <w:p w14:paraId="776A4CEA" w14:textId="1780E559" w:rsidR="00D26DA7" w:rsidRPr="00AA2617" w:rsidRDefault="00A202B1" w:rsidP="00AA2617">
            <w:pPr>
              <w:numPr>
                <w:ilvl w:val="2"/>
                <w:numId w:val="44"/>
              </w:numPr>
              <w:spacing w:before="120"/>
              <w:ind w:left="1080"/>
            </w:pPr>
            <w:r w:rsidRPr="00AA2617">
              <w:t>3.1.4. Relevant measures validated and piloted for adaptation priorities identified in the NDC for the agricultural and land-use sectors.</w:t>
            </w:r>
          </w:p>
          <w:p w14:paraId="564E6E2D" w14:textId="46EB4107" w:rsidR="009047BB" w:rsidRPr="00AA2617" w:rsidRDefault="00655E34" w:rsidP="00AA2617">
            <w:pPr>
              <w:rPr>
                <w:rFonts w:cs="Times New Roman"/>
                <w:lang w:val="en-GB"/>
              </w:rPr>
            </w:pPr>
            <w:r w:rsidRPr="00AA2617">
              <w:rPr>
                <w:rFonts w:cs="Times New Roman"/>
                <w:lang w:val="en-GB"/>
              </w:rPr>
              <w:t>The primary execution partner</w:t>
            </w:r>
            <w:r w:rsidR="00D03BC7" w:rsidRPr="00AA2617">
              <w:rPr>
                <w:rFonts w:cs="Times New Roman"/>
                <w:lang w:val="en-GB"/>
              </w:rPr>
              <w:t xml:space="preserve"> for the project will be</w:t>
            </w:r>
            <w:r w:rsidR="00680D12" w:rsidRPr="00AA2617">
              <w:rPr>
                <w:rFonts w:cs="Times New Roman"/>
                <w:lang w:val="en-GB"/>
              </w:rPr>
              <w:t xml:space="preserve"> Climate Change Secretariat under</w:t>
            </w:r>
            <w:r w:rsidRPr="00AA2617">
              <w:rPr>
                <w:rFonts w:cs="Times New Roman"/>
                <w:lang w:val="en-GB"/>
              </w:rPr>
              <w:t xml:space="preserve"> the</w:t>
            </w:r>
            <w:r w:rsidR="0091322D" w:rsidRPr="00AA2617">
              <w:rPr>
                <w:rFonts w:cs="Times New Roman"/>
                <w:lang w:val="en-GB"/>
              </w:rPr>
              <w:t xml:space="preserve"> Ministry of Mahaweli Development and Environment</w:t>
            </w:r>
            <w:r w:rsidRPr="00AA2617">
              <w:rPr>
                <w:rFonts w:cs="Times New Roman"/>
                <w:lang w:val="en-GB"/>
              </w:rPr>
              <w:t xml:space="preserve">. Several other execution partners will deliver substantial </w:t>
            </w:r>
            <w:r w:rsidRPr="00AA2617">
              <w:rPr>
                <w:rFonts w:cs="Times New Roman"/>
                <w:lang w:val="en-GB"/>
              </w:rPr>
              <w:lastRenderedPageBreak/>
              <w:t xml:space="preserve">portions of the project’s outputs, with the aim of transitioning to sustainable, scalable, long-term operational arrangements for </w:t>
            </w:r>
            <w:r w:rsidR="001264B9" w:rsidRPr="00AA2617">
              <w:rPr>
                <w:rFonts w:cs="Times New Roman"/>
                <w:lang w:val="en-GB"/>
              </w:rPr>
              <w:t>climate-related</w:t>
            </w:r>
            <w:r w:rsidRPr="00AA2617">
              <w:rPr>
                <w:rFonts w:cs="Times New Roman"/>
                <w:lang w:val="en-GB"/>
              </w:rPr>
              <w:t xml:space="preserve"> MRV</w:t>
            </w:r>
            <w:r w:rsidR="001264B9" w:rsidRPr="00AA2617">
              <w:rPr>
                <w:rFonts w:cs="Times New Roman"/>
                <w:lang w:val="en-GB"/>
              </w:rPr>
              <w:t xml:space="preserve"> in the AFOLU sector</w:t>
            </w:r>
            <w:r w:rsidRPr="00AA2617">
              <w:rPr>
                <w:rFonts w:cs="Times New Roman"/>
                <w:lang w:val="en-GB"/>
              </w:rPr>
              <w:t>.</w:t>
            </w:r>
          </w:p>
        </w:tc>
      </w:tr>
    </w:tbl>
    <w:p w14:paraId="1AD98795" w14:textId="77777777" w:rsidR="00741546" w:rsidRPr="00AA2617" w:rsidRDefault="00741546" w:rsidP="00AA2617">
      <w:pPr>
        <w:rPr>
          <w:rFonts w:cs="Times New Roman"/>
          <w:lang w:val="en-GB"/>
        </w:rPr>
      </w:pPr>
    </w:p>
    <w:p w14:paraId="26330CB0" w14:textId="77777777" w:rsidR="00DB113C" w:rsidRPr="00AA2617" w:rsidRDefault="00DB113C" w:rsidP="00AA2617">
      <w:pPr>
        <w:rPr>
          <w:rFonts w:cs="Times New Roman"/>
          <w:lang w:val="en-GB"/>
        </w:rPr>
      </w:pPr>
      <w:r w:rsidRPr="00AA2617">
        <w:rPr>
          <w:rFonts w:cs="Times New Roman"/>
          <w:lang w:val="en-GB"/>
        </w:rPr>
        <w:br w:type="page"/>
      </w:r>
    </w:p>
    <w:p w14:paraId="0F7A8033" w14:textId="77777777" w:rsidR="00DB113C" w:rsidRPr="00AA2617" w:rsidRDefault="00DB113C" w:rsidP="00AA2617">
      <w:pPr>
        <w:pStyle w:val="Heading1"/>
        <w:rPr>
          <w:rFonts w:cs="Times New Roman"/>
          <w:b/>
          <w:bCs/>
          <w:sz w:val="32"/>
          <w:lang w:val="en-GB"/>
        </w:rPr>
      </w:pPr>
      <w:bookmarkStart w:id="3" w:name="_Toc474848350"/>
      <w:bookmarkStart w:id="4" w:name="_Toc483304533"/>
      <w:bookmarkStart w:id="5" w:name="_Toc483304660"/>
      <w:bookmarkStart w:id="6" w:name="_Toc483316027"/>
      <w:bookmarkStart w:id="7" w:name="_Toc485296267"/>
      <w:bookmarkStart w:id="8" w:name="_Toc486324852"/>
      <w:bookmarkStart w:id="9" w:name="_Toc486406255"/>
      <w:bookmarkStart w:id="10" w:name="_Toc9249166"/>
      <w:r w:rsidRPr="00AA2617">
        <w:rPr>
          <w:rFonts w:cs="Times New Roman"/>
          <w:b/>
          <w:bCs/>
          <w:sz w:val="32"/>
          <w:lang w:val="en-GB"/>
        </w:rPr>
        <w:lastRenderedPageBreak/>
        <w:t xml:space="preserve">Table of </w:t>
      </w:r>
      <w:r w:rsidR="00672E37" w:rsidRPr="00AA2617">
        <w:rPr>
          <w:rFonts w:cs="Times New Roman"/>
          <w:b/>
          <w:bCs/>
          <w:sz w:val="32"/>
          <w:lang w:val="en-GB"/>
        </w:rPr>
        <w:t>C</w:t>
      </w:r>
      <w:r w:rsidRPr="00AA2617">
        <w:rPr>
          <w:rFonts w:cs="Times New Roman"/>
          <w:b/>
          <w:bCs/>
          <w:sz w:val="32"/>
          <w:lang w:val="en-GB"/>
        </w:rPr>
        <w:t>ontents</w:t>
      </w:r>
      <w:bookmarkEnd w:id="3"/>
      <w:bookmarkEnd w:id="4"/>
      <w:bookmarkEnd w:id="5"/>
      <w:bookmarkEnd w:id="6"/>
      <w:bookmarkEnd w:id="7"/>
      <w:bookmarkEnd w:id="8"/>
      <w:bookmarkEnd w:id="9"/>
      <w:bookmarkEnd w:id="10"/>
    </w:p>
    <w:p w14:paraId="6994EA35" w14:textId="77777777" w:rsidR="00DB113C" w:rsidRPr="00AA2617" w:rsidRDefault="00DB113C" w:rsidP="00AA2617">
      <w:pPr>
        <w:rPr>
          <w:rFonts w:cs="Times New Roman"/>
          <w:sz w:val="22"/>
          <w:lang w:val="en-GB"/>
        </w:rPr>
      </w:pPr>
    </w:p>
    <w:p w14:paraId="72721070" w14:textId="6437551F" w:rsidR="009C0880" w:rsidRPr="00AA2617" w:rsidRDefault="00741546" w:rsidP="00AA2617">
      <w:pPr>
        <w:pStyle w:val="TOC1"/>
        <w:rPr>
          <w:rFonts w:asciiTheme="minorHAnsi" w:eastAsiaTheme="minorEastAsia" w:hAnsiTheme="minorHAnsi" w:cs="Mangal"/>
          <w:smallCaps w:val="0"/>
          <w:sz w:val="22"/>
          <w:szCs w:val="20"/>
          <w:lang w:bidi="hi-IN"/>
        </w:rPr>
      </w:pPr>
      <w:r w:rsidRPr="00AA2617">
        <w:rPr>
          <w:rFonts w:cs="Times New Roman"/>
          <w:sz w:val="22"/>
          <w:lang w:val="en-GB"/>
        </w:rPr>
        <w:fldChar w:fldCharType="begin"/>
      </w:r>
      <w:r w:rsidRPr="00AA2617">
        <w:rPr>
          <w:rFonts w:cs="Times New Roman"/>
          <w:sz w:val="22"/>
          <w:lang w:val="en-GB"/>
        </w:rPr>
        <w:instrText xml:space="preserve"> TOC \o "1-3" \h \z \u </w:instrText>
      </w:r>
      <w:r w:rsidRPr="00AA2617">
        <w:rPr>
          <w:rFonts w:cs="Times New Roman"/>
          <w:sz w:val="22"/>
          <w:lang w:val="en-GB"/>
        </w:rPr>
        <w:fldChar w:fldCharType="separate"/>
      </w:r>
      <w:hyperlink w:anchor="_Toc9249165" w:history="1">
        <w:r w:rsidR="009C0880" w:rsidRPr="00AA2617">
          <w:rPr>
            <w:rStyle w:val="Hyperlink"/>
            <w:rFonts w:cs="Times New Roman"/>
            <w:b/>
            <w:lang w:val="en-GB"/>
          </w:rPr>
          <w:t>Executive Summary</w:t>
        </w:r>
        <w:r w:rsidR="009C0880" w:rsidRPr="00AA2617">
          <w:rPr>
            <w:webHidden/>
          </w:rPr>
          <w:tab/>
        </w:r>
        <w:r w:rsidR="009C0880" w:rsidRPr="00AA2617">
          <w:rPr>
            <w:webHidden/>
          </w:rPr>
          <w:fldChar w:fldCharType="begin"/>
        </w:r>
        <w:r w:rsidR="009C0880" w:rsidRPr="00AA2617">
          <w:rPr>
            <w:webHidden/>
          </w:rPr>
          <w:instrText xml:space="preserve"> PAGEREF _Toc9249165 \h </w:instrText>
        </w:r>
        <w:r w:rsidR="009C0880" w:rsidRPr="00AA2617">
          <w:rPr>
            <w:webHidden/>
          </w:rPr>
        </w:r>
        <w:r w:rsidR="009C0880" w:rsidRPr="00AA2617">
          <w:rPr>
            <w:webHidden/>
          </w:rPr>
          <w:fldChar w:fldCharType="separate"/>
        </w:r>
        <w:r w:rsidR="00022F28" w:rsidRPr="00AA2617">
          <w:rPr>
            <w:webHidden/>
          </w:rPr>
          <w:t>2</w:t>
        </w:r>
        <w:r w:rsidR="009C0880" w:rsidRPr="00AA2617">
          <w:rPr>
            <w:webHidden/>
          </w:rPr>
          <w:fldChar w:fldCharType="end"/>
        </w:r>
      </w:hyperlink>
    </w:p>
    <w:p w14:paraId="1CED8902" w14:textId="3943BAC4"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166" w:history="1">
        <w:r w:rsidR="009C0880" w:rsidRPr="00AA2617">
          <w:rPr>
            <w:rStyle w:val="Hyperlink"/>
            <w:rFonts w:cs="Times New Roman"/>
            <w:b/>
            <w:bCs/>
            <w:lang w:val="en-GB"/>
          </w:rPr>
          <w:t>Table of Contents</w:t>
        </w:r>
        <w:r w:rsidR="009C0880" w:rsidRPr="00AA2617">
          <w:rPr>
            <w:webHidden/>
          </w:rPr>
          <w:tab/>
        </w:r>
        <w:r w:rsidR="009C0880" w:rsidRPr="00AA2617">
          <w:rPr>
            <w:webHidden/>
          </w:rPr>
          <w:fldChar w:fldCharType="begin"/>
        </w:r>
        <w:r w:rsidR="009C0880" w:rsidRPr="00AA2617">
          <w:rPr>
            <w:webHidden/>
          </w:rPr>
          <w:instrText xml:space="preserve"> PAGEREF _Toc9249166 \h </w:instrText>
        </w:r>
        <w:r w:rsidR="009C0880" w:rsidRPr="00AA2617">
          <w:rPr>
            <w:webHidden/>
          </w:rPr>
        </w:r>
        <w:r w:rsidR="009C0880" w:rsidRPr="00AA2617">
          <w:rPr>
            <w:webHidden/>
          </w:rPr>
          <w:fldChar w:fldCharType="separate"/>
        </w:r>
        <w:r w:rsidR="00022F28" w:rsidRPr="00AA2617">
          <w:rPr>
            <w:webHidden/>
          </w:rPr>
          <w:t>5</w:t>
        </w:r>
        <w:r w:rsidR="009C0880" w:rsidRPr="00AA2617">
          <w:rPr>
            <w:webHidden/>
          </w:rPr>
          <w:fldChar w:fldCharType="end"/>
        </w:r>
      </w:hyperlink>
    </w:p>
    <w:p w14:paraId="5FADCFFE" w14:textId="158529CE"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167" w:history="1">
        <w:r w:rsidR="009C0880" w:rsidRPr="00AA2617">
          <w:rPr>
            <w:rStyle w:val="Hyperlink"/>
            <w:rFonts w:cs="Times New Roman"/>
            <w:b/>
            <w:lang w:val="en-GB"/>
          </w:rPr>
          <w:t>List of Acronyms and Abbreviations</w:t>
        </w:r>
        <w:r w:rsidR="009C0880" w:rsidRPr="00AA2617">
          <w:rPr>
            <w:webHidden/>
          </w:rPr>
          <w:tab/>
        </w:r>
        <w:r w:rsidR="009C0880" w:rsidRPr="00AA2617">
          <w:rPr>
            <w:webHidden/>
          </w:rPr>
          <w:fldChar w:fldCharType="begin"/>
        </w:r>
        <w:r w:rsidR="009C0880" w:rsidRPr="00AA2617">
          <w:rPr>
            <w:webHidden/>
          </w:rPr>
          <w:instrText xml:space="preserve"> PAGEREF _Toc9249167 \h </w:instrText>
        </w:r>
        <w:r w:rsidR="009C0880" w:rsidRPr="00AA2617">
          <w:rPr>
            <w:webHidden/>
          </w:rPr>
        </w:r>
        <w:r w:rsidR="009C0880" w:rsidRPr="00AA2617">
          <w:rPr>
            <w:webHidden/>
          </w:rPr>
          <w:fldChar w:fldCharType="separate"/>
        </w:r>
        <w:r w:rsidR="00022F28" w:rsidRPr="00AA2617">
          <w:rPr>
            <w:webHidden/>
          </w:rPr>
          <w:t>7</w:t>
        </w:r>
        <w:r w:rsidR="009C0880" w:rsidRPr="00AA2617">
          <w:rPr>
            <w:webHidden/>
          </w:rPr>
          <w:fldChar w:fldCharType="end"/>
        </w:r>
      </w:hyperlink>
    </w:p>
    <w:p w14:paraId="2A111AF1" w14:textId="638B519A"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168" w:history="1">
        <w:r w:rsidR="009C0880" w:rsidRPr="00AA2617">
          <w:rPr>
            <w:rStyle w:val="Hyperlink"/>
            <w:lang w:val="en-GB"/>
          </w:rPr>
          <w:t>Section 1:  Project Rationale</w:t>
        </w:r>
        <w:r w:rsidR="009C0880" w:rsidRPr="00AA2617">
          <w:rPr>
            <w:webHidden/>
          </w:rPr>
          <w:tab/>
        </w:r>
        <w:r w:rsidR="009C0880" w:rsidRPr="00AA2617">
          <w:rPr>
            <w:webHidden/>
          </w:rPr>
          <w:fldChar w:fldCharType="begin"/>
        </w:r>
        <w:r w:rsidR="009C0880" w:rsidRPr="00AA2617">
          <w:rPr>
            <w:webHidden/>
          </w:rPr>
          <w:instrText xml:space="preserve"> PAGEREF _Toc9249168 \h </w:instrText>
        </w:r>
        <w:r w:rsidR="009C0880" w:rsidRPr="00AA2617">
          <w:rPr>
            <w:webHidden/>
          </w:rPr>
        </w:r>
        <w:r w:rsidR="009C0880" w:rsidRPr="00AA2617">
          <w:rPr>
            <w:webHidden/>
          </w:rPr>
          <w:fldChar w:fldCharType="separate"/>
        </w:r>
        <w:r w:rsidR="00022F28" w:rsidRPr="00AA2617">
          <w:rPr>
            <w:webHidden/>
          </w:rPr>
          <w:t>10</w:t>
        </w:r>
        <w:r w:rsidR="009C0880" w:rsidRPr="00AA2617">
          <w:rPr>
            <w:webHidden/>
          </w:rPr>
          <w:fldChar w:fldCharType="end"/>
        </w:r>
      </w:hyperlink>
    </w:p>
    <w:p w14:paraId="6D4356F4" w14:textId="1917AF42"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169" w:history="1">
        <w:r w:rsidR="009C0880" w:rsidRPr="00AA2617">
          <w:rPr>
            <w:rStyle w:val="Hyperlink"/>
            <w:b/>
            <w:noProof/>
            <w:lang w:val="en-GB"/>
          </w:rPr>
          <w:t>1.1.</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Context Analysis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_Toc9249169 \h </w:instrText>
        </w:r>
        <w:r w:rsidR="009C0880" w:rsidRPr="00AA2617">
          <w:rPr>
            <w:noProof/>
            <w:webHidden/>
          </w:rPr>
        </w:r>
        <w:r w:rsidR="009C0880" w:rsidRPr="00AA2617">
          <w:rPr>
            <w:noProof/>
            <w:webHidden/>
          </w:rPr>
          <w:fldChar w:fldCharType="separate"/>
        </w:r>
        <w:r w:rsidR="00022F28" w:rsidRPr="00AA2617">
          <w:rPr>
            <w:noProof/>
            <w:webHidden/>
          </w:rPr>
          <w:t>10</w:t>
        </w:r>
        <w:r w:rsidR="009C0880" w:rsidRPr="00AA2617">
          <w:rPr>
            <w:noProof/>
            <w:webHidden/>
          </w:rPr>
          <w:fldChar w:fldCharType="end"/>
        </w:r>
      </w:hyperlink>
    </w:p>
    <w:p w14:paraId="4B6BD2D0" w14:textId="3EE5642A"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70" w:history="1">
        <w:r w:rsidR="009C0880" w:rsidRPr="00AA2617">
          <w:rPr>
            <w:rStyle w:val="Hyperlink"/>
            <w:b/>
            <w:noProof/>
            <w:lang w:val="en-GB"/>
          </w:rPr>
          <w:t>1.1.1.</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Global context</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_Toc9249170 \h </w:instrText>
        </w:r>
        <w:r w:rsidR="009C0880" w:rsidRPr="00AA2617">
          <w:rPr>
            <w:noProof/>
            <w:webHidden/>
          </w:rPr>
        </w:r>
        <w:r w:rsidR="009C0880" w:rsidRPr="00AA2617">
          <w:rPr>
            <w:noProof/>
            <w:webHidden/>
          </w:rPr>
          <w:fldChar w:fldCharType="separate"/>
        </w:r>
        <w:r w:rsidR="00022F28" w:rsidRPr="00AA2617">
          <w:rPr>
            <w:noProof/>
            <w:webHidden/>
          </w:rPr>
          <w:t>10</w:t>
        </w:r>
        <w:r w:rsidR="009C0880" w:rsidRPr="00AA2617">
          <w:rPr>
            <w:noProof/>
            <w:webHidden/>
          </w:rPr>
          <w:fldChar w:fldCharType="end"/>
        </w:r>
      </w:hyperlink>
    </w:p>
    <w:p w14:paraId="02835F4A" w14:textId="3A24C076"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71" w:history="1">
        <w:r w:rsidR="009C0880" w:rsidRPr="00AA2617">
          <w:rPr>
            <w:rStyle w:val="Hyperlink"/>
            <w:b/>
            <w:noProof/>
            <w:lang w:val="en-GB"/>
          </w:rPr>
          <w:t>1.1.2.</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National context</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_Toc9249171 \h </w:instrText>
        </w:r>
        <w:r w:rsidR="009C0880" w:rsidRPr="00AA2617">
          <w:rPr>
            <w:noProof/>
            <w:webHidden/>
          </w:rPr>
        </w:r>
        <w:r w:rsidR="009C0880" w:rsidRPr="00AA2617">
          <w:rPr>
            <w:noProof/>
            <w:webHidden/>
          </w:rPr>
          <w:fldChar w:fldCharType="separate"/>
        </w:r>
        <w:r w:rsidR="00022F28" w:rsidRPr="00AA2617">
          <w:rPr>
            <w:noProof/>
            <w:webHidden/>
          </w:rPr>
          <w:t>14</w:t>
        </w:r>
        <w:r w:rsidR="009C0880" w:rsidRPr="00AA2617">
          <w:rPr>
            <w:noProof/>
            <w:webHidden/>
          </w:rPr>
          <w:fldChar w:fldCharType="end"/>
        </w:r>
      </w:hyperlink>
    </w:p>
    <w:p w14:paraId="04EB58AD" w14:textId="28BBDF11"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72" w:history="1">
        <w:r w:rsidR="009C0880" w:rsidRPr="00AA2617">
          <w:rPr>
            <w:rStyle w:val="Hyperlink"/>
            <w:b/>
            <w:noProof/>
            <w:lang w:val="en-GB"/>
          </w:rPr>
          <w:t>1.1.3.</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AFOLU priorities in Sri Lanka’s Nationally Determined Contribution</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_Toc9249172 \h </w:instrText>
        </w:r>
        <w:r w:rsidR="009C0880" w:rsidRPr="00AA2617">
          <w:rPr>
            <w:noProof/>
            <w:webHidden/>
          </w:rPr>
        </w:r>
        <w:r w:rsidR="009C0880" w:rsidRPr="00AA2617">
          <w:rPr>
            <w:noProof/>
            <w:webHidden/>
          </w:rPr>
          <w:fldChar w:fldCharType="separate"/>
        </w:r>
        <w:r w:rsidR="00022F28" w:rsidRPr="00AA2617">
          <w:rPr>
            <w:noProof/>
            <w:webHidden/>
          </w:rPr>
          <w:t>19</w:t>
        </w:r>
        <w:r w:rsidR="009C0880" w:rsidRPr="00AA2617">
          <w:rPr>
            <w:noProof/>
            <w:webHidden/>
          </w:rPr>
          <w:fldChar w:fldCharType="end"/>
        </w:r>
      </w:hyperlink>
    </w:p>
    <w:p w14:paraId="53B5A091" w14:textId="1107C300"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173" w:history="1">
        <w:r w:rsidR="009C0880" w:rsidRPr="00AA2617">
          <w:rPr>
            <w:rStyle w:val="Hyperlink"/>
            <w:b/>
            <w:noProof/>
            <w:lang w:val="en-GB"/>
          </w:rPr>
          <w:t>1.2.</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Status of MRV for Climate Change in the AFOLU Sector</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_Toc9249173 \h </w:instrText>
        </w:r>
        <w:r w:rsidR="009C0880" w:rsidRPr="00AA2617">
          <w:rPr>
            <w:noProof/>
            <w:webHidden/>
          </w:rPr>
        </w:r>
        <w:r w:rsidR="009C0880" w:rsidRPr="00AA2617">
          <w:rPr>
            <w:noProof/>
            <w:webHidden/>
          </w:rPr>
          <w:fldChar w:fldCharType="separate"/>
        </w:r>
        <w:r w:rsidR="00022F28" w:rsidRPr="00AA2617">
          <w:rPr>
            <w:noProof/>
            <w:webHidden/>
          </w:rPr>
          <w:t>22</w:t>
        </w:r>
        <w:r w:rsidR="009C0880" w:rsidRPr="00AA2617">
          <w:rPr>
            <w:noProof/>
            <w:webHidden/>
          </w:rPr>
          <w:fldChar w:fldCharType="end"/>
        </w:r>
      </w:hyperlink>
    </w:p>
    <w:p w14:paraId="79DDC297" w14:textId="69A009AF"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74" w:history="1">
        <w:r w:rsidR="009C0880" w:rsidRPr="00AA2617">
          <w:rPr>
            <w:rStyle w:val="Hyperlink"/>
            <w:b/>
            <w:noProof/>
            <w:lang w:val="en-GB"/>
          </w:rPr>
          <w:t>1.2.1.</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Gaps and barriers identified in previous reports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_Toc9249174 \h </w:instrText>
        </w:r>
        <w:r w:rsidR="009C0880" w:rsidRPr="00AA2617">
          <w:rPr>
            <w:noProof/>
            <w:webHidden/>
          </w:rPr>
        </w:r>
        <w:r w:rsidR="009C0880" w:rsidRPr="00AA2617">
          <w:rPr>
            <w:noProof/>
            <w:webHidden/>
          </w:rPr>
          <w:fldChar w:fldCharType="separate"/>
        </w:r>
        <w:r w:rsidR="00022F28" w:rsidRPr="00AA2617">
          <w:rPr>
            <w:noProof/>
            <w:webHidden/>
          </w:rPr>
          <w:t>22</w:t>
        </w:r>
        <w:r w:rsidR="009C0880" w:rsidRPr="00AA2617">
          <w:rPr>
            <w:noProof/>
            <w:webHidden/>
          </w:rPr>
          <w:fldChar w:fldCharType="end"/>
        </w:r>
      </w:hyperlink>
    </w:p>
    <w:p w14:paraId="4B7F094D" w14:textId="3D70491B"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75" w:history="1">
        <w:r w:rsidR="009C0880" w:rsidRPr="00AA2617">
          <w:rPr>
            <w:rStyle w:val="Hyperlink"/>
            <w:b/>
            <w:noProof/>
            <w:lang w:val="en-GB"/>
          </w:rPr>
          <w:t>1.2.2.</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Gap assessments during the project-preparation phase</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_Toc9249175 \h </w:instrText>
        </w:r>
        <w:r w:rsidR="009C0880" w:rsidRPr="00AA2617">
          <w:rPr>
            <w:noProof/>
            <w:webHidden/>
          </w:rPr>
        </w:r>
        <w:r w:rsidR="009C0880" w:rsidRPr="00AA2617">
          <w:rPr>
            <w:noProof/>
            <w:webHidden/>
          </w:rPr>
          <w:fldChar w:fldCharType="separate"/>
        </w:r>
        <w:r w:rsidR="00022F28" w:rsidRPr="00AA2617">
          <w:rPr>
            <w:noProof/>
            <w:webHidden/>
          </w:rPr>
          <w:t>26</w:t>
        </w:r>
        <w:r w:rsidR="009C0880" w:rsidRPr="00AA2617">
          <w:rPr>
            <w:noProof/>
            <w:webHidden/>
          </w:rPr>
          <w:fldChar w:fldCharType="end"/>
        </w:r>
      </w:hyperlink>
    </w:p>
    <w:p w14:paraId="63949EEB" w14:textId="14B51D15"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76" w:history="1">
        <w:r w:rsidR="009C0880" w:rsidRPr="00AA2617">
          <w:rPr>
            <w:rStyle w:val="Hyperlink"/>
            <w:b/>
            <w:noProof/>
            <w:lang w:val="en-GB"/>
          </w:rPr>
          <w:t>1.2.3.</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Differences between mitigation and adaptation capacities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_Toc9249176 \h </w:instrText>
        </w:r>
        <w:r w:rsidR="009C0880" w:rsidRPr="00AA2617">
          <w:rPr>
            <w:noProof/>
            <w:webHidden/>
          </w:rPr>
        </w:r>
        <w:r w:rsidR="009C0880" w:rsidRPr="00AA2617">
          <w:rPr>
            <w:noProof/>
            <w:webHidden/>
          </w:rPr>
          <w:fldChar w:fldCharType="separate"/>
        </w:r>
        <w:r w:rsidR="00022F28" w:rsidRPr="00AA2617">
          <w:rPr>
            <w:noProof/>
            <w:webHidden/>
          </w:rPr>
          <w:t>30</w:t>
        </w:r>
        <w:r w:rsidR="009C0880" w:rsidRPr="00AA2617">
          <w:rPr>
            <w:noProof/>
            <w:webHidden/>
          </w:rPr>
          <w:fldChar w:fldCharType="end"/>
        </w:r>
      </w:hyperlink>
    </w:p>
    <w:p w14:paraId="57A1964E" w14:textId="29DD5366"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77" w:history="1">
        <w:r w:rsidR="009C0880" w:rsidRPr="00AA2617">
          <w:rPr>
            <w:rStyle w:val="Hyperlink"/>
            <w:b/>
            <w:noProof/>
            <w:lang w:val="en-GB"/>
          </w:rPr>
          <w:t>1.2.4.</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Baseline ratings for CBIT tracking tool</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_Toc9249177 \h </w:instrText>
        </w:r>
        <w:r w:rsidR="009C0880" w:rsidRPr="00AA2617">
          <w:rPr>
            <w:noProof/>
            <w:webHidden/>
          </w:rPr>
        </w:r>
        <w:r w:rsidR="009C0880" w:rsidRPr="00AA2617">
          <w:rPr>
            <w:noProof/>
            <w:webHidden/>
          </w:rPr>
          <w:fldChar w:fldCharType="separate"/>
        </w:r>
        <w:r w:rsidR="00022F28" w:rsidRPr="00AA2617">
          <w:rPr>
            <w:noProof/>
            <w:webHidden/>
          </w:rPr>
          <w:t>30</w:t>
        </w:r>
        <w:r w:rsidR="009C0880" w:rsidRPr="00AA2617">
          <w:rPr>
            <w:noProof/>
            <w:webHidden/>
          </w:rPr>
          <w:fldChar w:fldCharType="end"/>
        </w:r>
      </w:hyperlink>
    </w:p>
    <w:p w14:paraId="6D100E9E" w14:textId="6A2E5BB0"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178" w:history="1">
        <w:r w:rsidR="009C0880" w:rsidRPr="00AA2617">
          <w:rPr>
            <w:rStyle w:val="Hyperlink"/>
            <w:b/>
            <w:noProof/>
            <w:lang w:val="en-GB"/>
          </w:rPr>
          <w:t>1.3.</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Project Description</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_Toc9249178 \h </w:instrText>
        </w:r>
        <w:r w:rsidR="009C0880" w:rsidRPr="00AA2617">
          <w:rPr>
            <w:noProof/>
            <w:webHidden/>
          </w:rPr>
        </w:r>
        <w:r w:rsidR="009C0880" w:rsidRPr="00AA2617">
          <w:rPr>
            <w:noProof/>
            <w:webHidden/>
          </w:rPr>
          <w:fldChar w:fldCharType="separate"/>
        </w:r>
        <w:r w:rsidR="00022F28" w:rsidRPr="00AA2617">
          <w:rPr>
            <w:noProof/>
            <w:webHidden/>
          </w:rPr>
          <w:t>31</w:t>
        </w:r>
        <w:r w:rsidR="009C0880" w:rsidRPr="00AA2617">
          <w:rPr>
            <w:noProof/>
            <w:webHidden/>
          </w:rPr>
          <w:fldChar w:fldCharType="end"/>
        </w:r>
      </w:hyperlink>
    </w:p>
    <w:p w14:paraId="1C0DACE6" w14:textId="1153E42B"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79" w:history="1">
        <w:r w:rsidR="009C0880" w:rsidRPr="00AA2617">
          <w:rPr>
            <w:rStyle w:val="Hyperlink"/>
            <w:b/>
            <w:noProof/>
            <w:lang w:val="en-GB"/>
          </w:rPr>
          <w:t>1.3.1.</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Project objective and approach</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_Toc9249179 \h </w:instrText>
        </w:r>
        <w:r w:rsidR="009C0880" w:rsidRPr="00AA2617">
          <w:rPr>
            <w:noProof/>
            <w:webHidden/>
          </w:rPr>
        </w:r>
        <w:r w:rsidR="009C0880" w:rsidRPr="00AA2617">
          <w:rPr>
            <w:noProof/>
            <w:webHidden/>
          </w:rPr>
          <w:fldChar w:fldCharType="separate"/>
        </w:r>
        <w:r w:rsidR="00022F28" w:rsidRPr="00AA2617">
          <w:rPr>
            <w:noProof/>
            <w:webHidden/>
          </w:rPr>
          <w:t>31</w:t>
        </w:r>
        <w:r w:rsidR="009C0880" w:rsidRPr="00AA2617">
          <w:rPr>
            <w:noProof/>
            <w:webHidden/>
          </w:rPr>
          <w:fldChar w:fldCharType="end"/>
        </w:r>
      </w:hyperlink>
    </w:p>
    <w:p w14:paraId="53AEC3CD" w14:textId="1B6889A0"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80" w:history="1">
        <w:r w:rsidR="009C0880" w:rsidRPr="00AA2617">
          <w:rPr>
            <w:rStyle w:val="Hyperlink"/>
            <w:b/>
            <w:noProof/>
            <w:lang w:val="en-GB"/>
          </w:rPr>
          <w:t>1.3.2.</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Component 1</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_Toc9249180 \h </w:instrText>
        </w:r>
        <w:r w:rsidR="009C0880" w:rsidRPr="00AA2617">
          <w:rPr>
            <w:noProof/>
            <w:webHidden/>
          </w:rPr>
        </w:r>
        <w:r w:rsidR="009C0880" w:rsidRPr="00AA2617">
          <w:rPr>
            <w:noProof/>
            <w:webHidden/>
          </w:rPr>
          <w:fldChar w:fldCharType="separate"/>
        </w:r>
        <w:r w:rsidR="00022F28" w:rsidRPr="00AA2617">
          <w:rPr>
            <w:noProof/>
            <w:webHidden/>
          </w:rPr>
          <w:t>32</w:t>
        </w:r>
        <w:r w:rsidR="009C0880" w:rsidRPr="00AA2617">
          <w:rPr>
            <w:noProof/>
            <w:webHidden/>
          </w:rPr>
          <w:fldChar w:fldCharType="end"/>
        </w:r>
      </w:hyperlink>
    </w:p>
    <w:p w14:paraId="729A7DEA" w14:textId="13304C4F"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81" w:history="1">
        <w:r w:rsidR="009C0880" w:rsidRPr="00AA2617">
          <w:rPr>
            <w:rStyle w:val="Hyperlink"/>
            <w:rFonts w:cs="Times New Roman"/>
            <w:b/>
            <w:noProof/>
            <w:lang w:val="en-GB"/>
          </w:rPr>
          <w:t>1.3.3.</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Component 2</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_Toc9249181 \h </w:instrText>
        </w:r>
        <w:r w:rsidR="009C0880" w:rsidRPr="00AA2617">
          <w:rPr>
            <w:noProof/>
            <w:webHidden/>
          </w:rPr>
        </w:r>
        <w:r w:rsidR="009C0880" w:rsidRPr="00AA2617">
          <w:rPr>
            <w:noProof/>
            <w:webHidden/>
          </w:rPr>
          <w:fldChar w:fldCharType="separate"/>
        </w:r>
        <w:r w:rsidR="00022F28" w:rsidRPr="00AA2617">
          <w:rPr>
            <w:noProof/>
            <w:webHidden/>
          </w:rPr>
          <w:t>39</w:t>
        </w:r>
        <w:r w:rsidR="009C0880" w:rsidRPr="00AA2617">
          <w:rPr>
            <w:noProof/>
            <w:webHidden/>
          </w:rPr>
          <w:fldChar w:fldCharType="end"/>
        </w:r>
      </w:hyperlink>
    </w:p>
    <w:p w14:paraId="2BDD702C" w14:textId="762BDEA7"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82" w:history="1">
        <w:r w:rsidR="009C0880" w:rsidRPr="00AA2617">
          <w:rPr>
            <w:rStyle w:val="Hyperlink"/>
            <w:rFonts w:cs="Times New Roman"/>
            <w:b/>
            <w:noProof/>
            <w:lang w:val="en-GB"/>
          </w:rPr>
          <w:t>1.3.4.</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Component 3</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_Toc9249182 \h </w:instrText>
        </w:r>
        <w:r w:rsidR="009C0880" w:rsidRPr="00AA2617">
          <w:rPr>
            <w:noProof/>
            <w:webHidden/>
          </w:rPr>
        </w:r>
        <w:r w:rsidR="009C0880" w:rsidRPr="00AA2617">
          <w:rPr>
            <w:noProof/>
            <w:webHidden/>
          </w:rPr>
          <w:fldChar w:fldCharType="separate"/>
        </w:r>
        <w:r w:rsidR="00022F28" w:rsidRPr="00AA2617">
          <w:rPr>
            <w:noProof/>
            <w:webHidden/>
          </w:rPr>
          <w:t>42</w:t>
        </w:r>
        <w:r w:rsidR="009C0880" w:rsidRPr="00AA2617">
          <w:rPr>
            <w:noProof/>
            <w:webHidden/>
          </w:rPr>
          <w:fldChar w:fldCharType="end"/>
        </w:r>
      </w:hyperlink>
    </w:p>
    <w:p w14:paraId="69250CB1" w14:textId="23EAAB79"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183" w:history="1">
        <w:r w:rsidR="009C0880" w:rsidRPr="00AA2617">
          <w:rPr>
            <w:rStyle w:val="Hyperlink"/>
            <w:rFonts w:cs="Times New Roman"/>
            <w:b/>
            <w:noProof/>
            <w:lang w:val="en-GB"/>
          </w:rPr>
          <w:t>1.4.</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Alignment and Strategic Fit</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_Toc9249183 \h </w:instrText>
        </w:r>
        <w:r w:rsidR="009C0880" w:rsidRPr="00AA2617">
          <w:rPr>
            <w:noProof/>
            <w:webHidden/>
          </w:rPr>
        </w:r>
        <w:r w:rsidR="009C0880" w:rsidRPr="00AA2617">
          <w:rPr>
            <w:noProof/>
            <w:webHidden/>
          </w:rPr>
          <w:fldChar w:fldCharType="separate"/>
        </w:r>
        <w:r w:rsidR="00022F28" w:rsidRPr="00AA2617">
          <w:rPr>
            <w:noProof/>
            <w:webHidden/>
          </w:rPr>
          <w:t>49</w:t>
        </w:r>
        <w:r w:rsidR="009C0880" w:rsidRPr="00AA2617">
          <w:rPr>
            <w:noProof/>
            <w:webHidden/>
          </w:rPr>
          <w:fldChar w:fldCharType="end"/>
        </w:r>
      </w:hyperlink>
    </w:p>
    <w:p w14:paraId="4D64D1CB" w14:textId="37A99BE0"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84" w:history="1">
        <w:r w:rsidR="009C0880" w:rsidRPr="00AA2617">
          <w:rPr>
            <w:rStyle w:val="Hyperlink"/>
            <w:rFonts w:cs="Times New Roman"/>
            <w:b/>
            <w:noProof/>
            <w:lang w:val="en-GB"/>
          </w:rPr>
          <w:t>1.4.1.</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Alignment with national priorities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_Toc9249184 \h </w:instrText>
        </w:r>
        <w:r w:rsidR="009C0880" w:rsidRPr="00AA2617">
          <w:rPr>
            <w:noProof/>
            <w:webHidden/>
          </w:rPr>
        </w:r>
        <w:r w:rsidR="009C0880" w:rsidRPr="00AA2617">
          <w:rPr>
            <w:noProof/>
            <w:webHidden/>
          </w:rPr>
          <w:fldChar w:fldCharType="separate"/>
        </w:r>
        <w:r w:rsidR="00022F28" w:rsidRPr="00AA2617">
          <w:rPr>
            <w:noProof/>
            <w:webHidden/>
          </w:rPr>
          <w:t>49</w:t>
        </w:r>
        <w:r w:rsidR="009C0880" w:rsidRPr="00AA2617">
          <w:rPr>
            <w:noProof/>
            <w:webHidden/>
          </w:rPr>
          <w:fldChar w:fldCharType="end"/>
        </w:r>
      </w:hyperlink>
    </w:p>
    <w:p w14:paraId="2FD13D60" w14:textId="3AB06C3A"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85" w:history="1">
        <w:r w:rsidR="009C0880" w:rsidRPr="00AA2617">
          <w:rPr>
            <w:rStyle w:val="Hyperlink"/>
            <w:rFonts w:cs="Times New Roman"/>
            <w:b/>
            <w:noProof/>
            <w:lang w:val="en-GB"/>
          </w:rPr>
          <w:t>1.4.2.</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Alignment with GEF priorities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_Toc9249185 \h </w:instrText>
        </w:r>
        <w:r w:rsidR="009C0880" w:rsidRPr="00AA2617">
          <w:rPr>
            <w:noProof/>
            <w:webHidden/>
          </w:rPr>
        </w:r>
        <w:r w:rsidR="009C0880" w:rsidRPr="00AA2617">
          <w:rPr>
            <w:noProof/>
            <w:webHidden/>
          </w:rPr>
          <w:fldChar w:fldCharType="separate"/>
        </w:r>
        <w:r w:rsidR="00022F28" w:rsidRPr="00AA2617">
          <w:rPr>
            <w:noProof/>
            <w:webHidden/>
          </w:rPr>
          <w:t>50</w:t>
        </w:r>
        <w:r w:rsidR="009C0880" w:rsidRPr="00AA2617">
          <w:rPr>
            <w:noProof/>
            <w:webHidden/>
          </w:rPr>
          <w:fldChar w:fldCharType="end"/>
        </w:r>
      </w:hyperlink>
    </w:p>
    <w:p w14:paraId="092C638B" w14:textId="289868C6"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86" w:history="1">
        <w:r w:rsidR="009C0880" w:rsidRPr="00AA2617">
          <w:rPr>
            <w:rStyle w:val="Hyperlink"/>
            <w:rFonts w:cs="Times New Roman"/>
            <w:b/>
            <w:noProof/>
            <w:lang w:val="en-GB"/>
          </w:rPr>
          <w:t>1.4.3.</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Alignment with FAO priorities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_Toc9249186 \h </w:instrText>
        </w:r>
        <w:r w:rsidR="009C0880" w:rsidRPr="00AA2617">
          <w:rPr>
            <w:noProof/>
            <w:webHidden/>
          </w:rPr>
        </w:r>
        <w:r w:rsidR="009C0880" w:rsidRPr="00AA2617">
          <w:rPr>
            <w:noProof/>
            <w:webHidden/>
          </w:rPr>
          <w:fldChar w:fldCharType="separate"/>
        </w:r>
        <w:r w:rsidR="00022F28" w:rsidRPr="00AA2617">
          <w:rPr>
            <w:noProof/>
            <w:webHidden/>
          </w:rPr>
          <w:t>50</w:t>
        </w:r>
        <w:r w:rsidR="009C0880" w:rsidRPr="00AA2617">
          <w:rPr>
            <w:noProof/>
            <w:webHidden/>
          </w:rPr>
          <w:fldChar w:fldCharType="end"/>
        </w:r>
      </w:hyperlink>
    </w:p>
    <w:p w14:paraId="06F392E8" w14:textId="07359A6D"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187" w:history="1">
        <w:r w:rsidR="009C0880" w:rsidRPr="00AA2617">
          <w:rPr>
            <w:rStyle w:val="Hyperlink"/>
            <w:rFonts w:cs="Times New Roman"/>
            <w:b/>
            <w:noProof/>
            <w:lang w:val="en-GB"/>
          </w:rPr>
          <w:t>1.5.</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Institutional Stakeholders and Baseline Initiatives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_Toc9249187 \h </w:instrText>
        </w:r>
        <w:r w:rsidR="009C0880" w:rsidRPr="00AA2617">
          <w:rPr>
            <w:noProof/>
            <w:webHidden/>
          </w:rPr>
        </w:r>
        <w:r w:rsidR="009C0880" w:rsidRPr="00AA2617">
          <w:rPr>
            <w:noProof/>
            <w:webHidden/>
          </w:rPr>
          <w:fldChar w:fldCharType="separate"/>
        </w:r>
        <w:r w:rsidR="00022F28" w:rsidRPr="00AA2617">
          <w:rPr>
            <w:noProof/>
            <w:webHidden/>
          </w:rPr>
          <w:t>51</w:t>
        </w:r>
        <w:r w:rsidR="009C0880" w:rsidRPr="00AA2617">
          <w:rPr>
            <w:noProof/>
            <w:webHidden/>
          </w:rPr>
          <w:fldChar w:fldCharType="end"/>
        </w:r>
      </w:hyperlink>
    </w:p>
    <w:p w14:paraId="495785BA" w14:textId="21EFD08F"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88" w:history="1">
        <w:r w:rsidR="009C0880" w:rsidRPr="00AA2617">
          <w:rPr>
            <w:rStyle w:val="Hyperlink"/>
            <w:rFonts w:cs="Times New Roman"/>
            <w:b/>
            <w:noProof/>
            <w:lang w:val="en-GB"/>
          </w:rPr>
          <w:t>1.5.1.</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Institutional programs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_Toc9249188 \h </w:instrText>
        </w:r>
        <w:r w:rsidR="009C0880" w:rsidRPr="00AA2617">
          <w:rPr>
            <w:noProof/>
            <w:webHidden/>
          </w:rPr>
        </w:r>
        <w:r w:rsidR="009C0880" w:rsidRPr="00AA2617">
          <w:rPr>
            <w:noProof/>
            <w:webHidden/>
          </w:rPr>
          <w:fldChar w:fldCharType="separate"/>
        </w:r>
        <w:r w:rsidR="00022F28" w:rsidRPr="00AA2617">
          <w:rPr>
            <w:noProof/>
            <w:webHidden/>
          </w:rPr>
          <w:t>51</w:t>
        </w:r>
        <w:r w:rsidR="009C0880" w:rsidRPr="00AA2617">
          <w:rPr>
            <w:noProof/>
            <w:webHidden/>
          </w:rPr>
          <w:fldChar w:fldCharType="end"/>
        </w:r>
      </w:hyperlink>
    </w:p>
    <w:p w14:paraId="3DB21A4B" w14:textId="10618541"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89" w:history="1">
        <w:r w:rsidR="009C0880" w:rsidRPr="00AA2617">
          <w:rPr>
            <w:rStyle w:val="Hyperlink"/>
            <w:rFonts w:cs="Times New Roman"/>
            <w:b/>
            <w:noProof/>
            <w:lang w:val="en-GB"/>
          </w:rPr>
          <w:t>1.5.2.</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Projects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_Toc9249189 \h </w:instrText>
        </w:r>
        <w:r w:rsidR="009C0880" w:rsidRPr="00AA2617">
          <w:rPr>
            <w:noProof/>
            <w:webHidden/>
          </w:rPr>
        </w:r>
        <w:r w:rsidR="009C0880" w:rsidRPr="00AA2617">
          <w:rPr>
            <w:noProof/>
            <w:webHidden/>
          </w:rPr>
          <w:fldChar w:fldCharType="separate"/>
        </w:r>
        <w:r w:rsidR="00022F28" w:rsidRPr="00AA2617">
          <w:rPr>
            <w:noProof/>
            <w:webHidden/>
          </w:rPr>
          <w:t>53</w:t>
        </w:r>
        <w:r w:rsidR="009C0880" w:rsidRPr="00AA2617">
          <w:rPr>
            <w:noProof/>
            <w:webHidden/>
          </w:rPr>
          <w:fldChar w:fldCharType="end"/>
        </w:r>
      </w:hyperlink>
    </w:p>
    <w:p w14:paraId="74A79465" w14:textId="29E8D4AE"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90" w:history="1">
        <w:r w:rsidR="009C0880" w:rsidRPr="00AA2617">
          <w:rPr>
            <w:rStyle w:val="Hyperlink"/>
            <w:rFonts w:cs="Times New Roman"/>
            <w:b/>
            <w:noProof/>
            <w:lang w:val="en-GB"/>
          </w:rPr>
          <w:t>1.5.2.1.</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GEF Projects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_Toc9249190 \h </w:instrText>
        </w:r>
        <w:r w:rsidR="009C0880" w:rsidRPr="00AA2617">
          <w:rPr>
            <w:noProof/>
            <w:webHidden/>
          </w:rPr>
        </w:r>
        <w:r w:rsidR="009C0880" w:rsidRPr="00AA2617">
          <w:rPr>
            <w:noProof/>
            <w:webHidden/>
          </w:rPr>
          <w:fldChar w:fldCharType="separate"/>
        </w:r>
        <w:r w:rsidR="00022F28" w:rsidRPr="00AA2617">
          <w:rPr>
            <w:noProof/>
            <w:webHidden/>
          </w:rPr>
          <w:t>53</w:t>
        </w:r>
        <w:r w:rsidR="009C0880" w:rsidRPr="00AA2617">
          <w:rPr>
            <w:noProof/>
            <w:webHidden/>
          </w:rPr>
          <w:fldChar w:fldCharType="end"/>
        </w:r>
      </w:hyperlink>
    </w:p>
    <w:p w14:paraId="5BF4EF22" w14:textId="6F729FC8"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91" w:history="1">
        <w:r w:rsidR="009C0880" w:rsidRPr="00AA2617">
          <w:rPr>
            <w:rStyle w:val="Hyperlink"/>
            <w:b/>
            <w:noProof/>
            <w:lang w:val="en-GB"/>
          </w:rPr>
          <w:t>1.5.2.2.</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Other UN/MDA projects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_Toc9249191 \h </w:instrText>
        </w:r>
        <w:r w:rsidR="009C0880" w:rsidRPr="00AA2617">
          <w:rPr>
            <w:noProof/>
            <w:webHidden/>
          </w:rPr>
        </w:r>
        <w:r w:rsidR="009C0880" w:rsidRPr="00AA2617">
          <w:rPr>
            <w:noProof/>
            <w:webHidden/>
          </w:rPr>
          <w:fldChar w:fldCharType="separate"/>
        </w:r>
        <w:r w:rsidR="00022F28" w:rsidRPr="00AA2617">
          <w:rPr>
            <w:noProof/>
            <w:webHidden/>
          </w:rPr>
          <w:t>53</w:t>
        </w:r>
        <w:r w:rsidR="009C0880" w:rsidRPr="00AA2617">
          <w:rPr>
            <w:noProof/>
            <w:webHidden/>
          </w:rPr>
          <w:fldChar w:fldCharType="end"/>
        </w:r>
      </w:hyperlink>
    </w:p>
    <w:p w14:paraId="5E86E2B6" w14:textId="41234CEF"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192" w:history="1">
        <w:r w:rsidR="009C0880" w:rsidRPr="00AA2617">
          <w:rPr>
            <w:rStyle w:val="Hyperlink"/>
            <w:lang w:val="en-GB"/>
          </w:rPr>
          <w:t>Section 2:  Project Governance and Operational Arrangements</w:t>
        </w:r>
        <w:r w:rsidR="009C0880" w:rsidRPr="00AA2617">
          <w:rPr>
            <w:webHidden/>
          </w:rPr>
          <w:tab/>
        </w:r>
        <w:r w:rsidR="009C0880" w:rsidRPr="00AA2617">
          <w:rPr>
            <w:webHidden/>
          </w:rPr>
          <w:fldChar w:fldCharType="begin"/>
        </w:r>
        <w:r w:rsidR="009C0880" w:rsidRPr="00AA2617">
          <w:rPr>
            <w:webHidden/>
          </w:rPr>
          <w:instrText xml:space="preserve"> PAGEREF _Toc9249192 \h </w:instrText>
        </w:r>
        <w:r w:rsidR="009C0880" w:rsidRPr="00AA2617">
          <w:rPr>
            <w:webHidden/>
          </w:rPr>
        </w:r>
        <w:r w:rsidR="009C0880" w:rsidRPr="00AA2617">
          <w:rPr>
            <w:webHidden/>
          </w:rPr>
          <w:fldChar w:fldCharType="separate"/>
        </w:r>
        <w:r w:rsidR="00022F28" w:rsidRPr="00AA2617">
          <w:rPr>
            <w:webHidden/>
          </w:rPr>
          <w:t>55</w:t>
        </w:r>
        <w:r w:rsidR="009C0880" w:rsidRPr="00AA2617">
          <w:rPr>
            <w:webHidden/>
          </w:rPr>
          <w:fldChar w:fldCharType="end"/>
        </w:r>
      </w:hyperlink>
    </w:p>
    <w:p w14:paraId="77B44784" w14:textId="15A393AB"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194" w:history="1">
        <w:r w:rsidR="009C0880" w:rsidRPr="00AA2617">
          <w:rPr>
            <w:rStyle w:val="Hyperlink"/>
            <w:b/>
            <w:noProof/>
            <w:lang w:val="en-GB"/>
          </w:rPr>
          <w:t>2.1.</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Stakeholder Engagement</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_Toc9249194 \h </w:instrText>
        </w:r>
        <w:r w:rsidR="009C0880" w:rsidRPr="00AA2617">
          <w:rPr>
            <w:noProof/>
            <w:webHidden/>
          </w:rPr>
        </w:r>
        <w:r w:rsidR="009C0880" w:rsidRPr="00AA2617">
          <w:rPr>
            <w:noProof/>
            <w:webHidden/>
          </w:rPr>
          <w:fldChar w:fldCharType="separate"/>
        </w:r>
        <w:r w:rsidR="00022F28" w:rsidRPr="00AA2617">
          <w:rPr>
            <w:noProof/>
            <w:webHidden/>
          </w:rPr>
          <w:t>55</w:t>
        </w:r>
        <w:r w:rsidR="009C0880" w:rsidRPr="00AA2617">
          <w:rPr>
            <w:noProof/>
            <w:webHidden/>
          </w:rPr>
          <w:fldChar w:fldCharType="end"/>
        </w:r>
      </w:hyperlink>
    </w:p>
    <w:p w14:paraId="5A288644" w14:textId="502311F1"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195" w:history="1">
        <w:r w:rsidR="009C0880" w:rsidRPr="00AA2617">
          <w:rPr>
            <w:rStyle w:val="Hyperlink"/>
            <w:b/>
            <w:noProof/>
            <w:lang w:val="en-GB"/>
          </w:rPr>
          <w:t>2.2.</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Project Governance</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_Toc9249195 \h </w:instrText>
        </w:r>
        <w:r w:rsidR="009C0880" w:rsidRPr="00AA2617">
          <w:rPr>
            <w:noProof/>
            <w:webHidden/>
          </w:rPr>
        </w:r>
        <w:r w:rsidR="009C0880" w:rsidRPr="00AA2617">
          <w:rPr>
            <w:noProof/>
            <w:webHidden/>
          </w:rPr>
          <w:fldChar w:fldCharType="separate"/>
        </w:r>
        <w:r w:rsidR="00022F28" w:rsidRPr="00AA2617">
          <w:rPr>
            <w:noProof/>
            <w:webHidden/>
          </w:rPr>
          <w:t>55</w:t>
        </w:r>
        <w:r w:rsidR="009C0880" w:rsidRPr="00AA2617">
          <w:rPr>
            <w:noProof/>
            <w:webHidden/>
          </w:rPr>
          <w:fldChar w:fldCharType="end"/>
        </w:r>
      </w:hyperlink>
    </w:p>
    <w:p w14:paraId="5FB3CD85" w14:textId="38631C1E"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96" w:history="1">
        <w:r w:rsidR="009C0880" w:rsidRPr="00AA2617">
          <w:rPr>
            <w:rStyle w:val="Hyperlink"/>
            <w:b/>
            <w:noProof/>
            <w:lang w:val="en-GB"/>
          </w:rPr>
          <w:t>2.2.1.</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Operational mode</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_Toc9249196 \h </w:instrText>
        </w:r>
        <w:r w:rsidR="009C0880" w:rsidRPr="00AA2617">
          <w:rPr>
            <w:noProof/>
            <w:webHidden/>
          </w:rPr>
        </w:r>
        <w:r w:rsidR="009C0880" w:rsidRPr="00AA2617">
          <w:rPr>
            <w:noProof/>
            <w:webHidden/>
          </w:rPr>
          <w:fldChar w:fldCharType="separate"/>
        </w:r>
        <w:r w:rsidR="00022F28" w:rsidRPr="00AA2617">
          <w:rPr>
            <w:noProof/>
            <w:webHidden/>
          </w:rPr>
          <w:t>55</w:t>
        </w:r>
        <w:r w:rsidR="009C0880" w:rsidRPr="00AA2617">
          <w:rPr>
            <w:noProof/>
            <w:webHidden/>
          </w:rPr>
          <w:fldChar w:fldCharType="end"/>
        </w:r>
      </w:hyperlink>
    </w:p>
    <w:p w14:paraId="0FE059F6" w14:textId="74B51C3F"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97" w:history="1">
        <w:r w:rsidR="009C0880" w:rsidRPr="00AA2617">
          <w:rPr>
            <w:rStyle w:val="Hyperlink"/>
            <w:noProof/>
            <w:lang w:val="en-GB"/>
          </w:rPr>
          <w:t>2.2.2.</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Institutional framework</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_Toc9249197 \h </w:instrText>
        </w:r>
        <w:r w:rsidR="009C0880" w:rsidRPr="00AA2617">
          <w:rPr>
            <w:noProof/>
            <w:webHidden/>
          </w:rPr>
        </w:r>
        <w:r w:rsidR="009C0880" w:rsidRPr="00AA2617">
          <w:rPr>
            <w:noProof/>
            <w:webHidden/>
          </w:rPr>
          <w:fldChar w:fldCharType="separate"/>
        </w:r>
        <w:r w:rsidR="00022F28" w:rsidRPr="00AA2617">
          <w:rPr>
            <w:noProof/>
            <w:webHidden/>
          </w:rPr>
          <w:t>57</w:t>
        </w:r>
        <w:r w:rsidR="009C0880" w:rsidRPr="00AA2617">
          <w:rPr>
            <w:noProof/>
            <w:webHidden/>
          </w:rPr>
          <w:fldChar w:fldCharType="end"/>
        </w:r>
      </w:hyperlink>
    </w:p>
    <w:p w14:paraId="2CE7E266" w14:textId="66536FAD"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98" w:history="1">
        <w:r w:rsidR="009C0880" w:rsidRPr="00AA2617">
          <w:rPr>
            <w:rStyle w:val="Hyperlink"/>
            <w:b/>
            <w:noProof/>
            <w:lang w:val="en-GB"/>
          </w:rPr>
          <w:t>2.2.3.</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FAO’s comparative advantages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_Toc9249198 \h </w:instrText>
        </w:r>
        <w:r w:rsidR="009C0880" w:rsidRPr="00AA2617">
          <w:rPr>
            <w:noProof/>
            <w:webHidden/>
          </w:rPr>
        </w:r>
        <w:r w:rsidR="009C0880" w:rsidRPr="00AA2617">
          <w:rPr>
            <w:noProof/>
            <w:webHidden/>
          </w:rPr>
          <w:fldChar w:fldCharType="separate"/>
        </w:r>
        <w:r w:rsidR="00022F28" w:rsidRPr="00AA2617">
          <w:rPr>
            <w:noProof/>
            <w:webHidden/>
          </w:rPr>
          <w:t>57</w:t>
        </w:r>
        <w:r w:rsidR="009C0880" w:rsidRPr="00AA2617">
          <w:rPr>
            <w:noProof/>
            <w:webHidden/>
          </w:rPr>
          <w:fldChar w:fldCharType="end"/>
        </w:r>
      </w:hyperlink>
    </w:p>
    <w:p w14:paraId="56E52717" w14:textId="00227FB7"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199" w:history="1">
        <w:r w:rsidR="009C0880" w:rsidRPr="00AA2617">
          <w:rPr>
            <w:rStyle w:val="Hyperlink"/>
            <w:b/>
            <w:noProof/>
            <w:lang w:val="en-GB"/>
          </w:rPr>
          <w:t>2.2.4.</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Priorities for the inception phase</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_Toc9249199 \h </w:instrText>
        </w:r>
        <w:r w:rsidR="009C0880" w:rsidRPr="00AA2617">
          <w:rPr>
            <w:noProof/>
            <w:webHidden/>
          </w:rPr>
        </w:r>
        <w:r w:rsidR="009C0880" w:rsidRPr="00AA2617">
          <w:rPr>
            <w:noProof/>
            <w:webHidden/>
          </w:rPr>
          <w:fldChar w:fldCharType="separate"/>
        </w:r>
        <w:r w:rsidR="00022F28" w:rsidRPr="00AA2617">
          <w:rPr>
            <w:noProof/>
            <w:webHidden/>
          </w:rPr>
          <w:t>59</w:t>
        </w:r>
        <w:r w:rsidR="009C0880" w:rsidRPr="00AA2617">
          <w:rPr>
            <w:noProof/>
            <w:webHidden/>
          </w:rPr>
          <w:fldChar w:fldCharType="end"/>
        </w:r>
      </w:hyperlink>
    </w:p>
    <w:p w14:paraId="30197480" w14:textId="11389EE2"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00" w:history="1">
        <w:r w:rsidR="009C0880" w:rsidRPr="00AA2617">
          <w:rPr>
            <w:rStyle w:val="Hyperlink"/>
            <w:b/>
            <w:noProof/>
            <w:lang w:val="en-GB"/>
          </w:rPr>
          <w:t>2.2.5.</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Grievance mechanism</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_Toc9249200 \h </w:instrText>
        </w:r>
        <w:r w:rsidR="009C0880" w:rsidRPr="00AA2617">
          <w:rPr>
            <w:noProof/>
            <w:webHidden/>
          </w:rPr>
        </w:r>
        <w:r w:rsidR="009C0880" w:rsidRPr="00AA2617">
          <w:rPr>
            <w:noProof/>
            <w:webHidden/>
          </w:rPr>
          <w:fldChar w:fldCharType="separate"/>
        </w:r>
        <w:r w:rsidR="00022F28" w:rsidRPr="00AA2617">
          <w:rPr>
            <w:noProof/>
            <w:webHidden/>
          </w:rPr>
          <w:t>59</w:t>
        </w:r>
        <w:r w:rsidR="009C0880" w:rsidRPr="00AA2617">
          <w:rPr>
            <w:noProof/>
            <w:webHidden/>
          </w:rPr>
          <w:fldChar w:fldCharType="end"/>
        </w:r>
      </w:hyperlink>
    </w:p>
    <w:p w14:paraId="5B970F7E" w14:textId="1ECFA748"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01" w:history="1">
        <w:r w:rsidR="009C0880" w:rsidRPr="00AA2617">
          <w:rPr>
            <w:rStyle w:val="Hyperlink"/>
            <w:b/>
            <w:noProof/>
            <w:lang w:val="en-GB"/>
          </w:rPr>
          <w:t>2.2.6.</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Disclosure</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_Toc9249201 \h </w:instrText>
        </w:r>
        <w:r w:rsidR="009C0880" w:rsidRPr="00AA2617">
          <w:rPr>
            <w:noProof/>
            <w:webHidden/>
          </w:rPr>
        </w:r>
        <w:r w:rsidR="009C0880" w:rsidRPr="00AA2617">
          <w:rPr>
            <w:noProof/>
            <w:webHidden/>
          </w:rPr>
          <w:fldChar w:fldCharType="separate"/>
        </w:r>
        <w:r w:rsidR="00022F28" w:rsidRPr="00AA2617">
          <w:rPr>
            <w:noProof/>
            <w:webHidden/>
          </w:rPr>
          <w:t>59</w:t>
        </w:r>
        <w:r w:rsidR="009C0880" w:rsidRPr="00AA2617">
          <w:rPr>
            <w:noProof/>
            <w:webHidden/>
          </w:rPr>
          <w:fldChar w:fldCharType="end"/>
        </w:r>
      </w:hyperlink>
    </w:p>
    <w:p w14:paraId="4D3A2911" w14:textId="697BF90C"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02" w:history="1">
        <w:r w:rsidR="009C0880" w:rsidRPr="00AA2617">
          <w:rPr>
            <w:rStyle w:val="Hyperlink"/>
            <w:b/>
            <w:bCs/>
            <w:noProof/>
            <w:lang w:val="en-GB"/>
          </w:rPr>
          <w:t>2.2.7.</w:t>
        </w:r>
        <w:r w:rsidR="009C0880" w:rsidRPr="00AA2617">
          <w:rPr>
            <w:rFonts w:asciiTheme="minorHAnsi" w:eastAsiaTheme="minorEastAsia" w:hAnsiTheme="minorHAnsi" w:cs="Mangal"/>
            <w:noProof/>
            <w:sz w:val="22"/>
            <w:szCs w:val="20"/>
            <w:lang w:bidi="hi-IN"/>
          </w:rPr>
          <w:tab/>
        </w:r>
        <w:r w:rsidR="009C0880" w:rsidRPr="00AA2617">
          <w:rPr>
            <w:rStyle w:val="Hyperlink"/>
            <w:b/>
            <w:bCs/>
            <w:noProof/>
            <w:lang w:val="en-GB"/>
          </w:rPr>
          <w:t>Planning and financial management</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_Toc9249202 \h </w:instrText>
        </w:r>
        <w:r w:rsidR="009C0880" w:rsidRPr="00AA2617">
          <w:rPr>
            <w:noProof/>
            <w:webHidden/>
          </w:rPr>
        </w:r>
        <w:r w:rsidR="009C0880" w:rsidRPr="00AA2617">
          <w:rPr>
            <w:noProof/>
            <w:webHidden/>
          </w:rPr>
          <w:fldChar w:fldCharType="separate"/>
        </w:r>
        <w:r w:rsidR="00022F28" w:rsidRPr="00AA2617">
          <w:rPr>
            <w:noProof/>
            <w:webHidden/>
          </w:rPr>
          <w:t>59</w:t>
        </w:r>
        <w:r w:rsidR="009C0880" w:rsidRPr="00AA2617">
          <w:rPr>
            <w:noProof/>
            <w:webHidden/>
          </w:rPr>
          <w:fldChar w:fldCharType="end"/>
        </w:r>
      </w:hyperlink>
    </w:p>
    <w:p w14:paraId="4B465847" w14:textId="1E1478BB"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03" w:history="1">
        <w:r w:rsidR="009C0880" w:rsidRPr="00AA2617">
          <w:rPr>
            <w:rStyle w:val="Hyperlink"/>
            <w:b/>
            <w:bCs/>
            <w:noProof/>
            <w:lang w:val="en-GB"/>
          </w:rPr>
          <w:t>2.2.8.</w:t>
        </w:r>
        <w:r w:rsidR="009C0880" w:rsidRPr="00AA2617">
          <w:rPr>
            <w:rFonts w:asciiTheme="minorHAnsi" w:eastAsiaTheme="minorEastAsia" w:hAnsiTheme="minorHAnsi" w:cs="Mangal"/>
            <w:noProof/>
            <w:sz w:val="22"/>
            <w:szCs w:val="20"/>
            <w:lang w:bidi="hi-IN"/>
          </w:rPr>
          <w:tab/>
        </w:r>
        <w:r w:rsidR="009C0880" w:rsidRPr="00AA2617">
          <w:rPr>
            <w:rStyle w:val="Hyperlink"/>
            <w:b/>
            <w:bCs/>
            <w:noProof/>
            <w:lang w:val="en-GB"/>
          </w:rPr>
          <w:t>Financial plan (by components, outcome and co-financiers)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_Toc9249203 \h </w:instrText>
        </w:r>
        <w:r w:rsidR="009C0880" w:rsidRPr="00AA2617">
          <w:rPr>
            <w:noProof/>
            <w:webHidden/>
          </w:rPr>
        </w:r>
        <w:r w:rsidR="009C0880" w:rsidRPr="00AA2617">
          <w:rPr>
            <w:noProof/>
            <w:webHidden/>
          </w:rPr>
          <w:fldChar w:fldCharType="separate"/>
        </w:r>
        <w:r w:rsidR="00022F28" w:rsidRPr="00AA2617">
          <w:rPr>
            <w:noProof/>
            <w:webHidden/>
          </w:rPr>
          <w:t>59</w:t>
        </w:r>
        <w:r w:rsidR="009C0880" w:rsidRPr="00AA2617">
          <w:rPr>
            <w:noProof/>
            <w:webHidden/>
          </w:rPr>
          <w:fldChar w:fldCharType="end"/>
        </w:r>
      </w:hyperlink>
    </w:p>
    <w:p w14:paraId="64B5733B" w14:textId="16471941"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04" w:history="1">
        <w:r w:rsidR="009C0880" w:rsidRPr="00AA2617">
          <w:rPr>
            <w:rStyle w:val="Hyperlink"/>
            <w:noProof/>
            <w:lang w:val="en-GB"/>
          </w:rPr>
          <w:t>2.2.9.</w:t>
        </w:r>
        <w:r w:rsidR="009C0880" w:rsidRPr="00AA2617">
          <w:rPr>
            <w:rFonts w:asciiTheme="minorHAnsi" w:eastAsiaTheme="minorEastAsia" w:hAnsiTheme="minorHAnsi" w:cs="Mangal"/>
            <w:noProof/>
            <w:sz w:val="22"/>
            <w:szCs w:val="20"/>
            <w:lang w:bidi="hi-IN"/>
          </w:rPr>
          <w:tab/>
        </w:r>
        <w:r w:rsidR="009C0880" w:rsidRPr="00AA2617">
          <w:rPr>
            <w:rStyle w:val="Hyperlink"/>
            <w:noProof/>
            <w:lang w:val="en-GB"/>
          </w:rPr>
          <w:t>GEF Contribution</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_Toc9249204 \h </w:instrText>
        </w:r>
        <w:r w:rsidR="009C0880" w:rsidRPr="00AA2617">
          <w:rPr>
            <w:noProof/>
            <w:webHidden/>
          </w:rPr>
        </w:r>
        <w:r w:rsidR="009C0880" w:rsidRPr="00AA2617">
          <w:rPr>
            <w:noProof/>
            <w:webHidden/>
          </w:rPr>
          <w:fldChar w:fldCharType="separate"/>
        </w:r>
        <w:r w:rsidR="00022F28" w:rsidRPr="00AA2617">
          <w:rPr>
            <w:noProof/>
            <w:webHidden/>
          </w:rPr>
          <w:t>60</w:t>
        </w:r>
        <w:r w:rsidR="009C0880" w:rsidRPr="00AA2617">
          <w:rPr>
            <w:noProof/>
            <w:webHidden/>
          </w:rPr>
          <w:fldChar w:fldCharType="end"/>
        </w:r>
      </w:hyperlink>
    </w:p>
    <w:p w14:paraId="20129DAA" w14:textId="53B50694"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05" w:history="1">
        <w:r w:rsidR="009C0880" w:rsidRPr="00AA2617">
          <w:rPr>
            <w:rStyle w:val="Hyperlink"/>
            <w:noProof/>
            <w:lang w:val="en-GB"/>
          </w:rPr>
          <w:t>2.2.10.</w:t>
        </w:r>
        <w:r w:rsidR="009C0880" w:rsidRPr="00AA2617">
          <w:rPr>
            <w:rFonts w:asciiTheme="minorHAnsi" w:eastAsiaTheme="minorEastAsia" w:hAnsiTheme="minorHAnsi" w:cs="Mangal"/>
            <w:noProof/>
            <w:sz w:val="22"/>
            <w:szCs w:val="20"/>
            <w:lang w:bidi="hi-IN"/>
          </w:rPr>
          <w:tab/>
        </w:r>
        <w:r w:rsidR="009C0880" w:rsidRPr="00AA2617">
          <w:rPr>
            <w:rStyle w:val="Hyperlink"/>
            <w:noProof/>
            <w:lang w:val="en-GB"/>
          </w:rPr>
          <w:t>Government Contribution</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_Toc9249205 \h </w:instrText>
        </w:r>
        <w:r w:rsidR="009C0880" w:rsidRPr="00AA2617">
          <w:rPr>
            <w:noProof/>
            <w:webHidden/>
          </w:rPr>
        </w:r>
        <w:r w:rsidR="009C0880" w:rsidRPr="00AA2617">
          <w:rPr>
            <w:noProof/>
            <w:webHidden/>
          </w:rPr>
          <w:fldChar w:fldCharType="separate"/>
        </w:r>
        <w:r w:rsidR="00022F28" w:rsidRPr="00AA2617">
          <w:rPr>
            <w:noProof/>
            <w:webHidden/>
          </w:rPr>
          <w:t>60</w:t>
        </w:r>
        <w:r w:rsidR="009C0880" w:rsidRPr="00AA2617">
          <w:rPr>
            <w:noProof/>
            <w:webHidden/>
          </w:rPr>
          <w:fldChar w:fldCharType="end"/>
        </w:r>
      </w:hyperlink>
    </w:p>
    <w:p w14:paraId="05374692" w14:textId="7A541284"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06" w:history="1">
        <w:r w:rsidR="009C0880" w:rsidRPr="00AA2617">
          <w:rPr>
            <w:rStyle w:val="Hyperlink"/>
            <w:noProof/>
            <w:lang w:val="en-GB"/>
          </w:rPr>
          <w:t>2.2.11.</w:t>
        </w:r>
        <w:r w:rsidR="009C0880" w:rsidRPr="00AA2617">
          <w:rPr>
            <w:rFonts w:asciiTheme="minorHAnsi" w:eastAsiaTheme="minorEastAsia" w:hAnsiTheme="minorHAnsi" w:cs="Mangal"/>
            <w:noProof/>
            <w:sz w:val="22"/>
            <w:szCs w:val="20"/>
            <w:lang w:bidi="hi-IN"/>
          </w:rPr>
          <w:tab/>
        </w:r>
        <w:r w:rsidR="009C0880" w:rsidRPr="00AA2617">
          <w:rPr>
            <w:rStyle w:val="Hyperlink"/>
            <w:noProof/>
            <w:lang w:val="en-GB"/>
          </w:rPr>
          <w:t>FAO Contribution</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_Toc9249206 \h </w:instrText>
        </w:r>
        <w:r w:rsidR="009C0880" w:rsidRPr="00AA2617">
          <w:rPr>
            <w:noProof/>
            <w:webHidden/>
          </w:rPr>
        </w:r>
        <w:r w:rsidR="009C0880" w:rsidRPr="00AA2617">
          <w:rPr>
            <w:noProof/>
            <w:webHidden/>
          </w:rPr>
          <w:fldChar w:fldCharType="separate"/>
        </w:r>
        <w:r w:rsidR="00022F28" w:rsidRPr="00AA2617">
          <w:rPr>
            <w:noProof/>
            <w:webHidden/>
          </w:rPr>
          <w:t>60</w:t>
        </w:r>
        <w:r w:rsidR="009C0880" w:rsidRPr="00AA2617">
          <w:rPr>
            <w:noProof/>
            <w:webHidden/>
          </w:rPr>
          <w:fldChar w:fldCharType="end"/>
        </w:r>
      </w:hyperlink>
    </w:p>
    <w:p w14:paraId="349B1147" w14:textId="5428E8EB"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07" w:history="1">
        <w:r w:rsidR="009C0880" w:rsidRPr="00AA2617">
          <w:rPr>
            <w:rStyle w:val="Hyperlink"/>
            <w:noProof/>
            <w:lang w:val="en-GB"/>
          </w:rPr>
          <w:t>2.2.12.</w:t>
        </w:r>
        <w:r w:rsidR="009C0880" w:rsidRPr="00AA2617">
          <w:rPr>
            <w:rFonts w:asciiTheme="minorHAnsi" w:eastAsiaTheme="minorEastAsia" w:hAnsiTheme="minorHAnsi" w:cs="Mangal"/>
            <w:noProof/>
            <w:sz w:val="22"/>
            <w:szCs w:val="20"/>
            <w:lang w:bidi="hi-IN"/>
          </w:rPr>
          <w:tab/>
        </w:r>
        <w:r w:rsidR="009C0880" w:rsidRPr="00AA2617">
          <w:rPr>
            <w:rStyle w:val="Hyperlink"/>
            <w:noProof/>
            <w:lang w:val="en-GB"/>
          </w:rPr>
          <w:t>Financial management of and reporting on GEF resources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_Toc9249207 \h </w:instrText>
        </w:r>
        <w:r w:rsidR="009C0880" w:rsidRPr="00AA2617">
          <w:rPr>
            <w:noProof/>
            <w:webHidden/>
          </w:rPr>
        </w:r>
        <w:r w:rsidR="009C0880" w:rsidRPr="00AA2617">
          <w:rPr>
            <w:noProof/>
            <w:webHidden/>
          </w:rPr>
          <w:fldChar w:fldCharType="separate"/>
        </w:r>
        <w:r w:rsidR="00022F28" w:rsidRPr="00AA2617">
          <w:rPr>
            <w:noProof/>
            <w:webHidden/>
          </w:rPr>
          <w:t>60</w:t>
        </w:r>
        <w:r w:rsidR="009C0880" w:rsidRPr="00AA2617">
          <w:rPr>
            <w:noProof/>
            <w:webHidden/>
          </w:rPr>
          <w:fldChar w:fldCharType="end"/>
        </w:r>
      </w:hyperlink>
    </w:p>
    <w:p w14:paraId="3BF29A26" w14:textId="0429BE6E"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208" w:history="1">
        <w:r w:rsidR="009C0880" w:rsidRPr="00AA2617">
          <w:rPr>
            <w:rStyle w:val="Hyperlink"/>
            <w:b/>
            <w:bCs/>
            <w:noProof/>
            <w:lang w:val="en-GB"/>
          </w:rPr>
          <w:t>2.3.</w:t>
        </w:r>
        <w:r w:rsidR="009C0880" w:rsidRPr="00AA2617">
          <w:rPr>
            <w:rFonts w:asciiTheme="minorHAnsi" w:eastAsiaTheme="minorEastAsia" w:hAnsiTheme="minorHAnsi" w:cs="Mangal"/>
            <w:noProof/>
            <w:sz w:val="22"/>
            <w:szCs w:val="20"/>
            <w:lang w:bidi="hi-IN"/>
          </w:rPr>
          <w:tab/>
        </w:r>
        <w:r w:rsidR="009C0880" w:rsidRPr="00AA2617">
          <w:rPr>
            <w:rStyle w:val="Hyperlink"/>
            <w:b/>
            <w:bCs/>
            <w:noProof/>
            <w:lang w:val="en-GB"/>
          </w:rPr>
          <w:t>Procurement</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_Toc9249208 \h </w:instrText>
        </w:r>
        <w:r w:rsidR="009C0880" w:rsidRPr="00AA2617">
          <w:rPr>
            <w:noProof/>
            <w:webHidden/>
          </w:rPr>
        </w:r>
        <w:r w:rsidR="009C0880" w:rsidRPr="00AA2617">
          <w:rPr>
            <w:noProof/>
            <w:webHidden/>
          </w:rPr>
          <w:fldChar w:fldCharType="separate"/>
        </w:r>
        <w:r w:rsidR="00022F28" w:rsidRPr="00AA2617">
          <w:rPr>
            <w:noProof/>
            <w:webHidden/>
          </w:rPr>
          <w:t>62</w:t>
        </w:r>
        <w:r w:rsidR="009C0880" w:rsidRPr="00AA2617">
          <w:rPr>
            <w:noProof/>
            <w:webHidden/>
          </w:rPr>
          <w:fldChar w:fldCharType="end"/>
        </w:r>
      </w:hyperlink>
    </w:p>
    <w:p w14:paraId="651076F9" w14:textId="69CAAF71"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209" w:history="1">
        <w:r w:rsidR="009C0880" w:rsidRPr="00AA2617">
          <w:rPr>
            <w:rStyle w:val="Hyperlink"/>
            <w:b/>
            <w:noProof/>
            <w:lang w:val="en-GB"/>
          </w:rPr>
          <w:t>2.4.</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Monitoring and Evaluation (M&amp;E)</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_Toc9249209 \h </w:instrText>
        </w:r>
        <w:r w:rsidR="009C0880" w:rsidRPr="00AA2617">
          <w:rPr>
            <w:noProof/>
            <w:webHidden/>
          </w:rPr>
        </w:r>
        <w:r w:rsidR="009C0880" w:rsidRPr="00AA2617">
          <w:rPr>
            <w:noProof/>
            <w:webHidden/>
          </w:rPr>
          <w:fldChar w:fldCharType="separate"/>
        </w:r>
        <w:r w:rsidR="00022F28" w:rsidRPr="00AA2617">
          <w:rPr>
            <w:noProof/>
            <w:webHidden/>
          </w:rPr>
          <w:t>62</w:t>
        </w:r>
        <w:r w:rsidR="009C0880" w:rsidRPr="00AA2617">
          <w:rPr>
            <w:noProof/>
            <w:webHidden/>
          </w:rPr>
          <w:fldChar w:fldCharType="end"/>
        </w:r>
      </w:hyperlink>
    </w:p>
    <w:p w14:paraId="43B12020" w14:textId="1FE695FA"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10" w:history="1">
        <w:r w:rsidR="009C0880" w:rsidRPr="00AA2617">
          <w:rPr>
            <w:rStyle w:val="Hyperlink"/>
            <w:b/>
            <w:noProof/>
            <w:lang w:val="en-GB"/>
          </w:rPr>
          <w:t>2.4.1.</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Monitoring and reporting</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_Toc9249210 \h </w:instrText>
        </w:r>
        <w:r w:rsidR="009C0880" w:rsidRPr="00AA2617">
          <w:rPr>
            <w:noProof/>
            <w:webHidden/>
          </w:rPr>
        </w:r>
        <w:r w:rsidR="009C0880" w:rsidRPr="00AA2617">
          <w:rPr>
            <w:noProof/>
            <w:webHidden/>
          </w:rPr>
          <w:fldChar w:fldCharType="separate"/>
        </w:r>
        <w:r w:rsidR="00022F28" w:rsidRPr="00AA2617">
          <w:rPr>
            <w:noProof/>
            <w:webHidden/>
          </w:rPr>
          <w:t>62</w:t>
        </w:r>
        <w:r w:rsidR="009C0880" w:rsidRPr="00AA2617">
          <w:rPr>
            <w:noProof/>
            <w:webHidden/>
          </w:rPr>
          <w:fldChar w:fldCharType="end"/>
        </w:r>
      </w:hyperlink>
    </w:p>
    <w:p w14:paraId="7D2A3427" w14:textId="2184ADE6"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11" w:history="1">
        <w:r w:rsidR="009C0880" w:rsidRPr="00AA2617">
          <w:rPr>
            <w:rStyle w:val="Hyperlink"/>
            <w:b/>
            <w:noProof/>
            <w:lang w:val="en-GB"/>
          </w:rPr>
          <w:t>2.4.2.</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Evaluation</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_Toc9249211 \h </w:instrText>
        </w:r>
        <w:r w:rsidR="009C0880" w:rsidRPr="00AA2617">
          <w:rPr>
            <w:noProof/>
            <w:webHidden/>
          </w:rPr>
        </w:r>
        <w:r w:rsidR="009C0880" w:rsidRPr="00AA2617">
          <w:rPr>
            <w:noProof/>
            <w:webHidden/>
          </w:rPr>
          <w:fldChar w:fldCharType="separate"/>
        </w:r>
        <w:r w:rsidR="00022F28" w:rsidRPr="00AA2617">
          <w:rPr>
            <w:noProof/>
            <w:webHidden/>
          </w:rPr>
          <w:t>64</w:t>
        </w:r>
        <w:r w:rsidR="009C0880" w:rsidRPr="00AA2617">
          <w:rPr>
            <w:noProof/>
            <w:webHidden/>
          </w:rPr>
          <w:fldChar w:fldCharType="end"/>
        </w:r>
      </w:hyperlink>
    </w:p>
    <w:p w14:paraId="571FB5C7" w14:textId="4C3139EA"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12" w:history="1">
        <w:r w:rsidR="009C0880" w:rsidRPr="00AA2617">
          <w:rPr>
            <w:rStyle w:val="Hyperlink"/>
            <w:b/>
            <w:noProof/>
            <w:lang w:val="en-GB"/>
          </w:rPr>
          <w:t>2.4.3.</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Summary of M&amp;E Arrangements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_Toc9249212 \h </w:instrText>
        </w:r>
        <w:r w:rsidR="009C0880" w:rsidRPr="00AA2617">
          <w:rPr>
            <w:noProof/>
            <w:webHidden/>
          </w:rPr>
        </w:r>
        <w:r w:rsidR="009C0880" w:rsidRPr="00AA2617">
          <w:rPr>
            <w:noProof/>
            <w:webHidden/>
          </w:rPr>
          <w:fldChar w:fldCharType="separate"/>
        </w:r>
        <w:r w:rsidR="00022F28" w:rsidRPr="00AA2617">
          <w:rPr>
            <w:noProof/>
            <w:webHidden/>
          </w:rPr>
          <w:t>65</w:t>
        </w:r>
        <w:r w:rsidR="009C0880" w:rsidRPr="00AA2617">
          <w:rPr>
            <w:noProof/>
            <w:webHidden/>
          </w:rPr>
          <w:fldChar w:fldCharType="end"/>
        </w:r>
      </w:hyperlink>
    </w:p>
    <w:p w14:paraId="768D65A3" w14:textId="42E84B65"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13" w:history="1">
        <w:r w:rsidR="009C0880" w:rsidRPr="00AA2617">
          <w:rPr>
            <w:rStyle w:val="Hyperlink"/>
            <w:b/>
            <w:noProof/>
            <w:lang w:val="en-GB"/>
          </w:rPr>
          <w:t>2.4.4.</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Communication</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_Toc9249213 \h </w:instrText>
        </w:r>
        <w:r w:rsidR="009C0880" w:rsidRPr="00AA2617">
          <w:rPr>
            <w:noProof/>
            <w:webHidden/>
          </w:rPr>
        </w:r>
        <w:r w:rsidR="009C0880" w:rsidRPr="00AA2617">
          <w:rPr>
            <w:noProof/>
            <w:webHidden/>
          </w:rPr>
          <w:fldChar w:fldCharType="separate"/>
        </w:r>
        <w:r w:rsidR="00022F28" w:rsidRPr="00AA2617">
          <w:rPr>
            <w:noProof/>
            <w:webHidden/>
          </w:rPr>
          <w:t>66</w:t>
        </w:r>
        <w:r w:rsidR="009C0880" w:rsidRPr="00AA2617">
          <w:rPr>
            <w:noProof/>
            <w:webHidden/>
          </w:rPr>
          <w:fldChar w:fldCharType="end"/>
        </w:r>
      </w:hyperlink>
    </w:p>
    <w:p w14:paraId="29810FF5" w14:textId="4C96BE4F"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214" w:history="1">
        <w:r w:rsidR="009C0880" w:rsidRPr="00AA2617">
          <w:rPr>
            <w:rStyle w:val="Hyperlink"/>
            <w:b/>
            <w:noProof/>
            <w:lang w:val="en-GB"/>
          </w:rPr>
          <w:t>2.5.</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Risk Management</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_Toc9249214 \h </w:instrText>
        </w:r>
        <w:r w:rsidR="009C0880" w:rsidRPr="00AA2617">
          <w:rPr>
            <w:noProof/>
            <w:webHidden/>
          </w:rPr>
        </w:r>
        <w:r w:rsidR="009C0880" w:rsidRPr="00AA2617">
          <w:rPr>
            <w:noProof/>
            <w:webHidden/>
          </w:rPr>
          <w:fldChar w:fldCharType="separate"/>
        </w:r>
        <w:r w:rsidR="00022F28" w:rsidRPr="00AA2617">
          <w:rPr>
            <w:noProof/>
            <w:webHidden/>
          </w:rPr>
          <w:t>67</w:t>
        </w:r>
        <w:r w:rsidR="009C0880" w:rsidRPr="00AA2617">
          <w:rPr>
            <w:noProof/>
            <w:webHidden/>
          </w:rPr>
          <w:fldChar w:fldCharType="end"/>
        </w:r>
      </w:hyperlink>
    </w:p>
    <w:p w14:paraId="574DF9A7" w14:textId="20D1A676"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15" w:history="1">
        <w:r w:rsidR="009C0880" w:rsidRPr="00AA2617">
          <w:rPr>
            <w:rStyle w:val="Hyperlink"/>
            <w:b/>
            <w:noProof/>
            <w:lang w:val="en-GB"/>
          </w:rPr>
          <w:t>2.5.1.</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Incorporation of lessons learned</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_Toc9249215 \h </w:instrText>
        </w:r>
        <w:r w:rsidR="009C0880" w:rsidRPr="00AA2617">
          <w:rPr>
            <w:noProof/>
            <w:webHidden/>
          </w:rPr>
        </w:r>
        <w:r w:rsidR="009C0880" w:rsidRPr="00AA2617">
          <w:rPr>
            <w:noProof/>
            <w:webHidden/>
          </w:rPr>
          <w:fldChar w:fldCharType="separate"/>
        </w:r>
        <w:r w:rsidR="00022F28" w:rsidRPr="00AA2617">
          <w:rPr>
            <w:noProof/>
            <w:webHidden/>
          </w:rPr>
          <w:t>67</w:t>
        </w:r>
        <w:r w:rsidR="009C0880" w:rsidRPr="00AA2617">
          <w:rPr>
            <w:noProof/>
            <w:webHidden/>
          </w:rPr>
          <w:fldChar w:fldCharType="end"/>
        </w:r>
      </w:hyperlink>
    </w:p>
    <w:p w14:paraId="656F58BA" w14:textId="428D1F1C"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16" w:history="1">
        <w:r w:rsidR="009C0880" w:rsidRPr="00AA2617">
          <w:rPr>
            <w:rStyle w:val="Hyperlink"/>
            <w:b/>
            <w:noProof/>
            <w:lang w:val="en-GB"/>
          </w:rPr>
          <w:t>2.5.2.</w:t>
        </w:r>
        <w:r w:rsidR="009C0880" w:rsidRPr="00AA2617">
          <w:rPr>
            <w:rFonts w:asciiTheme="minorHAnsi" w:eastAsiaTheme="minorEastAsia" w:hAnsiTheme="minorHAnsi" w:cs="Mangal"/>
            <w:noProof/>
            <w:sz w:val="22"/>
            <w:szCs w:val="20"/>
            <w:lang w:bidi="hi-IN"/>
          </w:rPr>
          <w:tab/>
        </w:r>
        <w:r w:rsidR="009C0880" w:rsidRPr="00AA2617">
          <w:rPr>
            <w:rStyle w:val="Hyperlink"/>
            <w:b/>
            <w:noProof/>
            <w:lang w:val="en-GB"/>
          </w:rPr>
          <w:t>Risks and risk-mitigation measures</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_Toc9249216 \h </w:instrText>
        </w:r>
        <w:r w:rsidR="009C0880" w:rsidRPr="00AA2617">
          <w:rPr>
            <w:noProof/>
            <w:webHidden/>
          </w:rPr>
        </w:r>
        <w:r w:rsidR="009C0880" w:rsidRPr="00AA2617">
          <w:rPr>
            <w:noProof/>
            <w:webHidden/>
          </w:rPr>
          <w:fldChar w:fldCharType="separate"/>
        </w:r>
        <w:r w:rsidR="00022F28" w:rsidRPr="00AA2617">
          <w:rPr>
            <w:noProof/>
            <w:webHidden/>
          </w:rPr>
          <w:t>69</w:t>
        </w:r>
        <w:r w:rsidR="009C0880" w:rsidRPr="00AA2617">
          <w:rPr>
            <w:noProof/>
            <w:webHidden/>
          </w:rPr>
          <w:fldChar w:fldCharType="end"/>
        </w:r>
      </w:hyperlink>
    </w:p>
    <w:p w14:paraId="7BABC856" w14:textId="1E7549CD"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217" w:history="1">
        <w:r w:rsidR="009C0880" w:rsidRPr="00AA2617">
          <w:rPr>
            <w:rStyle w:val="Hyperlink"/>
            <w:rFonts w:cs="Times New Roman"/>
            <w:b/>
            <w:lang w:val="en-GB"/>
          </w:rPr>
          <w:t>Section 3:  Innovation, Potential for Scaling-up, and Sustainability</w:t>
        </w:r>
        <w:r w:rsidR="009C0880" w:rsidRPr="00AA2617">
          <w:rPr>
            <w:webHidden/>
          </w:rPr>
          <w:tab/>
        </w:r>
        <w:r w:rsidR="009C0880" w:rsidRPr="00AA2617">
          <w:rPr>
            <w:webHidden/>
          </w:rPr>
          <w:fldChar w:fldCharType="begin"/>
        </w:r>
        <w:r w:rsidR="009C0880" w:rsidRPr="00AA2617">
          <w:rPr>
            <w:webHidden/>
          </w:rPr>
          <w:instrText xml:space="preserve"> PAGEREF _Toc9249217 \h </w:instrText>
        </w:r>
        <w:r w:rsidR="009C0880" w:rsidRPr="00AA2617">
          <w:rPr>
            <w:webHidden/>
          </w:rPr>
        </w:r>
        <w:r w:rsidR="009C0880" w:rsidRPr="00AA2617">
          <w:rPr>
            <w:webHidden/>
          </w:rPr>
          <w:fldChar w:fldCharType="separate"/>
        </w:r>
        <w:r w:rsidR="00022F28" w:rsidRPr="00AA2617">
          <w:rPr>
            <w:webHidden/>
          </w:rPr>
          <w:t>71</w:t>
        </w:r>
        <w:r w:rsidR="009C0880" w:rsidRPr="00AA2617">
          <w:rPr>
            <w:webHidden/>
          </w:rPr>
          <w:fldChar w:fldCharType="end"/>
        </w:r>
      </w:hyperlink>
    </w:p>
    <w:p w14:paraId="0831733F" w14:textId="68E6CC84"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219" w:history="1">
        <w:r w:rsidR="009C0880" w:rsidRPr="00AA2617">
          <w:rPr>
            <w:rStyle w:val="Hyperlink"/>
            <w:rFonts w:cs="Times New Roman"/>
            <w:b/>
            <w:noProof/>
            <w:lang w:val="en-GB"/>
          </w:rPr>
          <w:t>3.1.</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Innovation</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_Toc9249219 \h </w:instrText>
        </w:r>
        <w:r w:rsidR="009C0880" w:rsidRPr="00AA2617">
          <w:rPr>
            <w:noProof/>
            <w:webHidden/>
          </w:rPr>
        </w:r>
        <w:r w:rsidR="009C0880" w:rsidRPr="00AA2617">
          <w:rPr>
            <w:noProof/>
            <w:webHidden/>
          </w:rPr>
          <w:fldChar w:fldCharType="separate"/>
        </w:r>
        <w:r w:rsidR="00022F28" w:rsidRPr="00AA2617">
          <w:rPr>
            <w:noProof/>
            <w:webHidden/>
          </w:rPr>
          <w:t>71</w:t>
        </w:r>
        <w:r w:rsidR="009C0880" w:rsidRPr="00AA2617">
          <w:rPr>
            <w:noProof/>
            <w:webHidden/>
          </w:rPr>
          <w:fldChar w:fldCharType="end"/>
        </w:r>
      </w:hyperlink>
    </w:p>
    <w:p w14:paraId="6C1EEFDB" w14:textId="1E12DC84"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220" w:history="1">
        <w:r w:rsidR="009C0880" w:rsidRPr="00AA2617">
          <w:rPr>
            <w:rStyle w:val="Hyperlink"/>
            <w:rFonts w:cs="Times New Roman"/>
            <w:b/>
            <w:noProof/>
            <w:lang w:val="en-GB"/>
          </w:rPr>
          <w:t>3.2.</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Potential for Scaling-up</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_Toc9249220 \h </w:instrText>
        </w:r>
        <w:r w:rsidR="009C0880" w:rsidRPr="00AA2617">
          <w:rPr>
            <w:noProof/>
            <w:webHidden/>
          </w:rPr>
        </w:r>
        <w:r w:rsidR="009C0880" w:rsidRPr="00AA2617">
          <w:rPr>
            <w:noProof/>
            <w:webHidden/>
          </w:rPr>
          <w:fldChar w:fldCharType="separate"/>
        </w:r>
        <w:r w:rsidR="00022F28" w:rsidRPr="00AA2617">
          <w:rPr>
            <w:noProof/>
            <w:webHidden/>
          </w:rPr>
          <w:t>72</w:t>
        </w:r>
        <w:r w:rsidR="009C0880" w:rsidRPr="00AA2617">
          <w:rPr>
            <w:noProof/>
            <w:webHidden/>
          </w:rPr>
          <w:fldChar w:fldCharType="end"/>
        </w:r>
      </w:hyperlink>
    </w:p>
    <w:p w14:paraId="79E498B2" w14:textId="510FA7E4" w:rsidR="009C0880" w:rsidRPr="00AA2617" w:rsidRDefault="00EB6385" w:rsidP="00AA2617">
      <w:pPr>
        <w:pStyle w:val="TOC2"/>
        <w:tabs>
          <w:tab w:val="left" w:pos="880"/>
          <w:tab w:val="right" w:leader="dot" w:pos="9016"/>
        </w:tabs>
        <w:rPr>
          <w:rFonts w:asciiTheme="minorHAnsi" w:eastAsiaTheme="minorEastAsia" w:hAnsiTheme="minorHAnsi" w:cs="Mangal"/>
          <w:noProof/>
          <w:sz w:val="22"/>
          <w:szCs w:val="20"/>
          <w:lang w:bidi="hi-IN"/>
        </w:rPr>
      </w:pPr>
      <w:hyperlink w:anchor="_Toc9249221" w:history="1">
        <w:r w:rsidR="009C0880" w:rsidRPr="00AA2617">
          <w:rPr>
            <w:rStyle w:val="Hyperlink"/>
            <w:rFonts w:cs="Times New Roman"/>
            <w:b/>
            <w:noProof/>
            <w:lang w:val="en-GB"/>
          </w:rPr>
          <w:t>3.3.</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Sustainability</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_Toc9249221 \h </w:instrText>
        </w:r>
        <w:r w:rsidR="009C0880" w:rsidRPr="00AA2617">
          <w:rPr>
            <w:noProof/>
            <w:webHidden/>
          </w:rPr>
        </w:r>
        <w:r w:rsidR="009C0880" w:rsidRPr="00AA2617">
          <w:rPr>
            <w:noProof/>
            <w:webHidden/>
          </w:rPr>
          <w:fldChar w:fldCharType="separate"/>
        </w:r>
        <w:r w:rsidR="00022F28" w:rsidRPr="00AA2617">
          <w:rPr>
            <w:noProof/>
            <w:webHidden/>
          </w:rPr>
          <w:t>72</w:t>
        </w:r>
        <w:r w:rsidR="009C0880" w:rsidRPr="00AA2617">
          <w:rPr>
            <w:noProof/>
            <w:webHidden/>
          </w:rPr>
          <w:fldChar w:fldCharType="end"/>
        </w:r>
      </w:hyperlink>
    </w:p>
    <w:p w14:paraId="51C2D37B" w14:textId="3B404E13"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22" w:history="1">
        <w:r w:rsidR="009C0880" w:rsidRPr="00AA2617">
          <w:rPr>
            <w:rStyle w:val="Hyperlink"/>
            <w:rFonts w:cs="Times New Roman"/>
            <w:b/>
            <w:noProof/>
            <w:lang w:val="en-GB"/>
          </w:rPr>
          <w:t>3.3.1.</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Capacity development</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_Toc9249222 \h </w:instrText>
        </w:r>
        <w:r w:rsidR="009C0880" w:rsidRPr="00AA2617">
          <w:rPr>
            <w:noProof/>
            <w:webHidden/>
          </w:rPr>
        </w:r>
        <w:r w:rsidR="009C0880" w:rsidRPr="00AA2617">
          <w:rPr>
            <w:noProof/>
            <w:webHidden/>
          </w:rPr>
          <w:fldChar w:fldCharType="separate"/>
        </w:r>
        <w:r w:rsidR="00022F28" w:rsidRPr="00AA2617">
          <w:rPr>
            <w:noProof/>
            <w:webHidden/>
          </w:rPr>
          <w:t>73</w:t>
        </w:r>
        <w:r w:rsidR="009C0880" w:rsidRPr="00AA2617">
          <w:rPr>
            <w:noProof/>
            <w:webHidden/>
          </w:rPr>
          <w:fldChar w:fldCharType="end"/>
        </w:r>
      </w:hyperlink>
    </w:p>
    <w:p w14:paraId="3A380866" w14:textId="76F17BB1"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23" w:history="1">
        <w:r w:rsidR="009C0880" w:rsidRPr="00AA2617">
          <w:rPr>
            <w:rStyle w:val="Hyperlink"/>
            <w:rFonts w:cs="Times New Roman"/>
            <w:b/>
            <w:noProof/>
            <w:lang w:val="en-GB"/>
          </w:rPr>
          <w:t>3.3.2.</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Decent rural employment</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_Toc9249223 \h </w:instrText>
        </w:r>
        <w:r w:rsidR="009C0880" w:rsidRPr="00AA2617">
          <w:rPr>
            <w:noProof/>
            <w:webHidden/>
          </w:rPr>
        </w:r>
        <w:r w:rsidR="009C0880" w:rsidRPr="00AA2617">
          <w:rPr>
            <w:noProof/>
            <w:webHidden/>
          </w:rPr>
          <w:fldChar w:fldCharType="separate"/>
        </w:r>
        <w:r w:rsidR="00022F28" w:rsidRPr="00AA2617">
          <w:rPr>
            <w:noProof/>
            <w:webHidden/>
          </w:rPr>
          <w:t>74</w:t>
        </w:r>
        <w:r w:rsidR="009C0880" w:rsidRPr="00AA2617">
          <w:rPr>
            <w:noProof/>
            <w:webHidden/>
          </w:rPr>
          <w:fldChar w:fldCharType="end"/>
        </w:r>
      </w:hyperlink>
    </w:p>
    <w:p w14:paraId="12A70E6B" w14:textId="5A855CF5"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24" w:history="1">
        <w:r w:rsidR="009C0880" w:rsidRPr="00AA2617">
          <w:rPr>
            <w:rStyle w:val="Hyperlink"/>
            <w:rFonts w:cs="Times New Roman"/>
            <w:b/>
            <w:noProof/>
            <w:lang w:val="en-GB"/>
          </w:rPr>
          <w:t>3.3.3.</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Environmental sustainability</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_Toc9249224 \h </w:instrText>
        </w:r>
        <w:r w:rsidR="009C0880" w:rsidRPr="00AA2617">
          <w:rPr>
            <w:noProof/>
            <w:webHidden/>
          </w:rPr>
        </w:r>
        <w:r w:rsidR="009C0880" w:rsidRPr="00AA2617">
          <w:rPr>
            <w:noProof/>
            <w:webHidden/>
          </w:rPr>
          <w:fldChar w:fldCharType="separate"/>
        </w:r>
        <w:r w:rsidR="00022F28" w:rsidRPr="00AA2617">
          <w:rPr>
            <w:noProof/>
            <w:webHidden/>
          </w:rPr>
          <w:t>74</w:t>
        </w:r>
        <w:r w:rsidR="009C0880" w:rsidRPr="00AA2617">
          <w:rPr>
            <w:noProof/>
            <w:webHidden/>
          </w:rPr>
          <w:fldChar w:fldCharType="end"/>
        </w:r>
      </w:hyperlink>
    </w:p>
    <w:p w14:paraId="2DE0DEC9" w14:textId="787A7A21"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25" w:history="1">
        <w:r w:rsidR="009C0880" w:rsidRPr="00AA2617">
          <w:rPr>
            <w:rStyle w:val="Hyperlink"/>
            <w:rFonts w:cs="Times New Roman"/>
            <w:b/>
            <w:noProof/>
            <w:lang w:val="en-GB"/>
          </w:rPr>
          <w:t>3.3.4.</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Gender equity</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_Toc9249225 \h </w:instrText>
        </w:r>
        <w:r w:rsidR="009C0880" w:rsidRPr="00AA2617">
          <w:rPr>
            <w:noProof/>
            <w:webHidden/>
          </w:rPr>
        </w:r>
        <w:r w:rsidR="009C0880" w:rsidRPr="00AA2617">
          <w:rPr>
            <w:noProof/>
            <w:webHidden/>
          </w:rPr>
          <w:fldChar w:fldCharType="separate"/>
        </w:r>
        <w:r w:rsidR="00022F28" w:rsidRPr="00AA2617">
          <w:rPr>
            <w:noProof/>
            <w:webHidden/>
          </w:rPr>
          <w:t>75</w:t>
        </w:r>
        <w:r w:rsidR="009C0880" w:rsidRPr="00AA2617">
          <w:rPr>
            <w:noProof/>
            <w:webHidden/>
          </w:rPr>
          <w:fldChar w:fldCharType="end"/>
        </w:r>
      </w:hyperlink>
    </w:p>
    <w:p w14:paraId="26CF9C8A" w14:textId="53860550" w:rsidR="009C0880" w:rsidRPr="00AA2617" w:rsidRDefault="00EB6385" w:rsidP="00AA2617">
      <w:pPr>
        <w:pStyle w:val="TOC3"/>
        <w:tabs>
          <w:tab w:val="left" w:pos="1320"/>
          <w:tab w:val="right" w:leader="dot" w:pos="9016"/>
        </w:tabs>
        <w:rPr>
          <w:rFonts w:asciiTheme="minorHAnsi" w:eastAsiaTheme="minorEastAsia" w:hAnsiTheme="minorHAnsi" w:cs="Mangal"/>
          <w:noProof/>
          <w:sz w:val="22"/>
          <w:szCs w:val="20"/>
          <w:lang w:bidi="hi-IN"/>
        </w:rPr>
      </w:pPr>
      <w:hyperlink w:anchor="_Toc9249226" w:history="1">
        <w:r w:rsidR="009C0880" w:rsidRPr="00AA2617">
          <w:rPr>
            <w:rStyle w:val="Hyperlink"/>
            <w:rFonts w:cs="Times New Roman"/>
            <w:b/>
            <w:noProof/>
            <w:lang w:val="en-GB"/>
          </w:rPr>
          <w:t>3.3.5.</w:t>
        </w:r>
        <w:r w:rsidR="009C0880" w:rsidRPr="00AA2617">
          <w:rPr>
            <w:rFonts w:asciiTheme="minorHAnsi" w:eastAsiaTheme="minorEastAsia" w:hAnsiTheme="minorHAnsi" w:cs="Mangal"/>
            <w:noProof/>
            <w:sz w:val="22"/>
            <w:szCs w:val="20"/>
            <w:lang w:bidi="hi-IN"/>
          </w:rPr>
          <w:tab/>
        </w:r>
        <w:r w:rsidR="009C0880" w:rsidRPr="00AA2617">
          <w:rPr>
            <w:rStyle w:val="Hyperlink"/>
            <w:rFonts w:cs="Times New Roman"/>
            <w:b/>
            <w:noProof/>
            <w:lang w:val="en-GB"/>
          </w:rPr>
          <w:t>Indigenous groups and people</w:t>
        </w:r>
        <w:r w:rsidR="009C0880" w:rsidRPr="00AA2617">
          <w:rPr>
            <w:noProof/>
            <w:webHidden/>
          </w:rPr>
          <w:tab/>
        </w:r>
        <w:r w:rsidR="009C0880" w:rsidRPr="00AA2617">
          <w:rPr>
            <w:noProof/>
            <w:webHidden/>
          </w:rPr>
          <w:fldChar w:fldCharType="begin"/>
        </w:r>
        <w:r w:rsidR="009C0880" w:rsidRPr="00AA2617">
          <w:rPr>
            <w:noProof/>
            <w:webHidden/>
          </w:rPr>
          <w:instrText xml:space="preserve"> PAGEREF _Toc9249226 \h </w:instrText>
        </w:r>
        <w:r w:rsidR="009C0880" w:rsidRPr="00AA2617">
          <w:rPr>
            <w:noProof/>
            <w:webHidden/>
          </w:rPr>
        </w:r>
        <w:r w:rsidR="009C0880" w:rsidRPr="00AA2617">
          <w:rPr>
            <w:noProof/>
            <w:webHidden/>
          </w:rPr>
          <w:fldChar w:fldCharType="separate"/>
        </w:r>
        <w:r w:rsidR="00022F28" w:rsidRPr="00AA2617">
          <w:rPr>
            <w:noProof/>
            <w:webHidden/>
          </w:rPr>
          <w:t>75</w:t>
        </w:r>
        <w:r w:rsidR="009C0880" w:rsidRPr="00AA2617">
          <w:rPr>
            <w:noProof/>
            <w:webHidden/>
          </w:rPr>
          <w:fldChar w:fldCharType="end"/>
        </w:r>
      </w:hyperlink>
    </w:p>
    <w:p w14:paraId="05B5139B" w14:textId="7403AD66"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227" w:history="1">
        <w:r w:rsidR="009C0880" w:rsidRPr="00AA2617">
          <w:rPr>
            <w:rStyle w:val="Hyperlink"/>
            <w:rFonts w:cs="Times New Roman"/>
            <w:b/>
            <w:lang w:val="en-GB"/>
          </w:rPr>
          <w:t>List of Appendices and Annexes</w:t>
        </w:r>
        <w:r w:rsidR="009C0880" w:rsidRPr="00AA2617">
          <w:rPr>
            <w:webHidden/>
          </w:rPr>
          <w:tab/>
        </w:r>
        <w:r w:rsidR="009C0880" w:rsidRPr="00AA2617">
          <w:rPr>
            <w:webHidden/>
          </w:rPr>
          <w:fldChar w:fldCharType="begin"/>
        </w:r>
        <w:r w:rsidR="009C0880" w:rsidRPr="00AA2617">
          <w:rPr>
            <w:webHidden/>
          </w:rPr>
          <w:instrText xml:space="preserve"> PAGEREF _Toc9249227 \h </w:instrText>
        </w:r>
        <w:r w:rsidR="009C0880" w:rsidRPr="00AA2617">
          <w:rPr>
            <w:webHidden/>
          </w:rPr>
        </w:r>
        <w:r w:rsidR="009C0880" w:rsidRPr="00AA2617">
          <w:rPr>
            <w:webHidden/>
          </w:rPr>
          <w:fldChar w:fldCharType="separate"/>
        </w:r>
        <w:r w:rsidR="00022F28" w:rsidRPr="00AA2617">
          <w:rPr>
            <w:webHidden/>
          </w:rPr>
          <w:t>76</w:t>
        </w:r>
        <w:r w:rsidR="009C0880" w:rsidRPr="00AA2617">
          <w:rPr>
            <w:webHidden/>
          </w:rPr>
          <w:fldChar w:fldCharType="end"/>
        </w:r>
      </w:hyperlink>
    </w:p>
    <w:p w14:paraId="0EBDE100" w14:textId="68BD952B"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228" w:history="1">
        <w:r w:rsidR="009C0880" w:rsidRPr="00AA2617">
          <w:rPr>
            <w:rStyle w:val="Hyperlink"/>
            <w:rFonts w:cs="Times New Roman"/>
            <w:b/>
            <w:lang w:val="en-GB"/>
          </w:rPr>
          <w:t>Appendix 1:  Results Matrix</w:t>
        </w:r>
        <w:r w:rsidR="009C0880" w:rsidRPr="00AA2617">
          <w:rPr>
            <w:webHidden/>
          </w:rPr>
          <w:tab/>
        </w:r>
        <w:r w:rsidR="009C0880" w:rsidRPr="00AA2617">
          <w:rPr>
            <w:webHidden/>
          </w:rPr>
          <w:fldChar w:fldCharType="begin"/>
        </w:r>
        <w:r w:rsidR="009C0880" w:rsidRPr="00AA2617">
          <w:rPr>
            <w:webHidden/>
          </w:rPr>
          <w:instrText xml:space="preserve"> PAGEREF _Toc9249228 \h </w:instrText>
        </w:r>
        <w:r w:rsidR="009C0880" w:rsidRPr="00AA2617">
          <w:rPr>
            <w:webHidden/>
          </w:rPr>
        </w:r>
        <w:r w:rsidR="009C0880" w:rsidRPr="00AA2617">
          <w:rPr>
            <w:webHidden/>
          </w:rPr>
          <w:fldChar w:fldCharType="separate"/>
        </w:r>
        <w:r w:rsidR="00022F28" w:rsidRPr="00AA2617">
          <w:rPr>
            <w:webHidden/>
          </w:rPr>
          <w:t>77</w:t>
        </w:r>
        <w:r w:rsidR="009C0880" w:rsidRPr="00AA2617">
          <w:rPr>
            <w:webHidden/>
          </w:rPr>
          <w:fldChar w:fldCharType="end"/>
        </w:r>
      </w:hyperlink>
    </w:p>
    <w:p w14:paraId="256D7F9D" w14:textId="76654A2E"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229" w:history="1">
        <w:r w:rsidR="009C0880" w:rsidRPr="00AA2617">
          <w:rPr>
            <w:rStyle w:val="Hyperlink"/>
            <w:rFonts w:cs="Times New Roman"/>
            <w:b/>
            <w:lang w:val="en-GB"/>
          </w:rPr>
          <w:t>Appendix 2:  Work-plan</w:t>
        </w:r>
        <w:r w:rsidR="009C0880" w:rsidRPr="00AA2617">
          <w:rPr>
            <w:webHidden/>
          </w:rPr>
          <w:tab/>
        </w:r>
        <w:r w:rsidR="009C0880" w:rsidRPr="00AA2617">
          <w:rPr>
            <w:webHidden/>
          </w:rPr>
          <w:fldChar w:fldCharType="begin"/>
        </w:r>
        <w:r w:rsidR="009C0880" w:rsidRPr="00AA2617">
          <w:rPr>
            <w:webHidden/>
          </w:rPr>
          <w:instrText xml:space="preserve"> PAGEREF _Toc9249229 \h </w:instrText>
        </w:r>
        <w:r w:rsidR="009C0880" w:rsidRPr="00AA2617">
          <w:rPr>
            <w:webHidden/>
          </w:rPr>
        </w:r>
        <w:r w:rsidR="009C0880" w:rsidRPr="00AA2617">
          <w:rPr>
            <w:webHidden/>
          </w:rPr>
          <w:fldChar w:fldCharType="separate"/>
        </w:r>
        <w:r w:rsidR="00022F28" w:rsidRPr="00AA2617">
          <w:rPr>
            <w:webHidden/>
          </w:rPr>
          <w:t>82</w:t>
        </w:r>
        <w:r w:rsidR="009C0880" w:rsidRPr="00AA2617">
          <w:rPr>
            <w:webHidden/>
          </w:rPr>
          <w:fldChar w:fldCharType="end"/>
        </w:r>
      </w:hyperlink>
    </w:p>
    <w:p w14:paraId="74C56FDE" w14:textId="072CA894"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230" w:history="1">
        <w:r w:rsidR="009C0880" w:rsidRPr="00AA2617">
          <w:rPr>
            <w:rStyle w:val="Hyperlink"/>
            <w:rFonts w:cs="Times New Roman"/>
            <w:b/>
            <w:lang w:val="en-GB"/>
          </w:rPr>
          <w:t>Appendix 3:  Budget</w:t>
        </w:r>
        <w:r w:rsidR="009C0880" w:rsidRPr="00AA2617">
          <w:rPr>
            <w:webHidden/>
          </w:rPr>
          <w:tab/>
        </w:r>
        <w:r w:rsidR="009C0880" w:rsidRPr="00AA2617">
          <w:rPr>
            <w:webHidden/>
          </w:rPr>
          <w:fldChar w:fldCharType="begin"/>
        </w:r>
        <w:r w:rsidR="009C0880" w:rsidRPr="00AA2617">
          <w:rPr>
            <w:webHidden/>
          </w:rPr>
          <w:instrText xml:space="preserve"> PAGEREF _Toc9249230 \h </w:instrText>
        </w:r>
        <w:r w:rsidR="009C0880" w:rsidRPr="00AA2617">
          <w:rPr>
            <w:webHidden/>
          </w:rPr>
        </w:r>
        <w:r w:rsidR="009C0880" w:rsidRPr="00AA2617">
          <w:rPr>
            <w:webHidden/>
          </w:rPr>
          <w:fldChar w:fldCharType="separate"/>
        </w:r>
        <w:r w:rsidR="00022F28" w:rsidRPr="00AA2617">
          <w:rPr>
            <w:webHidden/>
          </w:rPr>
          <w:t>89</w:t>
        </w:r>
        <w:r w:rsidR="009C0880" w:rsidRPr="00AA2617">
          <w:rPr>
            <w:webHidden/>
          </w:rPr>
          <w:fldChar w:fldCharType="end"/>
        </w:r>
      </w:hyperlink>
    </w:p>
    <w:p w14:paraId="55617C93" w14:textId="486FBCB5"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231" w:history="1">
        <w:r w:rsidR="009C0880" w:rsidRPr="00AA2617">
          <w:rPr>
            <w:rStyle w:val="Hyperlink"/>
            <w:rFonts w:cs="Times New Roman"/>
            <w:b/>
            <w:lang w:val="en-GB"/>
          </w:rPr>
          <w:t>Appendix 4.  Project Steering Committee’s Terms of Reference and Provisional Membership</w:t>
        </w:r>
        <w:r w:rsidR="009C0880" w:rsidRPr="00AA2617">
          <w:rPr>
            <w:webHidden/>
          </w:rPr>
          <w:tab/>
        </w:r>
        <w:r w:rsidR="009C0880" w:rsidRPr="00AA2617">
          <w:rPr>
            <w:webHidden/>
          </w:rPr>
          <w:fldChar w:fldCharType="begin"/>
        </w:r>
        <w:r w:rsidR="009C0880" w:rsidRPr="00AA2617">
          <w:rPr>
            <w:webHidden/>
          </w:rPr>
          <w:instrText xml:space="preserve"> PAGEREF _Toc9249231 \h </w:instrText>
        </w:r>
        <w:r w:rsidR="009C0880" w:rsidRPr="00AA2617">
          <w:rPr>
            <w:webHidden/>
          </w:rPr>
        </w:r>
        <w:r w:rsidR="009C0880" w:rsidRPr="00AA2617">
          <w:rPr>
            <w:webHidden/>
          </w:rPr>
          <w:fldChar w:fldCharType="separate"/>
        </w:r>
        <w:r w:rsidR="00022F28" w:rsidRPr="00AA2617">
          <w:rPr>
            <w:webHidden/>
          </w:rPr>
          <w:t>92</w:t>
        </w:r>
        <w:r w:rsidR="009C0880" w:rsidRPr="00AA2617">
          <w:rPr>
            <w:webHidden/>
          </w:rPr>
          <w:fldChar w:fldCharType="end"/>
        </w:r>
      </w:hyperlink>
    </w:p>
    <w:p w14:paraId="17F50705" w14:textId="74E27CF5"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232" w:history="1">
        <w:r w:rsidR="009C0880" w:rsidRPr="00AA2617">
          <w:rPr>
            <w:rStyle w:val="Hyperlink"/>
            <w:rFonts w:cs="Times New Roman"/>
            <w:b/>
            <w:lang w:val="en-GB"/>
          </w:rPr>
          <w:t>Appendix 5.  Technical Working Group’s Terms of Reference and Proposed Membership</w:t>
        </w:r>
        <w:r w:rsidR="009C0880" w:rsidRPr="00AA2617">
          <w:rPr>
            <w:webHidden/>
          </w:rPr>
          <w:tab/>
        </w:r>
        <w:r w:rsidR="009C0880" w:rsidRPr="00AA2617">
          <w:rPr>
            <w:webHidden/>
          </w:rPr>
          <w:fldChar w:fldCharType="begin"/>
        </w:r>
        <w:r w:rsidR="009C0880" w:rsidRPr="00AA2617">
          <w:rPr>
            <w:webHidden/>
          </w:rPr>
          <w:instrText xml:space="preserve"> PAGEREF _Toc9249232 \h </w:instrText>
        </w:r>
        <w:r w:rsidR="009C0880" w:rsidRPr="00AA2617">
          <w:rPr>
            <w:webHidden/>
          </w:rPr>
        </w:r>
        <w:r w:rsidR="009C0880" w:rsidRPr="00AA2617">
          <w:rPr>
            <w:webHidden/>
          </w:rPr>
          <w:fldChar w:fldCharType="separate"/>
        </w:r>
        <w:r w:rsidR="00022F28" w:rsidRPr="00AA2617">
          <w:rPr>
            <w:webHidden/>
          </w:rPr>
          <w:t>96</w:t>
        </w:r>
        <w:r w:rsidR="009C0880" w:rsidRPr="00AA2617">
          <w:rPr>
            <w:webHidden/>
          </w:rPr>
          <w:fldChar w:fldCharType="end"/>
        </w:r>
      </w:hyperlink>
    </w:p>
    <w:p w14:paraId="2E1B08B5" w14:textId="7B95761E"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233" w:history="1">
        <w:r w:rsidR="009C0880" w:rsidRPr="00AA2617">
          <w:rPr>
            <w:rStyle w:val="Hyperlink"/>
            <w:rFonts w:cs="Times New Roman"/>
            <w:b/>
            <w:lang w:val="en-GB"/>
          </w:rPr>
          <w:t>Appendix 6.  Abbreviated Terms of Reference for Members of the Project Staff</w:t>
        </w:r>
        <w:r w:rsidR="009C0880" w:rsidRPr="00AA2617">
          <w:rPr>
            <w:webHidden/>
          </w:rPr>
          <w:tab/>
        </w:r>
        <w:r w:rsidR="009C0880" w:rsidRPr="00AA2617">
          <w:rPr>
            <w:webHidden/>
          </w:rPr>
          <w:fldChar w:fldCharType="begin"/>
        </w:r>
        <w:r w:rsidR="009C0880" w:rsidRPr="00AA2617">
          <w:rPr>
            <w:webHidden/>
          </w:rPr>
          <w:instrText xml:space="preserve"> PAGEREF _Toc9249233 \h </w:instrText>
        </w:r>
        <w:r w:rsidR="009C0880" w:rsidRPr="00AA2617">
          <w:rPr>
            <w:webHidden/>
          </w:rPr>
        </w:r>
        <w:r w:rsidR="009C0880" w:rsidRPr="00AA2617">
          <w:rPr>
            <w:webHidden/>
          </w:rPr>
          <w:fldChar w:fldCharType="separate"/>
        </w:r>
        <w:r w:rsidR="00022F28" w:rsidRPr="00AA2617">
          <w:rPr>
            <w:webHidden/>
          </w:rPr>
          <w:t>99</w:t>
        </w:r>
        <w:r w:rsidR="009C0880" w:rsidRPr="00AA2617">
          <w:rPr>
            <w:webHidden/>
          </w:rPr>
          <w:fldChar w:fldCharType="end"/>
        </w:r>
      </w:hyperlink>
    </w:p>
    <w:p w14:paraId="5E29E2F1" w14:textId="0CACF252"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234" w:history="1">
        <w:r w:rsidR="009C0880" w:rsidRPr="00AA2617">
          <w:rPr>
            <w:rStyle w:val="Hyperlink"/>
            <w:rFonts w:cs="Times New Roman"/>
            <w:b/>
            <w:lang w:val="en-GB"/>
          </w:rPr>
          <w:t xml:space="preserve">Appendix 7.  Co-financing Letter - </w:t>
        </w:r>
        <w:r w:rsidR="009C0880" w:rsidRPr="00AA2617">
          <w:rPr>
            <w:rStyle w:val="Hyperlink"/>
            <w:rFonts w:eastAsiaTheme="majorEastAsia" w:cs="Times New Roman"/>
            <w:lang w:eastAsia="ja-JP"/>
          </w:rPr>
          <w:t>Ministry of Mahaweli Development and Environment</w:t>
        </w:r>
        <w:r w:rsidR="009C0880" w:rsidRPr="00AA2617">
          <w:rPr>
            <w:webHidden/>
          </w:rPr>
          <w:tab/>
        </w:r>
        <w:r w:rsidR="009C0880" w:rsidRPr="00AA2617">
          <w:rPr>
            <w:webHidden/>
          </w:rPr>
          <w:fldChar w:fldCharType="begin"/>
        </w:r>
        <w:r w:rsidR="009C0880" w:rsidRPr="00AA2617">
          <w:rPr>
            <w:webHidden/>
          </w:rPr>
          <w:instrText xml:space="preserve"> PAGEREF _Toc9249234 \h </w:instrText>
        </w:r>
        <w:r w:rsidR="009C0880" w:rsidRPr="00AA2617">
          <w:rPr>
            <w:webHidden/>
          </w:rPr>
        </w:r>
        <w:r w:rsidR="009C0880" w:rsidRPr="00AA2617">
          <w:rPr>
            <w:webHidden/>
          </w:rPr>
          <w:fldChar w:fldCharType="separate"/>
        </w:r>
        <w:r w:rsidR="00022F28" w:rsidRPr="00AA2617">
          <w:rPr>
            <w:webHidden/>
          </w:rPr>
          <w:t>105</w:t>
        </w:r>
        <w:r w:rsidR="009C0880" w:rsidRPr="00AA2617">
          <w:rPr>
            <w:webHidden/>
          </w:rPr>
          <w:fldChar w:fldCharType="end"/>
        </w:r>
      </w:hyperlink>
    </w:p>
    <w:p w14:paraId="07F41391" w14:textId="0D9E9B07" w:rsidR="009C0880" w:rsidRPr="00AA2617" w:rsidRDefault="00EB6385" w:rsidP="00AA2617">
      <w:pPr>
        <w:pStyle w:val="TOC1"/>
        <w:rPr>
          <w:rFonts w:asciiTheme="minorHAnsi" w:eastAsiaTheme="minorEastAsia" w:hAnsiTheme="minorHAnsi" w:cs="Mangal"/>
          <w:smallCaps w:val="0"/>
          <w:sz w:val="22"/>
          <w:szCs w:val="20"/>
          <w:lang w:bidi="hi-IN"/>
        </w:rPr>
      </w:pPr>
      <w:hyperlink w:anchor="_Toc9249235" w:history="1">
        <w:r w:rsidR="009C0880" w:rsidRPr="00AA2617">
          <w:rPr>
            <w:rStyle w:val="Hyperlink"/>
            <w:rFonts w:cs="Times New Roman"/>
            <w:b/>
            <w:lang w:val="en-GB"/>
          </w:rPr>
          <w:t xml:space="preserve">Appendix 8.  Co-financing Letter - </w:t>
        </w:r>
        <w:r w:rsidR="009C0880" w:rsidRPr="00AA2617">
          <w:rPr>
            <w:rStyle w:val="Hyperlink"/>
            <w:rFonts w:eastAsiaTheme="majorEastAsia" w:cs="Times New Roman"/>
            <w:b/>
            <w:bCs/>
            <w:lang w:eastAsia="ja-JP"/>
          </w:rPr>
          <w:t>FAO</w:t>
        </w:r>
        <w:r w:rsidR="009C0880" w:rsidRPr="00AA2617">
          <w:rPr>
            <w:webHidden/>
          </w:rPr>
          <w:tab/>
        </w:r>
        <w:r w:rsidR="009C0880" w:rsidRPr="00AA2617">
          <w:rPr>
            <w:webHidden/>
          </w:rPr>
          <w:fldChar w:fldCharType="begin"/>
        </w:r>
        <w:r w:rsidR="009C0880" w:rsidRPr="00AA2617">
          <w:rPr>
            <w:webHidden/>
          </w:rPr>
          <w:instrText xml:space="preserve"> PAGEREF _Toc9249235 \h </w:instrText>
        </w:r>
        <w:r w:rsidR="009C0880" w:rsidRPr="00AA2617">
          <w:rPr>
            <w:webHidden/>
          </w:rPr>
        </w:r>
        <w:r w:rsidR="009C0880" w:rsidRPr="00AA2617">
          <w:rPr>
            <w:webHidden/>
          </w:rPr>
          <w:fldChar w:fldCharType="separate"/>
        </w:r>
        <w:r w:rsidR="00022F28" w:rsidRPr="00AA2617">
          <w:rPr>
            <w:webHidden/>
          </w:rPr>
          <w:t>106</w:t>
        </w:r>
        <w:r w:rsidR="009C0880" w:rsidRPr="00AA2617">
          <w:rPr>
            <w:webHidden/>
          </w:rPr>
          <w:fldChar w:fldCharType="end"/>
        </w:r>
      </w:hyperlink>
    </w:p>
    <w:p w14:paraId="29CE2634" w14:textId="376081AD" w:rsidR="00DB113C" w:rsidRPr="00AA2617" w:rsidRDefault="00741546" w:rsidP="00AA2617">
      <w:pPr>
        <w:rPr>
          <w:rFonts w:cs="Times New Roman"/>
          <w:sz w:val="22"/>
          <w:lang w:val="en-GB"/>
        </w:rPr>
      </w:pPr>
      <w:r w:rsidRPr="00AA2617">
        <w:rPr>
          <w:rFonts w:cs="Times New Roman"/>
          <w:sz w:val="22"/>
          <w:lang w:val="en-GB"/>
        </w:rPr>
        <w:fldChar w:fldCharType="end"/>
      </w:r>
    </w:p>
    <w:p w14:paraId="649C6EFB" w14:textId="77777777" w:rsidR="00DB113C" w:rsidRPr="00AA2617" w:rsidRDefault="00DB113C" w:rsidP="00AA2617">
      <w:pPr>
        <w:rPr>
          <w:rFonts w:cs="Times New Roman"/>
          <w:sz w:val="22"/>
          <w:lang w:val="en-GB"/>
        </w:rPr>
      </w:pPr>
      <w:r w:rsidRPr="00AA2617">
        <w:rPr>
          <w:rFonts w:cs="Times New Roman"/>
          <w:sz w:val="22"/>
          <w:lang w:val="en-GB"/>
        </w:rPr>
        <w:br w:type="page"/>
      </w:r>
    </w:p>
    <w:p w14:paraId="605A8812" w14:textId="0A655385" w:rsidR="00DB113C" w:rsidRPr="00AA2617" w:rsidRDefault="001264B9" w:rsidP="00AA2617">
      <w:pPr>
        <w:pStyle w:val="Heading1"/>
        <w:rPr>
          <w:rFonts w:cs="Times New Roman"/>
          <w:b/>
          <w:szCs w:val="22"/>
          <w:lang w:val="en-GB"/>
        </w:rPr>
      </w:pPr>
      <w:bookmarkStart w:id="11" w:name="_Toc9249167"/>
      <w:r w:rsidRPr="00AA2617">
        <w:rPr>
          <w:rFonts w:cs="Times New Roman"/>
          <w:b/>
          <w:szCs w:val="22"/>
          <w:lang w:val="en-GB"/>
        </w:rPr>
        <w:lastRenderedPageBreak/>
        <w:t>List of Acronyms and A</w:t>
      </w:r>
      <w:r w:rsidR="00DB113C" w:rsidRPr="00AA2617">
        <w:rPr>
          <w:rFonts w:cs="Times New Roman"/>
          <w:b/>
          <w:szCs w:val="22"/>
          <w:lang w:val="en-GB"/>
        </w:rPr>
        <w:t>bbreviations</w:t>
      </w:r>
      <w:bookmarkEnd w:id="11"/>
    </w:p>
    <w:tbl>
      <w:tblPr>
        <w:tblStyle w:val="TableGrid"/>
        <w:tblW w:w="0" w:type="auto"/>
        <w:tblLook w:val="04A0" w:firstRow="1" w:lastRow="0" w:firstColumn="1" w:lastColumn="0" w:noHBand="0" w:noVBand="1"/>
      </w:tblPr>
      <w:tblGrid>
        <w:gridCol w:w="1407"/>
        <w:gridCol w:w="7609"/>
      </w:tblGrid>
      <w:tr w:rsidR="006B6669" w:rsidRPr="00AA2617" w14:paraId="27AD25EB" w14:textId="77777777" w:rsidTr="005F7E40">
        <w:trPr>
          <w:cantSplit/>
          <w:tblHeader/>
        </w:trPr>
        <w:tc>
          <w:tcPr>
            <w:tcW w:w="1407" w:type="dxa"/>
            <w:shd w:val="clear" w:color="auto" w:fill="B4C6E7" w:themeFill="accent1" w:themeFillTint="66"/>
            <w:vAlign w:val="center"/>
          </w:tcPr>
          <w:p w14:paraId="0C23022B" w14:textId="77777777" w:rsidR="006B6669" w:rsidRPr="00AA2617" w:rsidRDefault="006B6669" w:rsidP="00AA2617">
            <w:pPr>
              <w:jc w:val="left"/>
              <w:rPr>
                <w:rFonts w:cs="Times New Roman"/>
                <w:b/>
                <w:szCs w:val="21"/>
                <w:lang w:val="en-GB"/>
              </w:rPr>
            </w:pPr>
            <w:r w:rsidRPr="00AA2617">
              <w:rPr>
                <w:rFonts w:cs="Times New Roman"/>
                <w:b/>
                <w:szCs w:val="21"/>
                <w:lang w:val="en-GB"/>
              </w:rPr>
              <w:t>Abbreviation</w:t>
            </w:r>
          </w:p>
        </w:tc>
        <w:tc>
          <w:tcPr>
            <w:tcW w:w="7609" w:type="dxa"/>
            <w:shd w:val="clear" w:color="auto" w:fill="B4C6E7" w:themeFill="accent1" w:themeFillTint="66"/>
            <w:vAlign w:val="center"/>
          </w:tcPr>
          <w:p w14:paraId="3616E71D" w14:textId="77777777" w:rsidR="006B6669" w:rsidRPr="00AA2617" w:rsidRDefault="006B6669" w:rsidP="00AA2617">
            <w:pPr>
              <w:jc w:val="left"/>
              <w:rPr>
                <w:rFonts w:cs="Times New Roman"/>
                <w:b/>
                <w:szCs w:val="21"/>
                <w:lang w:val="en-GB"/>
              </w:rPr>
            </w:pPr>
            <w:r w:rsidRPr="00AA2617">
              <w:rPr>
                <w:rFonts w:cs="Times New Roman"/>
                <w:b/>
                <w:szCs w:val="21"/>
                <w:lang w:val="en-GB"/>
              </w:rPr>
              <w:t>Description</w:t>
            </w:r>
          </w:p>
        </w:tc>
      </w:tr>
      <w:tr w:rsidR="00081701" w:rsidRPr="00AA2617" w14:paraId="099D8598" w14:textId="77777777" w:rsidTr="005F7E40">
        <w:trPr>
          <w:cantSplit/>
        </w:trPr>
        <w:tc>
          <w:tcPr>
            <w:tcW w:w="1407" w:type="dxa"/>
            <w:vAlign w:val="center"/>
          </w:tcPr>
          <w:p w14:paraId="38946ECE" w14:textId="77777777" w:rsidR="00081701" w:rsidRPr="00AA2617" w:rsidRDefault="00322ECE" w:rsidP="00AA2617">
            <w:pPr>
              <w:jc w:val="left"/>
              <w:rPr>
                <w:rFonts w:cs="Times New Roman"/>
                <w:szCs w:val="21"/>
                <w:lang w:val="en-GB"/>
              </w:rPr>
            </w:pPr>
            <w:r w:rsidRPr="00AA2617">
              <w:rPr>
                <w:rFonts w:cs="Times New Roman"/>
                <w:szCs w:val="21"/>
                <w:lang w:val="en-GB"/>
              </w:rPr>
              <w:t>°C</w:t>
            </w:r>
          </w:p>
        </w:tc>
        <w:tc>
          <w:tcPr>
            <w:tcW w:w="7609" w:type="dxa"/>
            <w:vAlign w:val="center"/>
          </w:tcPr>
          <w:p w14:paraId="316BA4C9" w14:textId="77777777" w:rsidR="00081701" w:rsidRPr="00AA2617" w:rsidRDefault="00322ECE" w:rsidP="00AA2617">
            <w:pPr>
              <w:jc w:val="left"/>
              <w:rPr>
                <w:rFonts w:cs="Times New Roman"/>
                <w:szCs w:val="21"/>
                <w:lang w:val="en-GB"/>
              </w:rPr>
            </w:pPr>
            <w:r w:rsidRPr="00AA2617">
              <w:rPr>
                <w:rFonts w:cs="Times New Roman"/>
                <w:szCs w:val="21"/>
                <w:lang w:val="en-GB"/>
              </w:rPr>
              <w:t>Degrees Celsius (centigrade)</w:t>
            </w:r>
          </w:p>
        </w:tc>
      </w:tr>
      <w:tr w:rsidR="0036331E" w:rsidRPr="00AA2617" w14:paraId="45B6783B" w14:textId="77777777" w:rsidTr="005F7E40">
        <w:trPr>
          <w:cantSplit/>
        </w:trPr>
        <w:tc>
          <w:tcPr>
            <w:tcW w:w="1407" w:type="dxa"/>
            <w:vAlign w:val="center"/>
          </w:tcPr>
          <w:p w14:paraId="7B1AD223" w14:textId="77777777" w:rsidR="0036331E" w:rsidRPr="00AA2617" w:rsidRDefault="00C029FC" w:rsidP="00AA2617">
            <w:pPr>
              <w:jc w:val="left"/>
              <w:rPr>
                <w:rFonts w:cs="Times New Roman"/>
                <w:szCs w:val="21"/>
                <w:lang w:val="en-GB"/>
              </w:rPr>
            </w:pPr>
            <w:r w:rsidRPr="00AA2617">
              <w:rPr>
                <w:rFonts w:cs="Times New Roman"/>
                <w:szCs w:val="21"/>
                <w:lang w:val="en-GB"/>
              </w:rPr>
              <w:t>AFOLU</w:t>
            </w:r>
          </w:p>
        </w:tc>
        <w:tc>
          <w:tcPr>
            <w:tcW w:w="7609" w:type="dxa"/>
            <w:vAlign w:val="center"/>
          </w:tcPr>
          <w:p w14:paraId="4EFC7237" w14:textId="77777777" w:rsidR="0036331E" w:rsidRPr="00AA2617" w:rsidRDefault="00C029FC" w:rsidP="00AA2617">
            <w:pPr>
              <w:jc w:val="left"/>
              <w:rPr>
                <w:rFonts w:cs="Times New Roman"/>
                <w:szCs w:val="21"/>
                <w:lang w:val="en-GB"/>
              </w:rPr>
            </w:pPr>
            <w:r w:rsidRPr="00AA2617">
              <w:rPr>
                <w:rFonts w:cs="Times New Roman"/>
                <w:szCs w:val="21"/>
                <w:lang w:val="en-GB"/>
              </w:rPr>
              <w:t>Agriculture, forestry</w:t>
            </w:r>
            <w:r w:rsidR="00136979" w:rsidRPr="00AA2617">
              <w:rPr>
                <w:rFonts w:cs="Times New Roman"/>
                <w:szCs w:val="21"/>
                <w:lang w:val="en-GB"/>
              </w:rPr>
              <w:t>,</w:t>
            </w:r>
            <w:r w:rsidRPr="00AA2617">
              <w:rPr>
                <w:rFonts w:cs="Times New Roman"/>
                <w:szCs w:val="21"/>
                <w:lang w:val="en-GB"/>
              </w:rPr>
              <w:t xml:space="preserve"> and other land-use</w:t>
            </w:r>
          </w:p>
        </w:tc>
      </w:tr>
      <w:tr w:rsidR="00F71DA8" w:rsidRPr="00AA2617" w14:paraId="03DD21EF" w14:textId="77777777" w:rsidTr="005F7E40">
        <w:trPr>
          <w:cantSplit/>
        </w:trPr>
        <w:tc>
          <w:tcPr>
            <w:tcW w:w="1407" w:type="dxa"/>
            <w:vAlign w:val="center"/>
          </w:tcPr>
          <w:p w14:paraId="7B6419E9" w14:textId="77777777" w:rsidR="00F71DA8" w:rsidRPr="00AA2617" w:rsidRDefault="00F71DA8" w:rsidP="00AA2617">
            <w:pPr>
              <w:jc w:val="left"/>
              <w:rPr>
                <w:rFonts w:cs="Times New Roman"/>
                <w:szCs w:val="21"/>
                <w:lang w:val="en-GB"/>
              </w:rPr>
            </w:pPr>
            <w:bookmarkStart w:id="12" w:name="_Hlk485296251"/>
            <w:r w:rsidRPr="00AA2617">
              <w:rPr>
                <w:rFonts w:cs="Times New Roman"/>
                <w:szCs w:val="21"/>
                <w:lang w:val="en-GB"/>
              </w:rPr>
              <w:t>AWP/B</w:t>
            </w:r>
          </w:p>
        </w:tc>
        <w:tc>
          <w:tcPr>
            <w:tcW w:w="7609" w:type="dxa"/>
            <w:vAlign w:val="center"/>
          </w:tcPr>
          <w:p w14:paraId="4A42E878" w14:textId="77777777" w:rsidR="00F71DA8" w:rsidRPr="00AA2617" w:rsidRDefault="00EE5673" w:rsidP="00AA2617">
            <w:pPr>
              <w:jc w:val="left"/>
              <w:rPr>
                <w:rFonts w:cs="Times New Roman"/>
                <w:szCs w:val="21"/>
                <w:lang w:val="en-GB"/>
              </w:rPr>
            </w:pPr>
            <w:r w:rsidRPr="00AA2617">
              <w:rPr>
                <w:rFonts w:cs="Times New Roman"/>
                <w:szCs w:val="21"/>
                <w:lang w:val="en-GB"/>
              </w:rPr>
              <w:t>Annual work-</w:t>
            </w:r>
            <w:r w:rsidR="00A03FEA" w:rsidRPr="00AA2617">
              <w:rPr>
                <w:rFonts w:cs="Times New Roman"/>
                <w:szCs w:val="21"/>
                <w:lang w:val="en-GB"/>
              </w:rPr>
              <w:t>plan and b</w:t>
            </w:r>
            <w:r w:rsidR="00F71DA8" w:rsidRPr="00AA2617">
              <w:rPr>
                <w:rFonts w:cs="Times New Roman"/>
                <w:szCs w:val="21"/>
                <w:lang w:val="en-GB"/>
              </w:rPr>
              <w:t>udget </w:t>
            </w:r>
          </w:p>
        </w:tc>
      </w:tr>
      <w:tr w:rsidR="00F71DA8" w:rsidRPr="00AA2617" w14:paraId="64DD52EF" w14:textId="77777777" w:rsidTr="005F7E40">
        <w:trPr>
          <w:cantSplit/>
        </w:trPr>
        <w:tc>
          <w:tcPr>
            <w:tcW w:w="1407" w:type="dxa"/>
            <w:vAlign w:val="center"/>
          </w:tcPr>
          <w:p w14:paraId="556B753C" w14:textId="77777777" w:rsidR="00F71DA8" w:rsidRPr="00AA2617" w:rsidRDefault="00F71DA8" w:rsidP="00AA2617">
            <w:pPr>
              <w:jc w:val="left"/>
              <w:rPr>
                <w:rFonts w:cs="Times New Roman"/>
                <w:szCs w:val="21"/>
                <w:lang w:val="en-GB"/>
              </w:rPr>
            </w:pPr>
            <w:r w:rsidRPr="00AA2617">
              <w:rPr>
                <w:rFonts w:cs="Times New Roman"/>
                <w:szCs w:val="21"/>
                <w:lang w:val="en-GB"/>
              </w:rPr>
              <w:t>BH</w:t>
            </w:r>
          </w:p>
        </w:tc>
        <w:tc>
          <w:tcPr>
            <w:tcW w:w="7609" w:type="dxa"/>
            <w:vAlign w:val="center"/>
          </w:tcPr>
          <w:p w14:paraId="167D6D78" w14:textId="77777777" w:rsidR="00F71DA8" w:rsidRPr="00AA2617" w:rsidRDefault="00F71DA8" w:rsidP="00AA2617">
            <w:pPr>
              <w:jc w:val="left"/>
              <w:rPr>
                <w:rFonts w:cs="Times New Roman"/>
                <w:szCs w:val="21"/>
                <w:lang w:val="en-GB"/>
              </w:rPr>
            </w:pPr>
            <w:r w:rsidRPr="00AA2617">
              <w:rPr>
                <w:rFonts w:cs="Times New Roman"/>
                <w:szCs w:val="21"/>
                <w:lang w:val="en-GB"/>
              </w:rPr>
              <w:t>Budget Holder </w:t>
            </w:r>
          </w:p>
        </w:tc>
      </w:tr>
      <w:tr w:rsidR="00136979" w:rsidRPr="00AA2617" w14:paraId="4BDD215A" w14:textId="77777777" w:rsidTr="005F7E40">
        <w:trPr>
          <w:cantSplit/>
        </w:trPr>
        <w:tc>
          <w:tcPr>
            <w:tcW w:w="1407" w:type="dxa"/>
            <w:vAlign w:val="center"/>
          </w:tcPr>
          <w:p w14:paraId="19C37976" w14:textId="5A9896B9" w:rsidR="00136979" w:rsidRPr="00AA2617" w:rsidRDefault="00136979" w:rsidP="00AA2617">
            <w:pPr>
              <w:jc w:val="left"/>
              <w:rPr>
                <w:rFonts w:cs="Times New Roman"/>
                <w:szCs w:val="21"/>
                <w:lang w:val="en-GB"/>
              </w:rPr>
            </w:pPr>
            <w:r w:rsidRPr="00AA2617">
              <w:rPr>
                <w:rFonts w:cs="Times New Roman"/>
                <w:szCs w:val="21"/>
                <w:lang w:val="en-GB"/>
              </w:rPr>
              <w:t>BUR</w:t>
            </w:r>
          </w:p>
        </w:tc>
        <w:tc>
          <w:tcPr>
            <w:tcW w:w="7609" w:type="dxa"/>
            <w:vAlign w:val="center"/>
          </w:tcPr>
          <w:p w14:paraId="7B176726" w14:textId="699A5E60" w:rsidR="00136979" w:rsidRPr="00AA2617" w:rsidRDefault="00136979" w:rsidP="00AA2617">
            <w:pPr>
              <w:jc w:val="left"/>
              <w:rPr>
                <w:rFonts w:cs="Times New Roman"/>
                <w:szCs w:val="21"/>
                <w:lang w:val="en-GB"/>
              </w:rPr>
            </w:pPr>
            <w:r w:rsidRPr="00AA2617">
              <w:rPr>
                <w:rFonts w:cs="Times New Roman"/>
                <w:szCs w:val="21"/>
                <w:lang w:val="en-GB"/>
              </w:rPr>
              <w:t>Biennial Update Report (under UNFCCC)</w:t>
            </w:r>
          </w:p>
        </w:tc>
      </w:tr>
      <w:tr w:rsidR="00D608EA" w:rsidRPr="00AA2617" w14:paraId="1120494F" w14:textId="77777777" w:rsidTr="005F7E40">
        <w:trPr>
          <w:cantSplit/>
        </w:trPr>
        <w:tc>
          <w:tcPr>
            <w:tcW w:w="1407" w:type="dxa"/>
            <w:vAlign w:val="center"/>
          </w:tcPr>
          <w:p w14:paraId="5B81E6EF" w14:textId="77777777" w:rsidR="00D608EA" w:rsidRPr="00AA2617" w:rsidRDefault="002D711C" w:rsidP="00AA2617">
            <w:pPr>
              <w:jc w:val="left"/>
              <w:rPr>
                <w:rFonts w:cs="Times New Roman"/>
                <w:szCs w:val="21"/>
                <w:lang w:val="en-GB"/>
              </w:rPr>
            </w:pPr>
            <w:r w:rsidRPr="00AA2617">
              <w:rPr>
                <w:rFonts w:cs="Times New Roman"/>
                <w:szCs w:val="21"/>
                <w:lang w:val="en-GB"/>
              </w:rPr>
              <w:t>C</w:t>
            </w:r>
          </w:p>
        </w:tc>
        <w:tc>
          <w:tcPr>
            <w:tcW w:w="7609" w:type="dxa"/>
            <w:vAlign w:val="center"/>
          </w:tcPr>
          <w:p w14:paraId="218547CD" w14:textId="77777777" w:rsidR="00D608EA" w:rsidRPr="00AA2617" w:rsidRDefault="002D711C" w:rsidP="00AA2617">
            <w:pPr>
              <w:jc w:val="left"/>
              <w:rPr>
                <w:rFonts w:cs="Times New Roman"/>
                <w:szCs w:val="21"/>
                <w:lang w:val="en-GB"/>
              </w:rPr>
            </w:pPr>
            <w:r w:rsidRPr="00AA2617">
              <w:rPr>
                <w:rFonts w:cs="Times New Roman"/>
                <w:szCs w:val="21"/>
                <w:lang w:val="en-GB"/>
              </w:rPr>
              <w:t>Carbon</w:t>
            </w:r>
          </w:p>
        </w:tc>
      </w:tr>
      <w:tr w:rsidR="000720C7" w:rsidRPr="00AA2617" w14:paraId="2D0DE807" w14:textId="77777777" w:rsidTr="005F7E40">
        <w:trPr>
          <w:cantSplit/>
        </w:trPr>
        <w:tc>
          <w:tcPr>
            <w:tcW w:w="1407" w:type="dxa"/>
            <w:vAlign w:val="center"/>
          </w:tcPr>
          <w:p w14:paraId="1EA91A44" w14:textId="77777777" w:rsidR="000720C7" w:rsidRPr="00AA2617" w:rsidRDefault="000720C7" w:rsidP="00AA2617">
            <w:pPr>
              <w:jc w:val="left"/>
              <w:rPr>
                <w:rFonts w:cs="Times New Roman"/>
                <w:szCs w:val="21"/>
                <w:lang w:val="en-GB"/>
              </w:rPr>
            </w:pPr>
            <w:r w:rsidRPr="00AA2617">
              <w:rPr>
                <w:rFonts w:cs="Times New Roman"/>
                <w:szCs w:val="21"/>
                <w:lang w:val="en-GB"/>
              </w:rPr>
              <w:t>CBIT</w:t>
            </w:r>
          </w:p>
        </w:tc>
        <w:tc>
          <w:tcPr>
            <w:tcW w:w="7609" w:type="dxa"/>
            <w:vAlign w:val="center"/>
          </w:tcPr>
          <w:p w14:paraId="58616FE1" w14:textId="77777777" w:rsidR="000720C7" w:rsidRPr="00AA2617" w:rsidRDefault="000720C7" w:rsidP="00AA2617">
            <w:pPr>
              <w:jc w:val="left"/>
              <w:rPr>
                <w:rFonts w:cs="Times New Roman"/>
                <w:szCs w:val="21"/>
                <w:lang w:val="en-GB"/>
              </w:rPr>
            </w:pPr>
            <w:r w:rsidRPr="00AA2617">
              <w:rPr>
                <w:rFonts w:cs="Times New Roman"/>
                <w:szCs w:val="21"/>
                <w:lang w:val="en-GB"/>
              </w:rPr>
              <w:t>Capacity-building Initiative for Transparency (via GEF)</w:t>
            </w:r>
          </w:p>
        </w:tc>
      </w:tr>
      <w:tr w:rsidR="00F71DA8" w:rsidRPr="00AA2617" w14:paraId="7FB8BBD1" w14:textId="77777777" w:rsidTr="005F7E40">
        <w:trPr>
          <w:cantSplit/>
        </w:trPr>
        <w:tc>
          <w:tcPr>
            <w:tcW w:w="1407" w:type="dxa"/>
            <w:vAlign w:val="center"/>
          </w:tcPr>
          <w:p w14:paraId="098B0D7E" w14:textId="77777777" w:rsidR="00F71DA8" w:rsidRPr="00AA2617" w:rsidRDefault="00F71DA8" w:rsidP="00AA2617">
            <w:pPr>
              <w:jc w:val="left"/>
              <w:rPr>
                <w:rFonts w:cs="Times New Roman"/>
                <w:szCs w:val="21"/>
                <w:lang w:val="en-GB"/>
              </w:rPr>
            </w:pPr>
            <w:r w:rsidRPr="00AA2617">
              <w:rPr>
                <w:rFonts w:cs="Times New Roman"/>
                <w:szCs w:val="21"/>
                <w:lang w:val="en-GB"/>
              </w:rPr>
              <w:t>CBNRM</w:t>
            </w:r>
          </w:p>
        </w:tc>
        <w:tc>
          <w:tcPr>
            <w:tcW w:w="7609" w:type="dxa"/>
            <w:vAlign w:val="center"/>
          </w:tcPr>
          <w:p w14:paraId="3691500C" w14:textId="77777777" w:rsidR="00F71DA8" w:rsidRPr="00AA2617" w:rsidRDefault="00322ECE" w:rsidP="00AA2617">
            <w:pPr>
              <w:jc w:val="left"/>
              <w:rPr>
                <w:rFonts w:cs="Times New Roman"/>
                <w:szCs w:val="21"/>
                <w:lang w:val="en-GB"/>
              </w:rPr>
            </w:pPr>
            <w:r w:rsidRPr="00AA2617">
              <w:rPr>
                <w:rFonts w:cs="Times New Roman"/>
                <w:szCs w:val="21"/>
                <w:lang w:val="en-GB"/>
              </w:rPr>
              <w:t>Community-based natural resource m</w:t>
            </w:r>
            <w:r w:rsidR="00F71DA8" w:rsidRPr="00AA2617">
              <w:rPr>
                <w:rFonts w:cs="Times New Roman"/>
                <w:szCs w:val="21"/>
                <w:lang w:val="en-GB"/>
              </w:rPr>
              <w:t>anagement</w:t>
            </w:r>
          </w:p>
        </w:tc>
      </w:tr>
      <w:tr w:rsidR="0051633D" w:rsidRPr="00AA2617" w14:paraId="2A8801C0" w14:textId="77777777" w:rsidTr="005F7E40">
        <w:trPr>
          <w:cantSplit/>
        </w:trPr>
        <w:tc>
          <w:tcPr>
            <w:tcW w:w="1407" w:type="dxa"/>
            <w:vAlign w:val="center"/>
          </w:tcPr>
          <w:p w14:paraId="6D0A2A7F" w14:textId="77777777" w:rsidR="0051633D" w:rsidRPr="00AA2617" w:rsidRDefault="0051633D" w:rsidP="00AA2617">
            <w:pPr>
              <w:jc w:val="left"/>
              <w:rPr>
                <w:rFonts w:eastAsia="SimSun" w:cs="Times New Roman"/>
                <w:szCs w:val="21"/>
                <w:lang w:val="en-GB"/>
              </w:rPr>
            </w:pPr>
            <w:r w:rsidRPr="00AA2617">
              <w:rPr>
                <w:rFonts w:eastAsia="SimSun" w:cs="Times New Roman"/>
                <w:szCs w:val="21"/>
                <w:lang w:val="en-GB"/>
              </w:rPr>
              <w:t>CCA</w:t>
            </w:r>
          </w:p>
        </w:tc>
        <w:tc>
          <w:tcPr>
            <w:tcW w:w="7609" w:type="dxa"/>
            <w:vAlign w:val="center"/>
          </w:tcPr>
          <w:p w14:paraId="3A0D47CB" w14:textId="77777777" w:rsidR="0051633D" w:rsidRPr="00AA2617" w:rsidRDefault="0051633D" w:rsidP="00AA2617">
            <w:pPr>
              <w:jc w:val="left"/>
              <w:rPr>
                <w:rFonts w:eastAsia="SimSun" w:cs="Times New Roman"/>
                <w:szCs w:val="21"/>
                <w:lang w:val="en-GB"/>
              </w:rPr>
            </w:pPr>
            <w:r w:rsidRPr="00AA2617">
              <w:rPr>
                <w:rFonts w:eastAsia="SimSun" w:cs="Times New Roman"/>
                <w:szCs w:val="21"/>
                <w:lang w:val="en-GB"/>
              </w:rPr>
              <w:t>Climate-change adaptation</w:t>
            </w:r>
          </w:p>
        </w:tc>
      </w:tr>
      <w:tr w:rsidR="0051633D" w:rsidRPr="00AA2617" w14:paraId="0D5957CA" w14:textId="77777777" w:rsidTr="005F7E40">
        <w:trPr>
          <w:cantSplit/>
        </w:trPr>
        <w:tc>
          <w:tcPr>
            <w:tcW w:w="1407" w:type="dxa"/>
            <w:vAlign w:val="center"/>
          </w:tcPr>
          <w:p w14:paraId="171814F0" w14:textId="77777777" w:rsidR="0051633D" w:rsidRPr="00AA2617" w:rsidRDefault="0051633D" w:rsidP="00AA2617">
            <w:pPr>
              <w:jc w:val="left"/>
              <w:rPr>
                <w:rFonts w:eastAsia="SimSun" w:cs="Times New Roman"/>
                <w:szCs w:val="21"/>
                <w:lang w:val="en-GB"/>
              </w:rPr>
            </w:pPr>
            <w:r w:rsidRPr="00AA2617">
              <w:rPr>
                <w:rFonts w:eastAsia="SimSun" w:cs="Times New Roman"/>
                <w:szCs w:val="21"/>
                <w:lang w:val="en-GB"/>
              </w:rPr>
              <w:t>CCM</w:t>
            </w:r>
          </w:p>
        </w:tc>
        <w:tc>
          <w:tcPr>
            <w:tcW w:w="7609" w:type="dxa"/>
            <w:vAlign w:val="center"/>
          </w:tcPr>
          <w:p w14:paraId="11E806CB" w14:textId="77777777" w:rsidR="0051633D" w:rsidRPr="00AA2617" w:rsidRDefault="0051633D" w:rsidP="00AA2617">
            <w:pPr>
              <w:jc w:val="left"/>
              <w:rPr>
                <w:rFonts w:eastAsia="SimSun" w:cs="Times New Roman"/>
                <w:szCs w:val="21"/>
                <w:lang w:val="en-GB"/>
              </w:rPr>
            </w:pPr>
            <w:r w:rsidRPr="00AA2617">
              <w:rPr>
                <w:rFonts w:eastAsia="SimSun" w:cs="Times New Roman"/>
                <w:szCs w:val="21"/>
                <w:lang w:val="en-GB"/>
              </w:rPr>
              <w:t>Climate-change mitigation</w:t>
            </w:r>
          </w:p>
        </w:tc>
      </w:tr>
      <w:tr w:rsidR="00F85910" w:rsidRPr="00AA2617" w14:paraId="2A3AFB54" w14:textId="77777777" w:rsidTr="005F7E40">
        <w:trPr>
          <w:cantSplit/>
        </w:trPr>
        <w:tc>
          <w:tcPr>
            <w:tcW w:w="1407" w:type="dxa"/>
            <w:vAlign w:val="center"/>
          </w:tcPr>
          <w:p w14:paraId="6E309259" w14:textId="57F5C695" w:rsidR="00F85910" w:rsidRPr="00AA2617" w:rsidRDefault="00F85910" w:rsidP="00AA2617">
            <w:pPr>
              <w:jc w:val="left"/>
              <w:rPr>
                <w:rFonts w:eastAsia="SimSun" w:cs="Times New Roman"/>
                <w:szCs w:val="21"/>
                <w:lang w:val="en-GB"/>
              </w:rPr>
            </w:pPr>
            <w:r w:rsidRPr="00AA2617">
              <w:rPr>
                <w:rFonts w:eastAsia="SimSun" w:cs="Times New Roman"/>
                <w:szCs w:val="21"/>
                <w:lang w:val="en-GB"/>
              </w:rPr>
              <w:t>CCS</w:t>
            </w:r>
          </w:p>
        </w:tc>
        <w:tc>
          <w:tcPr>
            <w:tcW w:w="7609" w:type="dxa"/>
            <w:vAlign w:val="center"/>
          </w:tcPr>
          <w:p w14:paraId="586B5F7C" w14:textId="0B9F0CF7" w:rsidR="00F85910" w:rsidRPr="00AA2617" w:rsidRDefault="00F85910" w:rsidP="00AA2617">
            <w:pPr>
              <w:jc w:val="left"/>
              <w:rPr>
                <w:rFonts w:eastAsia="SimSun" w:cs="Times New Roman"/>
                <w:szCs w:val="21"/>
                <w:lang w:val="en-GB"/>
              </w:rPr>
            </w:pPr>
            <w:r w:rsidRPr="00AA2617">
              <w:rPr>
                <w:rFonts w:eastAsia="SimSun" w:cs="Times New Roman"/>
                <w:szCs w:val="21"/>
                <w:lang w:val="en-GB"/>
              </w:rPr>
              <w:t xml:space="preserve">Climate Change </w:t>
            </w:r>
            <w:r w:rsidR="00C21FA2" w:rsidRPr="00AA2617">
              <w:rPr>
                <w:rFonts w:eastAsia="SimSun" w:cs="Times New Roman"/>
                <w:szCs w:val="21"/>
                <w:lang w:val="en-GB"/>
              </w:rPr>
              <w:t>Secretariat</w:t>
            </w:r>
          </w:p>
        </w:tc>
      </w:tr>
      <w:tr w:rsidR="00466BB5" w:rsidRPr="00AA2617" w14:paraId="5D54C6FA" w14:textId="77777777" w:rsidTr="005F7E40">
        <w:trPr>
          <w:cantSplit/>
        </w:trPr>
        <w:tc>
          <w:tcPr>
            <w:tcW w:w="1407" w:type="dxa"/>
            <w:vAlign w:val="center"/>
          </w:tcPr>
          <w:p w14:paraId="3684E843" w14:textId="77777777" w:rsidR="00466BB5" w:rsidRPr="00AA2617" w:rsidRDefault="00466BB5" w:rsidP="00AA2617">
            <w:pPr>
              <w:jc w:val="left"/>
              <w:rPr>
                <w:rFonts w:cs="Times New Roman"/>
                <w:szCs w:val="21"/>
                <w:lang w:val="en-GB"/>
              </w:rPr>
            </w:pPr>
            <w:r w:rsidRPr="00AA2617">
              <w:rPr>
                <w:rFonts w:cs="Times New Roman"/>
                <w:szCs w:val="21"/>
                <w:lang w:val="en-GB"/>
              </w:rPr>
              <w:t>CH</w:t>
            </w:r>
            <w:r w:rsidRPr="00AA2617">
              <w:rPr>
                <w:rFonts w:cs="Times New Roman"/>
                <w:szCs w:val="21"/>
                <w:vertAlign w:val="subscript"/>
                <w:lang w:val="en-GB"/>
              </w:rPr>
              <w:t>4</w:t>
            </w:r>
          </w:p>
        </w:tc>
        <w:tc>
          <w:tcPr>
            <w:tcW w:w="7609" w:type="dxa"/>
            <w:vAlign w:val="center"/>
          </w:tcPr>
          <w:p w14:paraId="23CF2896" w14:textId="77777777" w:rsidR="00466BB5" w:rsidRPr="00AA2617" w:rsidRDefault="00466BB5" w:rsidP="00AA2617">
            <w:pPr>
              <w:jc w:val="left"/>
              <w:rPr>
                <w:rFonts w:eastAsia="Calibri" w:cs="Times New Roman"/>
                <w:szCs w:val="21"/>
                <w:lang w:val="en-GB"/>
              </w:rPr>
            </w:pPr>
            <w:r w:rsidRPr="00AA2617">
              <w:rPr>
                <w:rFonts w:eastAsia="Calibri" w:cs="Times New Roman"/>
                <w:szCs w:val="21"/>
                <w:lang w:val="en-GB"/>
              </w:rPr>
              <w:t>Methane</w:t>
            </w:r>
          </w:p>
        </w:tc>
      </w:tr>
      <w:tr w:rsidR="00466BB5" w:rsidRPr="00AA2617" w14:paraId="5F11A778" w14:textId="77777777" w:rsidTr="005F7E40">
        <w:trPr>
          <w:cantSplit/>
        </w:trPr>
        <w:tc>
          <w:tcPr>
            <w:tcW w:w="1407" w:type="dxa"/>
            <w:vAlign w:val="center"/>
          </w:tcPr>
          <w:p w14:paraId="18623F69" w14:textId="77777777" w:rsidR="00466BB5" w:rsidRPr="00AA2617" w:rsidRDefault="00466BB5" w:rsidP="00AA2617">
            <w:pPr>
              <w:jc w:val="left"/>
              <w:rPr>
                <w:rFonts w:cs="Times New Roman"/>
                <w:szCs w:val="21"/>
                <w:lang w:val="en-GB"/>
              </w:rPr>
            </w:pPr>
            <w:r w:rsidRPr="00AA2617">
              <w:rPr>
                <w:rFonts w:cs="Times New Roman"/>
                <w:szCs w:val="21"/>
                <w:lang w:val="en-GB"/>
              </w:rPr>
              <w:t>CO</w:t>
            </w:r>
            <w:r w:rsidRPr="00AA2617">
              <w:rPr>
                <w:rFonts w:cs="Times New Roman"/>
                <w:szCs w:val="21"/>
                <w:vertAlign w:val="subscript"/>
                <w:lang w:val="en-GB"/>
              </w:rPr>
              <w:t>2</w:t>
            </w:r>
          </w:p>
        </w:tc>
        <w:tc>
          <w:tcPr>
            <w:tcW w:w="7609" w:type="dxa"/>
            <w:vAlign w:val="center"/>
          </w:tcPr>
          <w:p w14:paraId="0C2769C7" w14:textId="77777777" w:rsidR="00466BB5" w:rsidRPr="00AA2617" w:rsidRDefault="00466BB5" w:rsidP="00AA2617">
            <w:pPr>
              <w:jc w:val="left"/>
              <w:rPr>
                <w:rFonts w:eastAsia="Calibri" w:cs="Times New Roman"/>
                <w:szCs w:val="21"/>
                <w:lang w:val="en-GB"/>
              </w:rPr>
            </w:pPr>
            <w:r w:rsidRPr="00AA2617">
              <w:rPr>
                <w:rFonts w:eastAsia="Calibri" w:cs="Times New Roman"/>
                <w:szCs w:val="21"/>
                <w:lang w:val="en-GB"/>
              </w:rPr>
              <w:t>Carbon dioxide</w:t>
            </w:r>
          </w:p>
        </w:tc>
      </w:tr>
      <w:tr w:rsidR="00CB5AFB" w:rsidRPr="00AA2617" w14:paraId="6A30B086" w14:textId="77777777" w:rsidTr="005F7E40">
        <w:trPr>
          <w:cantSplit/>
        </w:trPr>
        <w:tc>
          <w:tcPr>
            <w:tcW w:w="1407" w:type="dxa"/>
            <w:vAlign w:val="center"/>
          </w:tcPr>
          <w:p w14:paraId="43529EEE" w14:textId="77777777" w:rsidR="00CB5AFB" w:rsidRPr="00AA2617" w:rsidRDefault="00D608EA" w:rsidP="00AA2617">
            <w:pPr>
              <w:jc w:val="left"/>
              <w:rPr>
                <w:rFonts w:cs="Times New Roman"/>
                <w:szCs w:val="21"/>
                <w:lang w:val="en-GB"/>
              </w:rPr>
            </w:pPr>
            <w:r w:rsidRPr="00AA2617">
              <w:rPr>
                <w:rFonts w:cs="Times New Roman"/>
                <w:szCs w:val="21"/>
                <w:lang w:val="en-GB"/>
              </w:rPr>
              <w:t>CO</w:t>
            </w:r>
            <w:r w:rsidRPr="00AA2617">
              <w:rPr>
                <w:rFonts w:cs="Times New Roman"/>
                <w:szCs w:val="21"/>
                <w:vertAlign w:val="subscript"/>
                <w:lang w:val="en-GB"/>
              </w:rPr>
              <w:t>2</w:t>
            </w:r>
            <w:r w:rsidRPr="00AA2617">
              <w:rPr>
                <w:rFonts w:cs="Times New Roman"/>
                <w:szCs w:val="21"/>
                <w:lang w:val="en-GB"/>
              </w:rPr>
              <w:t>e</w:t>
            </w:r>
          </w:p>
        </w:tc>
        <w:tc>
          <w:tcPr>
            <w:tcW w:w="7609" w:type="dxa"/>
            <w:vAlign w:val="center"/>
          </w:tcPr>
          <w:p w14:paraId="53A7DF5C" w14:textId="77777777" w:rsidR="00CB5AFB" w:rsidRPr="00AA2617" w:rsidRDefault="00D608EA" w:rsidP="00AA2617">
            <w:pPr>
              <w:jc w:val="left"/>
              <w:rPr>
                <w:rFonts w:eastAsia="Calibri" w:cs="Times New Roman"/>
                <w:szCs w:val="21"/>
                <w:lang w:val="en-GB"/>
              </w:rPr>
            </w:pPr>
            <w:r w:rsidRPr="00AA2617">
              <w:rPr>
                <w:rFonts w:eastAsia="Calibri" w:cs="Times New Roman"/>
                <w:szCs w:val="21"/>
                <w:lang w:val="en-GB"/>
              </w:rPr>
              <w:t>Carbon dioxide equivalent in global warming potential</w:t>
            </w:r>
          </w:p>
        </w:tc>
      </w:tr>
      <w:tr w:rsidR="00CB5AFB" w:rsidRPr="00AA2617" w14:paraId="5C14BEB0" w14:textId="77777777" w:rsidTr="005F7E40">
        <w:trPr>
          <w:cantSplit/>
        </w:trPr>
        <w:tc>
          <w:tcPr>
            <w:tcW w:w="1407" w:type="dxa"/>
            <w:vAlign w:val="center"/>
          </w:tcPr>
          <w:p w14:paraId="68F0F84B" w14:textId="77777777" w:rsidR="00CB5AFB" w:rsidRPr="00AA2617" w:rsidRDefault="00CB5AFB" w:rsidP="00AA2617">
            <w:pPr>
              <w:jc w:val="left"/>
              <w:rPr>
                <w:rFonts w:cs="Times New Roman"/>
                <w:szCs w:val="21"/>
                <w:lang w:val="en-GB"/>
              </w:rPr>
            </w:pPr>
            <w:r w:rsidRPr="00AA2617">
              <w:rPr>
                <w:rFonts w:cs="Times New Roman"/>
                <w:szCs w:val="21"/>
                <w:lang w:val="en-GB"/>
              </w:rPr>
              <w:t>CSO</w:t>
            </w:r>
          </w:p>
        </w:tc>
        <w:tc>
          <w:tcPr>
            <w:tcW w:w="7609" w:type="dxa"/>
            <w:vAlign w:val="center"/>
          </w:tcPr>
          <w:p w14:paraId="7F72397F" w14:textId="77777777" w:rsidR="00CB5AFB" w:rsidRPr="00AA2617" w:rsidRDefault="00322ECE" w:rsidP="00AA2617">
            <w:pPr>
              <w:jc w:val="left"/>
              <w:rPr>
                <w:rFonts w:cs="Times New Roman"/>
                <w:szCs w:val="21"/>
                <w:lang w:val="en-GB"/>
              </w:rPr>
            </w:pPr>
            <w:r w:rsidRPr="00AA2617">
              <w:rPr>
                <w:rFonts w:eastAsia="Calibri" w:cs="Times New Roman"/>
                <w:szCs w:val="21"/>
                <w:lang w:val="en-GB"/>
              </w:rPr>
              <w:t>Civil s</w:t>
            </w:r>
            <w:r w:rsidR="00CB5AFB" w:rsidRPr="00AA2617">
              <w:rPr>
                <w:rFonts w:eastAsia="Calibri" w:cs="Times New Roman"/>
                <w:szCs w:val="21"/>
                <w:lang w:val="en-GB"/>
              </w:rPr>
              <w:t xml:space="preserve">ociety </w:t>
            </w:r>
            <w:r w:rsidRPr="00AA2617">
              <w:rPr>
                <w:rFonts w:eastAsia="Calibri" w:cs="Times New Roman"/>
                <w:szCs w:val="21"/>
                <w:lang w:val="en-GB"/>
              </w:rPr>
              <w:t>o</w:t>
            </w:r>
            <w:r w:rsidR="00D827F9" w:rsidRPr="00AA2617">
              <w:rPr>
                <w:rFonts w:eastAsia="Calibri" w:cs="Times New Roman"/>
                <w:szCs w:val="21"/>
                <w:lang w:val="en-GB"/>
              </w:rPr>
              <w:t>rganization</w:t>
            </w:r>
          </w:p>
        </w:tc>
      </w:tr>
      <w:tr w:rsidR="003E7F0D" w:rsidRPr="00AA2617" w14:paraId="1958562E" w14:textId="77777777" w:rsidTr="005F7E40">
        <w:trPr>
          <w:cantSplit/>
        </w:trPr>
        <w:tc>
          <w:tcPr>
            <w:tcW w:w="1407" w:type="dxa"/>
            <w:vAlign w:val="center"/>
          </w:tcPr>
          <w:p w14:paraId="0CF4C3F1" w14:textId="1900E173" w:rsidR="003E7F0D" w:rsidRPr="00AA2617" w:rsidRDefault="003E7F0D" w:rsidP="00AA2617">
            <w:pPr>
              <w:jc w:val="left"/>
              <w:rPr>
                <w:rFonts w:cs="Times New Roman"/>
                <w:szCs w:val="21"/>
                <w:lang w:val="en-GB"/>
              </w:rPr>
            </w:pPr>
            <w:r w:rsidRPr="00AA2617">
              <w:rPr>
                <w:rFonts w:cs="Times New Roman"/>
                <w:szCs w:val="21"/>
                <w:lang w:val="en-GB"/>
              </w:rPr>
              <w:t>DAPH</w:t>
            </w:r>
          </w:p>
        </w:tc>
        <w:tc>
          <w:tcPr>
            <w:tcW w:w="7609" w:type="dxa"/>
            <w:vAlign w:val="center"/>
          </w:tcPr>
          <w:p w14:paraId="250DB152" w14:textId="70BA3A53" w:rsidR="003E7F0D" w:rsidRPr="00AA2617" w:rsidRDefault="003E7F0D" w:rsidP="00AA2617">
            <w:pPr>
              <w:jc w:val="left"/>
              <w:rPr>
                <w:rFonts w:cs="Times New Roman"/>
                <w:szCs w:val="21"/>
                <w:lang w:val="en-GB"/>
              </w:rPr>
            </w:pPr>
            <w:r w:rsidRPr="00AA2617">
              <w:rPr>
                <w:rFonts w:cs="Times New Roman"/>
                <w:szCs w:val="21"/>
                <w:lang w:val="en-GB"/>
              </w:rPr>
              <w:t>Department of Animal Production and Health</w:t>
            </w:r>
          </w:p>
        </w:tc>
      </w:tr>
      <w:tr w:rsidR="00C21FA2" w:rsidRPr="00AA2617" w14:paraId="3DF612E6" w14:textId="77777777" w:rsidTr="005F7E40">
        <w:trPr>
          <w:cantSplit/>
        </w:trPr>
        <w:tc>
          <w:tcPr>
            <w:tcW w:w="1407" w:type="dxa"/>
            <w:vAlign w:val="center"/>
          </w:tcPr>
          <w:p w14:paraId="10E559C5" w14:textId="3711374B" w:rsidR="00C21FA2" w:rsidRPr="00AA2617" w:rsidRDefault="00C21FA2" w:rsidP="00AA2617">
            <w:pPr>
              <w:jc w:val="left"/>
              <w:rPr>
                <w:rFonts w:cs="Times New Roman"/>
                <w:szCs w:val="21"/>
                <w:lang w:val="en-GB"/>
              </w:rPr>
            </w:pPr>
            <w:r w:rsidRPr="00AA2617">
              <w:rPr>
                <w:rFonts w:cs="Times New Roman"/>
                <w:szCs w:val="21"/>
                <w:lang w:val="en-GB"/>
              </w:rPr>
              <w:t>DoA</w:t>
            </w:r>
          </w:p>
        </w:tc>
        <w:tc>
          <w:tcPr>
            <w:tcW w:w="7609" w:type="dxa"/>
            <w:vAlign w:val="center"/>
          </w:tcPr>
          <w:p w14:paraId="49B19D8D" w14:textId="5E943CE0" w:rsidR="00C21FA2" w:rsidRPr="00AA2617" w:rsidRDefault="00C21FA2" w:rsidP="00AA2617">
            <w:pPr>
              <w:jc w:val="left"/>
              <w:rPr>
                <w:rFonts w:cs="Times New Roman"/>
                <w:szCs w:val="21"/>
                <w:lang w:val="en-GB"/>
              </w:rPr>
            </w:pPr>
            <w:r w:rsidRPr="00AA2617">
              <w:rPr>
                <w:rFonts w:cs="Times New Roman"/>
                <w:szCs w:val="21"/>
                <w:lang w:val="en-GB"/>
              </w:rPr>
              <w:t>Department of Agriculture</w:t>
            </w:r>
          </w:p>
        </w:tc>
      </w:tr>
      <w:tr w:rsidR="00CB5AFB" w:rsidRPr="00AA2617" w14:paraId="25BEFB6E" w14:textId="77777777" w:rsidTr="005F7E40">
        <w:trPr>
          <w:cantSplit/>
        </w:trPr>
        <w:tc>
          <w:tcPr>
            <w:tcW w:w="1407" w:type="dxa"/>
            <w:vAlign w:val="center"/>
          </w:tcPr>
          <w:p w14:paraId="1E6C5892" w14:textId="77777777" w:rsidR="00CB5AFB" w:rsidRPr="00AA2617" w:rsidRDefault="00CB5AFB" w:rsidP="00AA2617">
            <w:pPr>
              <w:jc w:val="left"/>
              <w:rPr>
                <w:rFonts w:cs="Times New Roman"/>
                <w:szCs w:val="21"/>
                <w:lang w:val="en-GB"/>
              </w:rPr>
            </w:pPr>
            <w:r w:rsidRPr="00AA2617">
              <w:rPr>
                <w:rFonts w:cs="Times New Roman"/>
                <w:szCs w:val="21"/>
                <w:lang w:val="en-GB"/>
              </w:rPr>
              <w:t>DEX</w:t>
            </w:r>
          </w:p>
        </w:tc>
        <w:tc>
          <w:tcPr>
            <w:tcW w:w="7609" w:type="dxa"/>
            <w:vAlign w:val="center"/>
          </w:tcPr>
          <w:p w14:paraId="3D8EAE3C" w14:textId="77777777" w:rsidR="00CB5AFB" w:rsidRPr="00AA2617" w:rsidRDefault="00322ECE" w:rsidP="00AA2617">
            <w:pPr>
              <w:jc w:val="left"/>
              <w:rPr>
                <w:rFonts w:cs="Times New Roman"/>
                <w:szCs w:val="21"/>
                <w:lang w:val="en-GB"/>
              </w:rPr>
            </w:pPr>
            <w:r w:rsidRPr="00AA2617">
              <w:rPr>
                <w:rFonts w:cs="Times New Roman"/>
                <w:szCs w:val="21"/>
                <w:lang w:val="en-GB"/>
              </w:rPr>
              <w:t>Direct e</w:t>
            </w:r>
            <w:r w:rsidR="00CB5AFB" w:rsidRPr="00AA2617">
              <w:rPr>
                <w:rFonts w:cs="Times New Roman"/>
                <w:szCs w:val="21"/>
                <w:lang w:val="en-GB"/>
              </w:rPr>
              <w:t>xecution</w:t>
            </w:r>
          </w:p>
        </w:tc>
      </w:tr>
      <w:tr w:rsidR="00B2675D" w:rsidRPr="00AA2617" w14:paraId="5772FFDA" w14:textId="77777777" w:rsidTr="005F7E40">
        <w:trPr>
          <w:cantSplit/>
        </w:trPr>
        <w:tc>
          <w:tcPr>
            <w:tcW w:w="1407" w:type="dxa"/>
            <w:vAlign w:val="center"/>
          </w:tcPr>
          <w:p w14:paraId="0E0C6BDE" w14:textId="2282D0A4" w:rsidR="00B2675D" w:rsidRPr="00AA2617" w:rsidRDefault="00B2675D" w:rsidP="00AA2617">
            <w:pPr>
              <w:jc w:val="left"/>
              <w:rPr>
                <w:rFonts w:cs="Times New Roman"/>
                <w:szCs w:val="21"/>
                <w:lang w:val="en-GB"/>
              </w:rPr>
            </w:pPr>
            <w:r w:rsidRPr="00AA2617">
              <w:rPr>
                <w:rFonts w:cs="Times New Roman"/>
                <w:szCs w:val="21"/>
                <w:lang w:val="en-GB"/>
              </w:rPr>
              <w:t>DCS</w:t>
            </w:r>
          </w:p>
        </w:tc>
        <w:tc>
          <w:tcPr>
            <w:tcW w:w="7609" w:type="dxa"/>
            <w:vAlign w:val="center"/>
          </w:tcPr>
          <w:p w14:paraId="0D92E54A" w14:textId="480586CD" w:rsidR="00B2675D" w:rsidRPr="00AA2617" w:rsidRDefault="00B2675D" w:rsidP="00AA2617">
            <w:pPr>
              <w:jc w:val="left"/>
              <w:rPr>
                <w:rFonts w:cs="Times New Roman"/>
                <w:szCs w:val="21"/>
                <w:lang w:val="en-GB"/>
              </w:rPr>
            </w:pPr>
            <w:r w:rsidRPr="00AA2617">
              <w:rPr>
                <w:rFonts w:cs="Times New Roman"/>
                <w:szCs w:val="21"/>
                <w:lang w:val="en-GB"/>
              </w:rPr>
              <w:t>Department of Census and Statistics</w:t>
            </w:r>
          </w:p>
        </w:tc>
      </w:tr>
      <w:tr w:rsidR="001C0941" w:rsidRPr="00AA2617" w14:paraId="41C351CE" w14:textId="77777777" w:rsidTr="005F7E40">
        <w:trPr>
          <w:cantSplit/>
        </w:trPr>
        <w:tc>
          <w:tcPr>
            <w:tcW w:w="1407" w:type="dxa"/>
            <w:vAlign w:val="center"/>
          </w:tcPr>
          <w:p w14:paraId="4F75959E" w14:textId="47A340BB" w:rsidR="001C0941" w:rsidRPr="00AA2617" w:rsidRDefault="001C0941" w:rsidP="00AA2617">
            <w:pPr>
              <w:jc w:val="left"/>
              <w:rPr>
                <w:rFonts w:cs="Times New Roman"/>
                <w:szCs w:val="21"/>
                <w:lang w:val="en-GB"/>
              </w:rPr>
            </w:pPr>
            <w:r w:rsidRPr="00AA2617">
              <w:rPr>
                <w:rFonts w:cs="Times New Roman"/>
                <w:szCs w:val="21"/>
                <w:lang w:val="en-GB"/>
              </w:rPr>
              <w:t>DFAR</w:t>
            </w:r>
          </w:p>
        </w:tc>
        <w:tc>
          <w:tcPr>
            <w:tcW w:w="7609" w:type="dxa"/>
            <w:vAlign w:val="center"/>
          </w:tcPr>
          <w:p w14:paraId="6CF9AF34" w14:textId="73BF7FC6" w:rsidR="001C0941" w:rsidRPr="00AA2617" w:rsidRDefault="00EB6385" w:rsidP="00AA2617">
            <w:pPr>
              <w:jc w:val="left"/>
              <w:rPr>
                <w:rFonts w:cs="Times New Roman"/>
                <w:szCs w:val="21"/>
                <w:lang w:val="en-GB"/>
              </w:rPr>
            </w:pPr>
            <w:hyperlink r:id="rId14" w:history="1">
              <w:r w:rsidR="001C0941" w:rsidRPr="00AA2617">
                <w:rPr>
                  <w:rFonts w:cs="Times New Roman"/>
                  <w:szCs w:val="21"/>
                  <w:lang w:val="en-GB"/>
                </w:rPr>
                <w:t>Department of Fisheries and Aquatic Resources</w:t>
              </w:r>
            </w:hyperlink>
          </w:p>
        </w:tc>
      </w:tr>
      <w:tr w:rsidR="00C66792" w:rsidRPr="00AA2617" w14:paraId="1E1EADBE" w14:textId="77777777" w:rsidTr="005F7E40">
        <w:trPr>
          <w:cantSplit/>
        </w:trPr>
        <w:tc>
          <w:tcPr>
            <w:tcW w:w="1407" w:type="dxa"/>
            <w:vAlign w:val="center"/>
          </w:tcPr>
          <w:p w14:paraId="14707477" w14:textId="77777777" w:rsidR="00C66792" w:rsidRPr="00AA2617" w:rsidRDefault="00C66792" w:rsidP="00AA2617">
            <w:pPr>
              <w:jc w:val="left"/>
              <w:rPr>
                <w:rFonts w:cs="Times New Roman"/>
                <w:szCs w:val="21"/>
                <w:lang w:val="en-GB"/>
              </w:rPr>
            </w:pPr>
            <w:r w:rsidRPr="00AA2617">
              <w:rPr>
                <w:rFonts w:cs="Times New Roman"/>
                <w:szCs w:val="21"/>
                <w:lang w:val="en-GB"/>
              </w:rPr>
              <w:t>ETF</w:t>
            </w:r>
          </w:p>
        </w:tc>
        <w:tc>
          <w:tcPr>
            <w:tcW w:w="7609" w:type="dxa"/>
            <w:vAlign w:val="center"/>
          </w:tcPr>
          <w:p w14:paraId="3930BF10" w14:textId="77777777" w:rsidR="00C66792" w:rsidRPr="00AA2617" w:rsidRDefault="00C66792" w:rsidP="00AA2617">
            <w:pPr>
              <w:jc w:val="left"/>
              <w:rPr>
                <w:rFonts w:cs="Times New Roman"/>
                <w:szCs w:val="21"/>
                <w:lang w:val="en-GB"/>
              </w:rPr>
            </w:pPr>
            <w:r w:rsidRPr="00AA2617">
              <w:rPr>
                <w:rFonts w:cs="Times New Roman"/>
                <w:szCs w:val="21"/>
                <w:lang w:val="en-GB"/>
              </w:rPr>
              <w:t>Enhanced Transparency Framework (under the Paris Agreement and UNFCCC)</w:t>
            </w:r>
          </w:p>
        </w:tc>
      </w:tr>
      <w:tr w:rsidR="00CB5AFB" w:rsidRPr="003121CF" w14:paraId="279C3EE0" w14:textId="77777777" w:rsidTr="005F7E40">
        <w:trPr>
          <w:cantSplit/>
        </w:trPr>
        <w:tc>
          <w:tcPr>
            <w:tcW w:w="1407" w:type="dxa"/>
            <w:vAlign w:val="center"/>
          </w:tcPr>
          <w:p w14:paraId="19FC1F34" w14:textId="77777777" w:rsidR="00CB5AFB" w:rsidRPr="00AA2617" w:rsidRDefault="000720C7" w:rsidP="00AA2617">
            <w:pPr>
              <w:jc w:val="left"/>
              <w:rPr>
                <w:rFonts w:cs="Times New Roman"/>
                <w:szCs w:val="21"/>
                <w:lang w:val="en-GB"/>
              </w:rPr>
            </w:pPr>
            <w:r w:rsidRPr="00AA2617">
              <w:rPr>
                <w:rFonts w:cs="Times New Roman"/>
                <w:szCs w:val="21"/>
                <w:lang w:val="en-GB"/>
              </w:rPr>
              <w:t>Ex</w:t>
            </w:r>
            <w:r w:rsidR="00CB5AFB" w:rsidRPr="00AA2617">
              <w:rPr>
                <w:rFonts w:cs="Times New Roman"/>
                <w:szCs w:val="21"/>
                <w:lang w:val="en-GB"/>
              </w:rPr>
              <w:t>ACT</w:t>
            </w:r>
          </w:p>
        </w:tc>
        <w:tc>
          <w:tcPr>
            <w:tcW w:w="7609" w:type="dxa"/>
            <w:vAlign w:val="center"/>
          </w:tcPr>
          <w:p w14:paraId="7845C4CF" w14:textId="77777777" w:rsidR="00CB5AFB" w:rsidRPr="00AA2617" w:rsidRDefault="00CB5AFB" w:rsidP="00AA2617">
            <w:pPr>
              <w:jc w:val="left"/>
              <w:rPr>
                <w:rFonts w:cs="Times New Roman"/>
                <w:iCs/>
                <w:szCs w:val="21"/>
                <w:lang w:val="es-ES"/>
              </w:rPr>
            </w:pPr>
            <w:r w:rsidRPr="00AA2617">
              <w:rPr>
                <w:rFonts w:cs="Times New Roman"/>
                <w:szCs w:val="21"/>
                <w:lang w:val="es-ES"/>
              </w:rPr>
              <w:t>Ex-</w:t>
            </w:r>
            <w:r w:rsidR="00322ECE" w:rsidRPr="00AA2617">
              <w:rPr>
                <w:rFonts w:cs="Times New Roman"/>
                <w:szCs w:val="21"/>
                <w:lang w:val="es-ES"/>
              </w:rPr>
              <w:t>a</w:t>
            </w:r>
            <w:r w:rsidRPr="00AA2617">
              <w:rPr>
                <w:rFonts w:cs="Times New Roman"/>
                <w:szCs w:val="21"/>
                <w:lang w:val="es-ES"/>
              </w:rPr>
              <w:t>nte Carbon</w:t>
            </w:r>
            <w:r w:rsidRPr="00AA2617">
              <w:rPr>
                <w:rFonts w:cs="Times New Roman"/>
                <w:szCs w:val="21"/>
                <w:lang w:val="es-ES"/>
              </w:rPr>
              <w:noBreakHyphen/>
              <w:t>balance Tool</w:t>
            </w:r>
          </w:p>
        </w:tc>
      </w:tr>
      <w:tr w:rsidR="00CB5AFB" w:rsidRPr="00AA2617" w14:paraId="3DBAB16A" w14:textId="77777777" w:rsidTr="005F7E40">
        <w:trPr>
          <w:cantSplit/>
        </w:trPr>
        <w:tc>
          <w:tcPr>
            <w:tcW w:w="1407" w:type="dxa"/>
            <w:vAlign w:val="center"/>
          </w:tcPr>
          <w:p w14:paraId="3024CCA6" w14:textId="77777777" w:rsidR="00CB5AFB" w:rsidRPr="00AA2617" w:rsidRDefault="00CB5AFB" w:rsidP="00AA2617">
            <w:pPr>
              <w:jc w:val="left"/>
              <w:rPr>
                <w:rFonts w:cs="Times New Roman"/>
                <w:szCs w:val="21"/>
                <w:lang w:val="en-GB"/>
              </w:rPr>
            </w:pPr>
            <w:r w:rsidRPr="00AA2617">
              <w:rPr>
                <w:rFonts w:cs="Times New Roman"/>
                <w:szCs w:val="21"/>
                <w:lang w:val="en-GB"/>
              </w:rPr>
              <w:t>FAO</w:t>
            </w:r>
          </w:p>
        </w:tc>
        <w:tc>
          <w:tcPr>
            <w:tcW w:w="7609" w:type="dxa"/>
            <w:vAlign w:val="center"/>
          </w:tcPr>
          <w:p w14:paraId="0ECBDBC4" w14:textId="77777777" w:rsidR="00CB5AFB" w:rsidRPr="00AA2617" w:rsidRDefault="00CB5AFB" w:rsidP="00AA2617">
            <w:pPr>
              <w:jc w:val="left"/>
              <w:rPr>
                <w:rFonts w:cs="Times New Roman"/>
                <w:iCs/>
                <w:szCs w:val="21"/>
                <w:lang w:val="en-GB"/>
              </w:rPr>
            </w:pPr>
            <w:r w:rsidRPr="00AA2617">
              <w:rPr>
                <w:rFonts w:cs="Times New Roman"/>
                <w:iCs/>
                <w:szCs w:val="21"/>
                <w:lang w:val="en-GB"/>
              </w:rPr>
              <w:t>Food and Agriculture Organization of the United Nations</w:t>
            </w:r>
          </w:p>
        </w:tc>
      </w:tr>
      <w:tr w:rsidR="00DF5D33" w:rsidRPr="00AA2617" w14:paraId="78261E94" w14:textId="77777777" w:rsidTr="005F7E40">
        <w:trPr>
          <w:cantSplit/>
          <w:trHeight w:val="264"/>
        </w:trPr>
        <w:tc>
          <w:tcPr>
            <w:tcW w:w="1407" w:type="dxa"/>
            <w:vAlign w:val="center"/>
          </w:tcPr>
          <w:p w14:paraId="3E3506BA" w14:textId="77777777" w:rsidR="00DF5D33" w:rsidRPr="00AA2617" w:rsidRDefault="00DF5D33" w:rsidP="00AA2617">
            <w:pPr>
              <w:jc w:val="left"/>
              <w:rPr>
                <w:rFonts w:cs="Times New Roman"/>
                <w:szCs w:val="21"/>
                <w:lang w:val="en-GB"/>
              </w:rPr>
            </w:pPr>
            <w:r w:rsidRPr="00AA2617">
              <w:rPr>
                <w:rFonts w:cs="Times New Roman"/>
                <w:szCs w:val="21"/>
                <w:lang w:val="en-GB"/>
              </w:rPr>
              <w:t>FCPF</w:t>
            </w:r>
          </w:p>
        </w:tc>
        <w:tc>
          <w:tcPr>
            <w:tcW w:w="7609" w:type="dxa"/>
            <w:vAlign w:val="center"/>
          </w:tcPr>
          <w:p w14:paraId="134FD189" w14:textId="77777777" w:rsidR="00DF5D33" w:rsidRPr="00AA2617" w:rsidRDefault="00DF5D33" w:rsidP="00AA2617">
            <w:pPr>
              <w:jc w:val="left"/>
              <w:rPr>
                <w:rFonts w:cs="Times New Roman"/>
                <w:iCs/>
                <w:szCs w:val="21"/>
                <w:lang w:val="en-GB"/>
              </w:rPr>
            </w:pPr>
            <w:r w:rsidRPr="00AA2617">
              <w:rPr>
                <w:rFonts w:cs="Times New Roman"/>
                <w:iCs/>
                <w:szCs w:val="21"/>
                <w:lang w:val="en-GB"/>
              </w:rPr>
              <w:t>Forest Carbon Partnership Facility</w:t>
            </w:r>
          </w:p>
        </w:tc>
      </w:tr>
      <w:tr w:rsidR="001F06DD" w:rsidRPr="00AA2617" w14:paraId="1E36B6A0" w14:textId="77777777" w:rsidTr="005F7E40">
        <w:trPr>
          <w:cantSplit/>
          <w:trHeight w:val="264"/>
        </w:trPr>
        <w:tc>
          <w:tcPr>
            <w:tcW w:w="1407" w:type="dxa"/>
            <w:vAlign w:val="center"/>
          </w:tcPr>
          <w:p w14:paraId="5D1B99FB" w14:textId="548DF58B" w:rsidR="001F06DD" w:rsidRPr="00AA2617" w:rsidRDefault="001F06DD" w:rsidP="00AA2617">
            <w:pPr>
              <w:jc w:val="left"/>
              <w:rPr>
                <w:rFonts w:cs="Times New Roman"/>
                <w:szCs w:val="21"/>
                <w:lang w:val="en-GB"/>
              </w:rPr>
            </w:pPr>
            <w:r w:rsidRPr="00AA2617">
              <w:rPr>
                <w:rFonts w:cs="Times New Roman"/>
                <w:szCs w:val="21"/>
                <w:lang w:val="en-GB"/>
              </w:rPr>
              <w:t>FD</w:t>
            </w:r>
          </w:p>
        </w:tc>
        <w:tc>
          <w:tcPr>
            <w:tcW w:w="7609" w:type="dxa"/>
            <w:vAlign w:val="center"/>
          </w:tcPr>
          <w:p w14:paraId="06EF1CF6" w14:textId="69889597" w:rsidR="001F06DD" w:rsidRPr="00AA2617" w:rsidRDefault="001F06DD" w:rsidP="00AA2617">
            <w:pPr>
              <w:jc w:val="left"/>
              <w:rPr>
                <w:rFonts w:cs="Times New Roman"/>
                <w:iCs/>
                <w:szCs w:val="21"/>
                <w:lang w:val="en-GB"/>
              </w:rPr>
            </w:pPr>
            <w:r w:rsidRPr="00AA2617">
              <w:rPr>
                <w:rFonts w:cs="Times New Roman"/>
                <w:iCs/>
                <w:szCs w:val="21"/>
                <w:lang w:val="en-GB"/>
              </w:rPr>
              <w:t>Forest Department of Sri Lanka</w:t>
            </w:r>
          </w:p>
        </w:tc>
      </w:tr>
      <w:tr w:rsidR="000720C7" w:rsidRPr="00AA2617" w14:paraId="0CCBD751" w14:textId="77777777" w:rsidTr="005F7E40">
        <w:trPr>
          <w:cantSplit/>
        </w:trPr>
        <w:tc>
          <w:tcPr>
            <w:tcW w:w="1407" w:type="dxa"/>
            <w:vAlign w:val="center"/>
          </w:tcPr>
          <w:p w14:paraId="716188FE" w14:textId="77777777" w:rsidR="000720C7" w:rsidRPr="00AA2617" w:rsidRDefault="000720C7" w:rsidP="00AA2617">
            <w:pPr>
              <w:jc w:val="left"/>
              <w:rPr>
                <w:rFonts w:cs="Times New Roman"/>
                <w:szCs w:val="21"/>
                <w:lang w:val="en-GB"/>
              </w:rPr>
            </w:pPr>
            <w:r w:rsidRPr="00AA2617">
              <w:rPr>
                <w:rFonts w:cs="Times New Roman"/>
                <w:szCs w:val="21"/>
                <w:lang w:val="en-GB"/>
              </w:rPr>
              <w:t>GEF</w:t>
            </w:r>
          </w:p>
        </w:tc>
        <w:tc>
          <w:tcPr>
            <w:tcW w:w="7609" w:type="dxa"/>
            <w:vAlign w:val="center"/>
          </w:tcPr>
          <w:p w14:paraId="45D162E5" w14:textId="77777777" w:rsidR="000720C7" w:rsidRPr="00AA2617" w:rsidRDefault="000720C7" w:rsidP="00AA2617">
            <w:pPr>
              <w:jc w:val="left"/>
              <w:rPr>
                <w:rFonts w:cs="Times New Roman"/>
                <w:iCs/>
                <w:szCs w:val="21"/>
                <w:lang w:val="en-GB"/>
              </w:rPr>
            </w:pPr>
            <w:r w:rsidRPr="00AA2617">
              <w:rPr>
                <w:rFonts w:cs="Times New Roman"/>
                <w:iCs/>
                <w:szCs w:val="21"/>
                <w:lang w:val="en-GB"/>
              </w:rPr>
              <w:t>Global Environment Facility</w:t>
            </w:r>
          </w:p>
        </w:tc>
      </w:tr>
      <w:tr w:rsidR="00DC5942" w:rsidRPr="00AA2617" w14:paraId="4543BF44" w14:textId="77777777" w:rsidTr="005F7E40">
        <w:trPr>
          <w:cantSplit/>
        </w:trPr>
        <w:tc>
          <w:tcPr>
            <w:tcW w:w="1407" w:type="dxa"/>
            <w:vAlign w:val="center"/>
          </w:tcPr>
          <w:p w14:paraId="030FF607" w14:textId="77777777" w:rsidR="00DC5942" w:rsidRPr="00AA2617" w:rsidRDefault="00DC5942" w:rsidP="00AA2617">
            <w:pPr>
              <w:jc w:val="left"/>
              <w:rPr>
                <w:rFonts w:cs="Times New Roman"/>
                <w:szCs w:val="21"/>
                <w:lang w:val="en-GB"/>
              </w:rPr>
            </w:pPr>
            <w:r w:rsidRPr="00AA2617">
              <w:rPr>
                <w:rFonts w:cs="Times New Roman"/>
                <w:szCs w:val="21"/>
                <w:lang w:val="en-GB"/>
              </w:rPr>
              <w:t>GEF-6</w:t>
            </w:r>
          </w:p>
        </w:tc>
        <w:tc>
          <w:tcPr>
            <w:tcW w:w="7609" w:type="dxa"/>
            <w:vAlign w:val="center"/>
          </w:tcPr>
          <w:p w14:paraId="165E157B" w14:textId="77777777" w:rsidR="00DC5942" w:rsidRPr="00AA2617" w:rsidRDefault="00DC5942" w:rsidP="00AA2617">
            <w:pPr>
              <w:jc w:val="left"/>
              <w:rPr>
                <w:rFonts w:cs="Times New Roman"/>
                <w:iCs/>
                <w:szCs w:val="21"/>
                <w:lang w:val="en-GB"/>
              </w:rPr>
            </w:pPr>
            <w:r w:rsidRPr="00AA2617">
              <w:rPr>
                <w:rFonts w:cs="Times New Roman"/>
                <w:iCs/>
                <w:szCs w:val="21"/>
                <w:lang w:val="en-GB"/>
              </w:rPr>
              <w:t>Sixth funding cycle for GEF’s System of Transparent Allocation of Resources (STAR)</w:t>
            </w:r>
          </w:p>
          <w:p w14:paraId="326AC63C" w14:textId="77777777" w:rsidR="00DC5942" w:rsidRPr="00AA2617" w:rsidRDefault="00DC5942" w:rsidP="00AA2617">
            <w:pPr>
              <w:jc w:val="left"/>
              <w:rPr>
                <w:rFonts w:cs="Times New Roman"/>
                <w:iCs/>
                <w:szCs w:val="21"/>
                <w:lang w:val="en-GB"/>
              </w:rPr>
            </w:pPr>
            <w:r w:rsidRPr="00AA2617">
              <w:rPr>
                <w:rFonts w:cs="Times New Roman"/>
                <w:iCs/>
                <w:szCs w:val="21"/>
                <w:lang w:val="en-GB"/>
              </w:rPr>
              <w:t>(1 July 2014 – 30 June 2018)</w:t>
            </w:r>
          </w:p>
        </w:tc>
      </w:tr>
      <w:tr w:rsidR="00CB5AFB" w:rsidRPr="00AA2617" w14:paraId="13E9CE8D" w14:textId="77777777" w:rsidTr="005F7E40">
        <w:trPr>
          <w:cantSplit/>
        </w:trPr>
        <w:tc>
          <w:tcPr>
            <w:tcW w:w="1407" w:type="dxa"/>
            <w:vAlign w:val="center"/>
          </w:tcPr>
          <w:p w14:paraId="530D7AE1" w14:textId="77777777" w:rsidR="00CB5AFB" w:rsidRPr="00AA2617" w:rsidRDefault="00322ECE" w:rsidP="00AA2617">
            <w:pPr>
              <w:jc w:val="left"/>
              <w:rPr>
                <w:rFonts w:cs="Times New Roman"/>
                <w:szCs w:val="21"/>
                <w:lang w:val="en-GB"/>
              </w:rPr>
            </w:pPr>
            <w:r w:rsidRPr="00AA2617">
              <w:rPr>
                <w:rFonts w:cs="Times New Roman"/>
                <w:szCs w:val="21"/>
                <w:lang w:val="en-GB"/>
              </w:rPr>
              <w:t>Gg</w:t>
            </w:r>
          </w:p>
        </w:tc>
        <w:tc>
          <w:tcPr>
            <w:tcW w:w="7609" w:type="dxa"/>
            <w:vAlign w:val="center"/>
          </w:tcPr>
          <w:p w14:paraId="472FE826" w14:textId="77777777" w:rsidR="00CB5AFB" w:rsidRPr="00AA2617" w:rsidRDefault="00322ECE" w:rsidP="00AA2617">
            <w:pPr>
              <w:jc w:val="left"/>
              <w:rPr>
                <w:rFonts w:cs="Times New Roman"/>
                <w:iCs/>
                <w:szCs w:val="21"/>
                <w:lang w:val="en-GB"/>
              </w:rPr>
            </w:pPr>
            <w:r w:rsidRPr="00AA2617">
              <w:rPr>
                <w:rFonts w:cs="Times New Roman"/>
                <w:iCs/>
                <w:szCs w:val="21"/>
                <w:lang w:val="en-GB"/>
              </w:rPr>
              <w:t>Gigagram (1 billion grams; 1 kiloton; 0.1 megaton)</w:t>
            </w:r>
          </w:p>
        </w:tc>
      </w:tr>
      <w:tr w:rsidR="00CB5AFB" w:rsidRPr="00AA2617" w14:paraId="33D0F809" w14:textId="77777777" w:rsidTr="005F7E40">
        <w:trPr>
          <w:cantSplit/>
        </w:trPr>
        <w:tc>
          <w:tcPr>
            <w:tcW w:w="1407" w:type="dxa"/>
            <w:vAlign w:val="center"/>
          </w:tcPr>
          <w:p w14:paraId="0BA5BB69" w14:textId="77777777" w:rsidR="00CB5AFB" w:rsidRPr="00AA2617" w:rsidRDefault="00CB5AFB" w:rsidP="00AA2617">
            <w:pPr>
              <w:jc w:val="left"/>
              <w:rPr>
                <w:rFonts w:cs="Times New Roman"/>
                <w:szCs w:val="21"/>
                <w:lang w:val="en-GB"/>
              </w:rPr>
            </w:pPr>
            <w:r w:rsidRPr="00AA2617">
              <w:rPr>
                <w:rFonts w:cs="Times New Roman"/>
                <w:szCs w:val="21"/>
                <w:lang w:val="en-GB"/>
              </w:rPr>
              <w:t>GHG</w:t>
            </w:r>
          </w:p>
        </w:tc>
        <w:tc>
          <w:tcPr>
            <w:tcW w:w="7609" w:type="dxa"/>
            <w:vAlign w:val="center"/>
          </w:tcPr>
          <w:p w14:paraId="701369DB" w14:textId="77777777" w:rsidR="00CB5AFB" w:rsidRPr="00AA2617" w:rsidRDefault="00CB5AFB" w:rsidP="00AA2617">
            <w:pPr>
              <w:jc w:val="left"/>
              <w:rPr>
                <w:rFonts w:cs="Times New Roman"/>
                <w:szCs w:val="21"/>
                <w:lang w:val="en-GB"/>
              </w:rPr>
            </w:pPr>
            <w:r w:rsidRPr="00AA2617">
              <w:rPr>
                <w:rFonts w:cs="Times New Roman"/>
                <w:iCs/>
                <w:szCs w:val="21"/>
                <w:lang w:val="en-GB"/>
              </w:rPr>
              <w:t>Greenhouse gas </w:t>
            </w:r>
          </w:p>
        </w:tc>
      </w:tr>
      <w:tr w:rsidR="00D9609B" w:rsidRPr="00AA2617" w14:paraId="58D4B901" w14:textId="77777777" w:rsidTr="005F7E40">
        <w:trPr>
          <w:cantSplit/>
        </w:trPr>
        <w:tc>
          <w:tcPr>
            <w:tcW w:w="1407" w:type="dxa"/>
            <w:vAlign w:val="center"/>
          </w:tcPr>
          <w:p w14:paraId="72C8464F" w14:textId="77777777" w:rsidR="00D9609B" w:rsidRPr="00AA2617" w:rsidRDefault="00D9609B" w:rsidP="00AA2617">
            <w:pPr>
              <w:jc w:val="left"/>
              <w:rPr>
                <w:rFonts w:cs="Times New Roman"/>
                <w:szCs w:val="21"/>
                <w:lang w:val="en-GB"/>
              </w:rPr>
            </w:pPr>
            <w:r w:rsidRPr="00AA2617">
              <w:rPr>
                <w:rFonts w:cs="Times New Roman"/>
                <w:szCs w:val="21"/>
                <w:lang w:val="en-GB"/>
              </w:rPr>
              <w:t>GHGI</w:t>
            </w:r>
          </w:p>
        </w:tc>
        <w:tc>
          <w:tcPr>
            <w:tcW w:w="7609" w:type="dxa"/>
            <w:vAlign w:val="center"/>
          </w:tcPr>
          <w:p w14:paraId="083E4B20" w14:textId="77777777" w:rsidR="00D9609B" w:rsidRPr="00AA2617" w:rsidRDefault="00D9609B" w:rsidP="00AA2617">
            <w:pPr>
              <w:jc w:val="left"/>
              <w:rPr>
                <w:rFonts w:cs="Times New Roman"/>
                <w:szCs w:val="21"/>
                <w:lang w:val="en-GB"/>
              </w:rPr>
            </w:pPr>
            <w:r w:rsidRPr="00AA2617">
              <w:rPr>
                <w:rFonts w:cs="Times New Roman"/>
                <w:szCs w:val="21"/>
                <w:lang w:val="en-GB"/>
              </w:rPr>
              <w:t>Greenhouse gas inventory</w:t>
            </w:r>
          </w:p>
        </w:tc>
      </w:tr>
      <w:tr w:rsidR="00CB5AFB" w:rsidRPr="00AA2617" w14:paraId="4E01F465" w14:textId="77777777" w:rsidTr="005F7E40">
        <w:trPr>
          <w:cantSplit/>
        </w:trPr>
        <w:tc>
          <w:tcPr>
            <w:tcW w:w="1407" w:type="dxa"/>
            <w:vAlign w:val="center"/>
          </w:tcPr>
          <w:p w14:paraId="73CA45E9" w14:textId="77777777" w:rsidR="00CB5AFB" w:rsidRPr="00AA2617" w:rsidRDefault="00CB5AFB" w:rsidP="00AA2617">
            <w:pPr>
              <w:jc w:val="left"/>
              <w:rPr>
                <w:rFonts w:cs="Times New Roman"/>
                <w:szCs w:val="21"/>
                <w:lang w:val="en-GB"/>
              </w:rPr>
            </w:pPr>
            <w:r w:rsidRPr="00AA2617">
              <w:rPr>
                <w:rFonts w:cs="Times New Roman"/>
                <w:szCs w:val="21"/>
                <w:lang w:val="en-GB"/>
              </w:rPr>
              <w:t>GIS</w:t>
            </w:r>
          </w:p>
        </w:tc>
        <w:tc>
          <w:tcPr>
            <w:tcW w:w="7609" w:type="dxa"/>
            <w:vAlign w:val="center"/>
          </w:tcPr>
          <w:p w14:paraId="31E8E0B9" w14:textId="77777777" w:rsidR="00CB5AFB" w:rsidRPr="00AA2617" w:rsidRDefault="00C66792" w:rsidP="00AA2617">
            <w:pPr>
              <w:jc w:val="left"/>
              <w:rPr>
                <w:rFonts w:cs="Times New Roman"/>
                <w:szCs w:val="21"/>
                <w:lang w:val="en-GB"/>
              </w:rPr>
            </w:pPr>
            <w:r w:rsidRPr="00AA2617">
              <w:rPr>
                <w:rFonts w:cs="Times New Roman"/>
                <w:szCs w:val="21"/>
                <w:lang w:val="en-GB"/>
              </w:rPr>
              <w:t>Geographic information s</w:t>
            </w:r>
            <w:r w:rsidR="00CB5AFB" w:rsidRPr="00AA2617">
              <w:rPr>
                <w:rFonts w:cs="Times New Roman"/>
                <w:szCs w:val="21"/>
                <w:lang w:val="en-GB"/>
              </w:rPr>
              <w:t>ystem </w:t>
            </w:r>
          </w:p>
        </w:tc>
      </w:tr>
      <w:tr w:rsidR="00CB5AFB" w:rsidRPr="00AA2617" w14:paraId="4D542F72" w14:textId="77777777" w:rsidTr="005F7E40">
        <w:trPr>
          <w:cantSplit/>
        </w:trPr>
        <w:tc>
          <w:tcPr>
            <w:tcW w:w="1407" w:type="dxa"/>
            <w:vAlign w:val="center"/>
          </w:tcPr>
          <w:p w14:paraId="155B293B" w14:textId="77777777" w:rsidR="00CB5AFB" w:rsidRPr="00AA2617" w:rsidRDefault="005C5F67" w:rsidP="00AA2617">
            <w:pPr>
              <w:jc w:val="left"/>
              <w:rPr>
                <w:rFonts w:cs="Times New Roman"/>
                <w:szCs w:val="21"/>
                <w:lang w:val="en-GB"/>
              </w:rPr>
            </w:pPr>
            <w:r w:rsidRPr="00AA2617">
              <w:rPr>
                <w:rFonts w:cs="Times New Roman"/>
                <w:szCs w:val="21"/>
                <w:lang w:val="en-GB"/>
              </w:rPr>
              <w:t>GWP</w:t>
            </w:r>
          </w:p>
        </w:tc>
        <w:tc>
          <w:tcPr>
            <w:tcW w:w="7609" w:type="dxa"/>
            <w:vAlign w:val="center"/>
          </w:tcPr>
          <w:p w14:paraId="65496FD5" w14:textId="77777777" w:rsidR="00CB5AFB" w:rsidRPr="00AA2617" w:rsidRDefault="005C5F67" w:rsidP="00AA2617">
            <w:pPr>
              <w:jc w:val="left"/>
              <w:rPr>
                <w:rFonts w:cs="Times New Roman"/>
                <w:szCs w:val="21"/>
                <w:lang w:val="en-GB"/>
              </w:rPr>
            </w:pPr>
            <w:r w:rsidRPr="00AA2617">
              <w:rPr>
                <w:rFonts w:cs="Times New Roman"/>
                <w:szCs w:val="21"/>
                <w:lang w:val="en-GB"/>
              </w:rPr>
              <w:t>Global-warming potential</w:t>
            </w:r>
          </w:p>
        </w:tc>
      </w:tr>
      <w:tr w:rsidR="00322ECE" w:rsidRPr="00AA2617" w14:paraId="204E938E" w14:textId="77777777" w:rsidTr="005F7E40">
        <w:trPr>
          <w:cantSplit/>
        </w:trPr>
        <w:tc>
          <w:tcPr>
            <w:tcW w:w="1407" w:type="dxa"/>
            <w:vAlign w:val="center"/>
          </w:tcPr>
          <w:p w14:paraId="31AD05ED" w14:textId="77777777" w:rsidR="00322ECE" w:rsidRPr="00AA2617" w:rsidRDefault="00322ECE" w:rsidP="00AA2617">
            <w:pPr>
              <w:jc w:val="left"/>
              <w:rPr>
                <w:rFonts w:cs="Times New Roman"/>
                <w:szCs w:val="21"/>
                <w:lang w:val="en-GB"/>
              </w:rPr>
            </w:pPr>
            <w:r w:rsidRPr="00AA2617">
              <w:rPr>
                <w:rFonts w:cs="Times New Roman"/>
                <w:szCs w:val="21"/>
                <w:lang w:val="en-GB"/>
              </w:rPr>
              <w:t>ha</w:t>
            </w:r>
          </w:p>
        </w:tc>
        <w:tc>
          <w:tcPr>
            <w:tcW w:w="7609" w:type="dxa"/>
            <w:vAlign w:val="center"/>
          </w:tcPr>
          <w:p w14:paraId="55C922F2" w14:textId="77777777" w:rsidR="00322ECE" w:rsidRPr="00AA2617" w:rsidRDefault="00322ECE" w:rsidP="00AA2617">
            <w:pPr>
              <w:jc w:val="left"/>
              <w:rPr>
                <w:rFonts w:cs="Times New Roman"/>
                <w:szCs w:val="21"/>
                <w:lang w:val="en-GB"/>
              </w:rPr>
            </w:pPr>
            <w:r w:rsidRPr="00AA2617">
              <w:rPr>
                <w:rFonts w:cs="Times New Roman"/>
                <w:szCs w:val="21"/>
                <w:lang w:val="en-GB"/>
              </w:rPr>
              <w:t>Hectare (</w:t>
            </w:r>
            <w:r w:rsidR="00A03FEA" w:rsidRPr="00AA2617">
              <w:rPr>
                <w:rFonts w:cs="Times New Roman"/>
                <w:szCs w:val="21"/>
                <w:lang w:val="en-GB"/>
              </w:rPr>
              <w:t xml:space="preserve">10,000 square meters; </w:t>
            </w:r>
            <w:r w:rsidRPr="00AA2617">
              <w:rPr>
                <w:rFonts w:cs="Times New Roman"/>
                <w:szCs w:val="21"/>
                <w:lang w:val="en-GB"/>
              </w:rPr>
              <w:t>0.01 square kilometer)</w:t>
            </w:r>
          </w:p>
        </w:tc>
      </w:tr>
      <w:tr w:rsidR="00CB5AFB" w:rsidRPr="00AA2617" w14:paraId="581E6CBF" w14:textId="77777777" w:rsidTr="005F7E40">
        <w:trPr>
          <w:cantSplit/>
        </w:trPr>
        <w:tc>
          <w:tcPr>
            <w:tcW w:w="1407" w:type="dxa"/>
            <w:vAlign w:val="center"/>
          </w:tcPr>
          <w:p w14:paraId="4BAB0BE3" w14:textId="77777777" w:rsidR="00CB5AFB" w:rsidRPr="00AA2617" w:rsidRDefault="00CB5AFB" w:rsidP="00AA2617">
            <w:pPr>
              <w:jc w:val="left"/>
              <w:rPr>
                <w:rFonts w:cs="Times New Roman"/>
                <w:szCs w:val="21"/>
                <w:lang w:val="en-GB"/>
              </w:rPr>
            </w:pPr>
            <w:r w:rsidRPr="00AA2617">
              <w:rPr>
                <w:rFonts w:cs="Times New Roman"/>
                <w:szCs w:val="21"/>
                <w:lang w:val="en-GB"/>
              </w:rPr>
              <w:t>INDC</w:t>
            </w:r>
          </w:p>
        </w:tc>
        <w:tc>
          <w:tcPr>
            <w:tcW w:w="7609" w:type="dxa"/>
            <w:vAlign w:val="center"/>
          </w:tcPr>
          <w:p w14:paraId="7BF3EED5" w14:textId="77777777" w:rsidR="00CB5AFB" w:rsidRPr="00AA2617" w:rsidRDefault="00CB5AFB" w:rsidP="00AA2617">
            <w:pPr>
              <w:jc w:val="left"/>
              <w:rPr>
                <w:rFonts w:cs="Times New Roman"/>
                <w:szCs w:val="21"/>
                <w:lang w:val="en-GB"/>
              </w:rPr>
            </w:pPr>
            <w:r w:rsidRPr="00AA2617">
              <w:rPr>
                <w:rFonts w:cs="Times New Roman"/>
                <w:szCs w:val="21"/>
                <w:lang w:val="en-GB"/>
              </w:rPr>
              <w:t>Intended Nationally Determined Contribution</w:t>
            </w:r>
          </w:p>
        </w:tc>
      </w:tr>
      <w:tr w:rsidR="0012202E" w:rsidRPr="00AA2617" w14:paraId="203B39BA" w14:textId="77777777" w:rsidTr="005F7E40">
        <w:trPr>
          <w:cantSplit/>
        </w:trPr>
        <w:tc>
          <w:tcPr>
            <w:tcW w:w="1407" w:type="dxa"/>
            <w:vAlign w:val="center"/>
          </w:tcPr>
          <w:p w14:paraId="223EAF89" w14:textId="77777777" w:rsidR="0012202E" w:rsidRPr="00AA2617" w:rsidRDefault="0012202E" w:rsidP="00AA2617">
            <w:pPr>
              <w:jc w:val="left"/>
              <w:rPr>
                <w:rFonts w:cs="Times New Roman"/>
                <w:szCs w:val="21"/>
                <w:lang w:val="en-GB"/>
              </w:rPr>
            </w:pPr>
            <w:r w:rsidRPr="00AA2617">
              <w:rPr>
                <w:rFonts w:cs="Times New Roman"/>
                <w:szCs w:val="21"/>
                <w:lang w:val="en-GB"/>
              </w:rPr>
              <w:lastRenderedPageBreak/>
              <w:t>IPCC</w:t>
            </w:r>
          </w:p>
        </w:tc>
        <w:tc>
          <w:tcPr>
            <w:tcW w:w="7609" w:type="dxa"/>
            <w:vAlign w:val="center"/>
          </w:tcPr>
          <w:p w14:paraId="59E0CD92" w14:textId="77777777" w:rsidR="0012202E" w:rsidRPr="00AA2617" w:rsidRDefault="0012202E" w:rsidP="00AA2617">
            <w:pPr>
              <w:jc w:val="left"/>
              <w:rPr>
                <w:rFonts w:cs="Times New Roman"/>
                <w:szCs w:val="21"/>
                <w:lang w:val="en-GB"/>
              </w:rPr>
            </w:pPr>
            <w:r w:rsidRPr="00AA2617">
              <w:rPr>
                <w:rFonts w:cs="Times New Roman"/>
                <w:szCs w:val="21"/>
                <w:lang w:val="en-GB"/>
              </w:rPr>
              <w:t>Intergovernmental Panel on Climate Change</w:t>
            </w:r>
          </w:p>
        </w:tc>
      </w:tr>
      <w:tr w:rsidR="00CB5AFB" w:rsidRPr="00AA2617" w14:paraId="3846A293" w14:textId="77777777" w:rsidTr="005F7E40">
        <w:trPr>
          <w:cantSplit/>
        </w:trPr>
        <w:tc>
          <w:tcPr>
            <w:tcW w:w="1407" w:type="dxa"/>
            <w:vAlign w:val="center"/>
          </w:tcPr>
          <w:p w14:paraId="45EFDD9C" w14:textId="77777777" w:rsidR="00466BB5" w:rsidRPr="00AA2617" w:rsidRDefault="00466BB5" w:rsidP="00AA2617">
            <w:pPr>
              <w:jc w:val="left"/>
              <w:rPr>
                <w:rFonts w:cs="Times New Roman"/>
                <w:szCs w:val="21"/>
                <w:lang w:val="en-GB"/>
              </w:rPr>
            </w:pPr>
            <w:r w:rsidRPr="00AA2617">
              <w:rPr>
                <w:rFonts w:cs="Times New Roman"/>
                <w:szCs w:val="21"/>
                <w:lang w:val="en-GB"/>
              </w:rPr>
              <w:t>km</w:t>
            </w:r>
          </w:p>
        </w:tc>
        <w:tc>
          <w:tcPr>
            <w:tcW w:w="7609" w:type="dxa"/>
            <w:vAlign w:val="center"/>
          </w:tcPr>
          <w:p w14:paraId="1E15756D" w14:textId="77777777" w:rsidR="00CB5AFB" w:rsidRPr="00AA2617" w:rsidRDefault="00466BB5" w:rsidP="00AA2617">
            <w:pPr>
              <w:jc w:val="left"/>
              <w:rPr>
                <w:rFonts w:cs="Times New Roman"/>
                <w:szCs w:val="21"/>
                <w:lang w:val="en-GB"/>
              </w:rPr>
            </w:pPr>
            <w:r w:rsidRPr="00AA2617">
              <w:rPr>
                <w:rFonts w:cs="Times New Roman"/>
                <w:szCs w:val="21"/>
                <w:lang w:val="en-GB"/>
              </w:rPr>
              <w:t>Kilometer (1,000 meters)</w:t>
            </w:r>
          </w:p>
        </w:tc>
      </w:tr>
      <w:tr w:rsidR="00CB5AFB" w:rsidRPr="00AA2617" w14:paraId="73903846" w14:textId="77777777" w:rsidTr="005F7E40">
        <w:trPr>
          <w:cantSplit/>
        </w:trPr>
        <w:tc>
          <w:tcPr>
            <w:tcW w:w="1407" w:type="dxa"/>
            <w:vAlign w:val="center"/>
          </w:tcPr>
          <w:p w14:paraId="08D7C24A" w14:textId="77777777" w:rsidR="00CB5AFB" w:rsidRPr="00AA2617" w:rsidRDefault="00466BB5" w:rsidP="00AA2617">
            <w:pPr>
              <w:jc w:val="left"/>
              <w:rPr>
                <w:rFonts w:cs="Times New Roman"/>
                <w:szCs w:val="21"/>
                <w:lang w:val="en-GB"/>
              </w:rPr>
            </w:pPr>
            <w:r w:rsidRPr="00AA2617">
              <w:rPr>
                <w:rFonts w:cs="Times New Roman"/>
                <w:szCs w:val="21"/>
                <w:lang w:val="en-GB"/>
              </w:rPr>
              <w:t>km</w:t>
            </w:r>
            <w:r w:rsidRPr="00AA2617">
              <w:rPr>
                <w:rFonts w:cs="Times New Roman"/>
                <w:szCs w:val="21"/>
                <w:vertAlign w:val="superscript"/>
                <w:lang w:val="en-GB"/>
              </w:rPr>
              <w:t>2</w:t>
            </w:r>
          </w:p>
        </w:tc>
        <w:tc>
          <w:tcPr>
            <w:tcW w:w="7609" w:type="dxa"/>
            <w:vAlign w:val="center"/>
          </w:tcPr>
          <w:p w14:paraId="58453F0A" w14:textId="77777777" w:rsidR="00CB5AFB" w:rsidRPr="00AA2617" w:rsidRDefault="00466BB5" w:rsidP="00AA2617">
            <w:pPr>
              <w:jc w:val="left"/>
              <w:rPr>
                <w:rFonts w:cs="Times New Roman"/>
                <w:szCs w:val="21"/>
                <w:lang w:val="en-GB"/>
              </w:rPr>
            </w:pPr>
            <w:r w:rsidRPr="00AA2617">
              <w:rPr>
                <w:rFonts w:cs="Times New Roman"/>
                <w:szCs w:val="21"/>
                <w:lang w:val="en-GB"/>
              </w:rPr>
              <w:t>Square kilometer (100 hectares)</w:t>
            </w:r>
          </w:p>
        </w:tc>
      </w:tr>
      <w:tr w:rsidR="00CB5AFB" w:rsidRPr="00AA2617" w14:paraId="5D861322" w14:textId="77777777" w:rsidTr="005F7E40">
        <w:trPr>
          <w:cantSplit/>
        </w:trPr>
        <w:tc>
          <w:tcPr>
            <w:tcW w:w="1407" w:type="dxa"/>
            <w:vAlign w:val="center"/>
          </w:tcPr>
          <w:p w14:paraId="20EE03D2" w14:textId="77777777" w:rsidR="00CB5AFB" w:rsidRPr="00AA2617" w:rsidRDefault="00C66792" w:rsidP="00AA2617">
            <w:pPr>
              <w:jc w:val="left"/>
              <w:rPr>
                <w:rFonts w:cs="Times New Roman"/>
                <w:szCs w:val="21"/>
                <w:lang w:val="en-GB"/>
              </w:rPr>
            </w:pPr>
            <w:r w:rsidRPr="00AA2617">
              <w:rPr>
                <w:rFonts w:cs="Times New Roman"/>
                <w:szCs w:val="21"/>
                <w:lang w:val="en-GB"/>
              </w:rPr>
              <w:t>LoA</w:t>
            </w:r>
          </w:p>
        </w:tc>
        <w:tc>
          <w:tcPr>
            <w:tcW w:w="7609" w:type="dxa"/>
            <w:vAlign w:val="center"/>
          </w:tcPr>
          <w:p w14:paraId="6615630F" w14:textId="77777777" w:rsidR="00CB5AFB" w:rsidRPr="00AA2617" w:rsidRDefault="00C66792" w:rsidP="00AA2617">
            <w:pPr>
              <w:jc w:val="left"/>
              <w:rPr>
                <w:rFonts w:cs="Times New Roman"/>
                <w:szCs w:val="21"/>
                <w:lang w:val="en-GB"/>
              </w:rPr>
            </w:pPr>
            <w:r w:rsidRPr="00AA2617">
              <w:rPr>
                <w:rFonts w:cs="Times New Roman"/>
                <w:szCs w:val="21"/>
                <w:lang w:val="en-GB"/>
              </w:rPr>
              <w:t>Letter of a</w:t>
            </w:r>
            <w:r w:rsidR="00CB5AFB" w:rsidRPr="00AA2617">
              <w:rPr>
                <w:rFonts w:cs="Times New Roman"/>
                <w:szCs w:val="21"/>
                <w:lang w:val="en-GB"/>
              </w:rPr>
              <w:t>greement</w:t>
            </w:r>
          </w:p>
        </w:tc>
      </w:tr>
      <w:tr w:rsidR="0075746C" w:rsidRPr="00AA2617" w14:paraId="71F9958B" w14:textId="77777777" w:rsidTr="005F7E40">
        <w:trPr>
          <w:cantSplit/>
        </w:trPr>
        <w:tc>
          <w:tcPr>
            <w:tcW w:w="1407" w:type="dxa"/>
            <w:vAlign w:val="center"/>
          </w:tcPr>
          <w:p w14:paraId="05783902" w14:textId="77777777" w:rsidR="0075746C" w:rsidRPr="00AA2617" w:rsidRDefault="0075746C" w:rsidP="00AA2617">
            <w:pPr>
              <w:jc w:val="left"/>
              <w:rPr>
                <w:rFonts w:cs="Times New Roman"/>
                <w:szCs w:val="21"/>
                <w:lang w:val="en-GB"/>
              </w:rPr>
            </w:pPr>
            <w:r w:rsidRPr="00AA2617">
              <w:rPr>
                <w:rFonts w:cs="Times New Roman"/>
                <w:szCs w:val="21"/>
                <w:lang w:val="en-GB"/>
              </w:rPr>
              <w:t>M-</w:t>
            </w:r>
          </w:p>
        </w:tc>
        <w:tc>
          <w:tcPr>
            <w:tcW w:w="7609" w:type="dxa"/>
            <w:vAlign w:val="center"/>
          </w:tcPr>
          <w:p w14:paraId="702FB9D8" w14:textId="77777777" w:rsidR="0075746C" w:rsidRPr="00AA2617" w:rsidRDefault="0075746C" w:rsidP="00AA2617">
            <w:pPr>
              <w:jc w:val="left"/>
              <w:rPr>
                <w:rFonts w:cs="Times New Roman"/>
                <w:szCs w:val="21"/>
                <w:lang w:val="en-GB"/>
              </w:rPr>
            </w:pPr>
            <w:r w:rsidRPr="00AA2617">
              <w:rPr>
                <w:rFonts w:cs="Times New Roman"/>
                <w:szCs w:val="21"/>
                <w:lang w:val="en-GB"/>
              </w:rPr>
              <w:t>(prefix) mega-, million, 10</w:t>
            </w:r>
            <w:r w:rsidRPr="00AA2617">
              <w:rPr>
                <w:rFonts w:cs="Times New Roman"/>
                <w:szCs w:val="21"/>
                <w:vertAlign w:val="superscript"/>
                <w:lang w:val="en-GB"/>
              </w:rPr>
              <w:t>6</w:t>
            </w:r>
          </w:p>
        </w:tc>
      </w:tr>
      <w:tr w:rsidR="00CB5AFB" w:rsidRPr="00AA2617" w14:paraId="24A632E7" w14:textId="77777777" w:rsidTr="005F7E40">
        <w:trPr>
          <w:cantSplit/>
        </w:trPr>
        <w:tc>
          <w:tcPr>
            <w:tcW w:w="1407" w:type="dxa"/>
            <w:vAlign w:val="center"/>
          </w:tcPr>
          <w:p w14:paraId="0EEADBED" w14:textId="77777777" w:rsidR="00CB5AFB" w:rsidRPr="00AA2617" w:rsidRDefault="00CB5AFB" w:rsidP="00AA2617">
            <w:pPr>
              <w:jc w:val="left"/>
              <w:rPr>
                <w:rFonts w:cs="Times New Roman"/>
                <w:szCs w:val="21"/>
                <w:lang w:val="en-GB"/>
              </w:rPr>
            </w:pPr>
            <w:r w:rsidRPr="00AA2617">
              <w:rPr>
                <w:rFonts w:cs="Times New Roman"/>
                <w:szCs w:val="21"/>
                <w:lang w:val="en-GB"/>
              </w:rPr>
              <w:t>M&amp;E</w:t>
            </w:r>
          </w:p>
        </w:tc>
        <w:tc>
          <w:tcPr>
            <w:tcW w:w="7609" w:type="dxa"/>
            <w:vAlign w:val="center"/>
          </w:tcPr>
          <w:p w14:paraId="6303D243" w14:textId="77777777" w:rsidR="00CB5AFB" w:rsidRPr="00AA2617" w:rsidRDefault="00CB5AFB" w:rsidP="00AA2617">
            <w:pPr>
              <w:jc w:val="left"/>
              <w:rPr>
                <w:rFonts w:cs="Times New Roman"/>
                <w:szCs w:val="21"/>
                <w:lang w:val="en-GB"/>
              </w:rPr>
            </w:pPr>
            <w:r w:rsidRPr="00AA2617">
              <w:rPr>
                <w:rFonts w:cs="Times New Roman"/>
                <w:szCs w:val="21"/>
                <w:lang w:val="en-GB"/>
              </w:rPr>
              <w:t>Monitoring and evaluation </w:t>
            </w:r>
          </w:p>
        </w:tc>
      </w:tr>
      <w:tr w:rsidR="00E96589" w:rsidRPr="00AA2617" w14:paraId="6931CF45" w14:textId="77777777" w:rsidTr="005F7E40">
        <w:trPr>
          <w:cantSplit/>
        </w:trPr>
        <w:tc>
          <w:tcPr>
            <w:tcW w:w="1407" w:type="dxa"/>
            <w:vAlign w:val="center"/>
          </w:tcPr>
          <w:p w14:paraId="16FB843D" w14:textId="77777777" w:rsidR="00E96589" w:rsidRPr="00AA2617" w:rsidRDefault="00E96589" w:rsidP="00AA2617">
            <w:pPr>
              <w:jc w:val="left"/>
              <w:rPr>
                <w:rFonts w:cs="Times New Roman"/>
                <w:szCs w:val="21"/>
                <w:lang w:val="en-GB"/>
              </w:rPr>
            </w:pPr>
            <w:r w:rsidRPr="00AA2617">
              <w:rPr>
                <w:rFonts w:cs="Times New Roman"/>
                <w:szCs w:val="21"/>
                <w:lang w:val="en-GB"/>
              </w:rPr>
              <w:t>M&amp;R</w:t>
            </w:r>
          </w:p>
        </w:tc>
        <w:tc>
          <w:tcPr>
            <w:tcW w:w="7609" w:type="dxa"/>
            <w:vAlign w:val="center"/>
          </w:tcPr>
          <w:p w14:paraId="4A0CD41A" w14:textId="77777777" w:rsidR="00E96589" w:rsidRPr="00AA2617" w:rsidRDefault="00E96589" w:rsidP="00AA2617">
            <w:pPr>
              <w:jc w:val="left"/>
              <w:rPr>
                <w:rFonts w:cs="Times New Roman"/>
                <w:szCs w:val="21"/>
                <w:lang w:val="en-GB"/>
              </w:rPr>
            </w:pPr>
            <w:r w:rsidRPr="00AA2617">
              <w:rPr>
                <w:rFonts w:cs="Times New Roman"/>
                <w:szCs w:val="21"/>
                <w:lang w:val="en-GB"/>
              </w:rPr>
              <w:t>Measurement and reporting</w:t>
            </w:r>
          </w:p>
        </w:tc>
      </w:tr>
      <w:tr w:rsidR="00F9030A" w:rsidRPr="00AA2617" w14:paraId="35943478" w14:textId="77777777" w:rsidTr="005F7E40">
        <w:trPr>
          <w:cantSplit/>
        </w:trPr>
        <w:tc>
          <w:tcPr>
            <w:tcW w:w="1407" w:type="dxa"/>
            <w:vAlign w:val="center"/>
          </w:tcPr>
          <w:p w14:paraId="36E98480" w14:textId="77777777" w:rsidR="00F9030A" w:rsidRPr="00AA2617" w:rsidRDefault="00F9030A" w:rsidP="00AA2617">
            <w:pPr>
              <w:jc w:val="left"/>
              <w:rPr>
                <w:rFonts w:cs="Times New Roman"/>
                <w:szCs w:val="21"/>
                <w:lang w:val="en-GB"/>
              </w:rPr>
            </w:pPr>
            <w:r w:rsidRPr="00AA2617">
              <w:rPr>
                <w:rFonts w:cs="Times New Roman"/>
                <w:szCs w:val="21"/>
                <w:lang w:val="en-GB"/>
              </w:rPr>
              <w:t>MCC</w:t>
            </w:r>
          </w:p>
        </w:tc>
        <w:tc>
          <w:tcPr>
            <w:tcW w:w="7609" w:type="dxa"/>
            <w:vAlign w:val="center"/>
          </w:tcPr>
          <w:p w14:paraId="378CF4B2" w14:textId="77777777" w:rsidR="00F9030A" w:rsidRPr="00AA2617" w:rsidRDefault="00F9030A" w:rsidP="00AA2617">
            <w:pPr>
              <w:jc w:val="left"/>
              <w:rPr>
                <w:rFonts w:cs="Times New Roman"/>
                <w:szCs w:val="21"/>
                <w:lang w:val="en-GB"/>
              </w:rPr>
            </w:pPr>
            <w:r w:rsidRPr="00AA2617">
              <w:rPr>
                <w:rFonts w:cs="Times New Roman"/>
                <w:szCs w:val="21"/>
                <w:lang w:val="en-GB"/>
              </w:rPr>
              <w:t>Millennium Challenge Corporation</w:t>
            </w:r>
          </w:p>
        </w:tc>
      </w:tr>
      <w:tr w:rsidR="00A03FEA" w:rsidRPr="00AA2617" w14:paraId="6E3F8316" w14:textId="77777777" w:rsidTr="005F7E40">
        <w:trPr>
          <w:cantSplit/>
        </w:trPr>
        <w:tc>
          <w:tcPr>
            <w:tcW w:w="1407" w:type="dxa"/>
            <w:vAlign w:val="center"/>
          </w:tcPr>
          <w:p w14:paraId="11ADB757" w14:textId="77777777" w:rsidR="00A03FEA" w:rsidRPr="00AA2617" w:rsidRDefault="00A03FEA" w:rsidP="00AA2617">
            <w:pPr>
              <w:jc w:val="left"/>
              <w:rPr>
                <w:rFonts w:cs="Times New Roman"/>
                <w:szCs w:val="21"/>
                <w:lang w:val="en-GB"/>
              </w:rPr>
            </w:pPr>
            <w:r w:rsidRPr="00AA2617">
              <w:rPr>
                <w:rFonts w:cs="Times New Roman"/>
                <w:szCs w:val="21"/>
                <w:lang w:val="en-GB"/>
              </w:rPr>
              <w:t>MEA</w:t>
            </w:r>
          </w:p>
        </w:tc>
        <w:tc>
          <w:tcPr>
            <w:tcW w:w="7609" w:type="dxa"/>
            <w:vAlign w:val="center"/>
          </w:tcPr>
          <w:p w14:paraId="505F2C9E" w14:textId="77777777" w:rsidR="00A03FEA" w:rsidRPr="00AA2617" w:rsidRDefault="00A03FEA" w:rsidP="00AA2617">
            <w:pPr>
              <w:jc w:val="left"/>
              <w:rPr>
                <w:rFonts w:cs="Times New Roman"/>
                <w:szCs w:val="21"/>
                <w:lang w:val="en-GB"/>
              </w:rPr>
            </w:pPr>
            <w:r w:rsidRPr="00AA2617">
              <w:rPr>
                <w:rFonts w:cs="Times New Roman"/>
                <w:szCs w:val="21"/>
                <w:lang w:val="en-GB"/>
              </w:rPr>
              <w:t>Multi-lateral environmental agreement</w:t>
            </w:r>
          </w:p>
        </w:tc>
      </w:tr>
      <w:tr w:rsidR="00A03FEA" w:rsidRPr="00AA2617" w14:paraId="5F2FE8E4" w14:textId="77777777" w:rsidTr="005F7E40">
        <w:trPr>
          <w:cantSplit/>
        </w:trPr>
        <w:tc>
          <w:tcPr>
            <w:tcW w:w="1407" w:type="dxa"/>
            <w:vAlign w:val="center"/>
          </w:tcPr>
          <w:p w14:paraId="60DA4FC2" w14:textId="77777777" w:rsidR="00A03FEA" w:rsidRPr="00AA2617" w:rsidRDefault="00A03FEA" w:rsidP="00AA2617">
            <w:pPr>
              <w:jc w:val="left"/>
              <w:rPr>
                <w:rFonts w:cs="Times New Roman"/>
                <w:szCs w:val="21"/>
                <w:lang w:val="en-GB"/>
              </w:rPr>
            </w:pPr>
            <w:r w:rsidRPr="00AA2617">
              <w:rPr>
                <w:rFonts w:cs="Times New Roman"/>
                <w:szCs w:val="21"/>
                <w:lang w:val="en-GB"/>
              </w:rPr>
              <w:t>Mha</w:t>
            </w:r>
          </w:p>
        </w:tc>
        <w:tc>
          <w:tcPr>
            <w:tcW w:w="7609" w:type="dxa"/>
            <w:vAlign w:val="center"/>
          </w:tcPr>
          <w:p w14:paraId="3232BAAA" w14:textId="77777777" w:rsidR="00A03FEA" w:rsidRPr="00AA2617" w:rsidRDefault="00A03FEA" w:rsidP="00AA2617">
            <w:pPr>
              <w:jc w:val="left"/>
              <w:rPr>
                <w:rFonts w:cs="Times New Roman"/>
                <w:szCs w:val="21"/>
                <w:lang w:val="en-GB"/>
              </w:rPr>
            </w:pPr>
            <w:r w:rsidRPr="00AA2617">
              <w:rPr>
                <w:rFonts w:cs="Times New Roman"/>
                <w:szCs w:val="21"/>
                <w:lang w:val="en-GB"/>
              </w:rPr>
              <w:t>Million hectares</w:t>
            </w:r>
            <w:r w:rsidR="00F02FA1" w:rsidRPr="00AA2617">
              <w:rPr>
                <w:rFonts w:cs="Times New Roman"/>
                <w:szCs w:val="21"/>
                <w:lang w:val="en-GB"/>
              </w:rPr>
              <w:t xml:space="preserve"> (10,000 km</w:t>
            </w:r>
            <w:r w:rsidR="00F02FA1" w:rsidRPr="00AA2617">
              <w:rPr>
                <w:rFonts w:cs="Times New Roman"/>
                <w:szCs w:val="21"/>
                <w:vertAlign w:val="superscript"/>
                <w:lang w:val="en-GB"/>
              </w:rPr>
              <w:t>2</w:t>
            </w:r>
            <w:r w:rsidR="00F02FA1" w:rsidRPr="00AA2617">
              <w:rPr>
                <w:rFonts w:cs="Times New Roman"/>
                <w:szCs w:val="21"/>
                <w:lang w:val="en-GB"/>
              </w:rPr>
              <w:t>)</w:t>
            </w:r>
          </w:p>
        </w:tc>
      </w:tr>
      <w:tr w:rsidR="001C0941" w:rsidRPr="00AA2617" w14:paraId="2968C136" w14:textId="77777777" w:rsidTr="005F7E40">
        <w:trPr>
          <w:cantSplit/>
        </w:trPr>
        <w:tc>
          <w:tcPr>
            <w:tcW w:w="1407" w:type="dxa"/>
            <w:vAlign w:val="center"/>
          </w:tcPr>
          <w:p w14:paraId="0DFA3574" w14:textId="5363E0AF" w:rsidR="001C0941" w:rsidRPr="00AA2617" w:rsidRDefault="001C0941" w:rsidP="00AA2617">
            <w:pPr>
              <w:jc w:val="left"/>
              <w:rPr>
                <w:rFonts w:cs="Times New Roman"/>
                <w:szCs w:val="21"/>
                <w:lang w:val="en-GB"/>
              </w:rPr>
            </w:pPr>
            <w:r w:rsidRPr="00AA2617">
              <w:rPr>
                <w:rFonts w:cs="Times New Roman"/>
                <w:szCs w:val="21"/>
                <w:lang w:val="en-GB"/>
              </w:rPr>
              <w:t>MMDE</w:t>
            </w:r>
          </w:p>
        </w:tc>
        <w:tc>
          <w:tcPr>
            <w:tcW w:w="7609" w:type="dxa"/>
            <w:vAlign w:val="center"/>
          </w:tcPr>
          <w:p w14:paraId="52E15438" w14:textId="0833D828" w:rsidR="001C0941" w:rsidRPr="00AA2617" w:rsidRDefault="001C0941" w:rsidP="00AA2617">
            <w:pPr>
              <w:jc w:val="left"/>
              <w:rPr>
                <w:rFonts w:cs="Times New Roman"/>
                <w:szCs w:val="21"/>
                <w:lang w:val="en-GB"/>
              </w:rPr>
            </w:pPr>
            <w:r w:rsidRPr="00AA2617">
              <w:rPr>
                <w:rFonts w:cs="Times New Roman"/>
                <w:szCs w:val="21"/>
                <w:lang w:val="en-GB"/>
              </w:rPr>
              <w:t>Ministry of Mahaweli Development and Environment</w:t>
            </w:r>
          </w:p>
        </w:tc>
      </w:tr>
      <w:tr w:rsidR="00CB5AFB" w:rsidRPr="00AA2617" w14:paraId="3067ACF0" w14:textId="77777777" w:rsidTr="005F7E40">
        <w:trPr>
          <w:cantSplit/>
        </w:trPr>
        <w:tc>
          <w:tcPr>
            <w:tcW w:w="1407" w:type="dxa"/>
            <w:vAlign w:val="center"/>
          </w:tcPr>
          <w:p w14:paraId="0B54FA4C" w14:textId="77777777" w:rsidR="00CB5AFB" w:rsidRPr="00AA2617" w:rsidRDefault="00CB5AFB" w:rsidP="00AA2617">
            <w:pPr>
              <w:jc w:val="left"/>
              <w:rPr>
                <w:rFonts w:cs="Times New Roman"/>
                <w:szCs w:val="21"/>
                <w:lang w:val="en-GB"/>
              </w:rPr>
            </w:pPr>
            <w:r w:rsidRPr="00AA2617">
              <w:rPr>
                <w:rFonts w:cs="Times New Roman"/>
                <w:szCs w:val="21"/>
                <w:lang w:val="en-GB"/>
              </w:rPr>
              <w:t>MoU</w:t>
            </w:r>
          </w:p>
        </w:tc>
        <w:tc>
          <w:tcPr>
            <w:tcW w:w="7609" w:type="dxa"/>
            <w:vAlign w:val="center"/>
          </w:tcPr>
          <w:p w14:paraId="5612F5AC" w14:textId="77777777" w:rsidR="00CB5AFB" w:rsidRPr="00AA2617" w:rsidRDefault="00C66792" w:rsidP="00AA2617">
            <w:pPr>
              <w:jc w:val="left"/>
              <w:rPr>
                <w:rFonts w:cs="Times New Roman"/>
                <w:szCs w:val="21"/>
                <w:lang w:val="en-GB"/>
              </w:rPr>
            </w:pPr>
            <w:r w:rsidRPr="00AA2617">
              <w:rPr>
                <w:rFonts w:cs="Times New Roman"/>
                <w:szCs w:val="21"/>
                <w:lang w:val="en-GB"/>
              </w:rPr>
              <w:t>Memorandum of u</w:t>
            </w:r>
            <w:r w:rsidR="00CB5AFB" w:rsidRPr="00AA2617">
              <w:rPr>
                <w:rFonts w:cs="Times New Roman"/>
                <w:szCs w:val="21"/>
                <w:lang w:val="en-GB"/>
              </w:rPr>
              <w:t>nderstanding </w:t>
            </w:r>
          </w:p>
        </w:tc>
      </w:tr>
      <w:tr w:rsidR="00C66792" w:rsidRPr="00AA2617" w14:paraId="18D9C9A7" w14:textId="77777777" w:rsidTr="005F7E40">
        <w:trPr>
          <w:cantSplit/>
        </w:trPr>
        <w:tc>
          <w:tcPr>
            <w:tcW w:w="1407" w:type="dxa"/>
            <w:vAlign w:val="center"/>
          </w:tcPr>
          <w:p w14:paraId="14624AC8" w14:textId="77777777" w:rsidR="00C66792" w:rsidRPr="00AA2617" w:rsidRDefault="00C66792" w:rsidP="00AA2617">
            <w:pPr>
              <w:jc w:val="left"/>
              <w:rPr>
                <w:rFonts w:cs="Times New Roman"/>
                <w:szCs w:val="21"/>
                <w:lang w:val="en-GB"/>
              </w:rPr>
            </w:pPr>
            <w:r w:rsidRPr="00AA2617">
              <w:rPr>
                <w:rFonts w:cs="Times New Roman"/>
                <w:szCs w:val="21"/>
                <w:lang w:val="en-GB"/>
              </w:rPr>
              <w:t>MPGs</w:t>
            </w:r>
          </w:p>
        </w:tc>
        <w:tc>
          <w:tcPr>
            <w:tcW w:w="7609" w:type="dxa"/>
            <w:vAlign w:val="center"/>
          </w:tcPr>
          <w:p w14:paraId="19DB9B19" w14:textId="77777777" w:rsidR="00C66792" w:rsidRPr="00AA2617" w:rsidRDefault="00C66792" w:rsidP="00AA2617">
            <w:pPr>
              <w:jc w:val="left"/>
              <w:rPr>
                <w:rFonts w:cs="Times New Roman"/>
                <w:szCs w:val="21"/>
                <w:lang w:val="en-GB"/>
              </w:rPr>
            </w:pPr>
            <w:r w:rsidRPr="00AA2617">
              <w:rPr>
                <w:rFonts w:cs="Times New Roman"/>
                <w:szCs w:val="21"/>
                <w:lang w:val="en-GB"/>
              </w:rPr>
              <w:t>Modalities, procedures, and guidelines (under the ETF)</w:t>
            </w:r>
          </w:p>
        </w:tc>
      </w:tr>
      <w:tr w:rsidR="00E96589" w:rsidRPr="00AA2617" w14:paraId="12B4915F" w14:textId="77777777" w:rsidTr="005F7E40">
        <w:trPr>
          <w:cantSplit/>
        </w:trPr>
        <w:tc>
          <w:tcPr>
            <w:tcW w:w="1407" w:type="dxa"/>
            <w:vAlign w:val="center"/>
          </w:tcPr>
          <w:p w14:paraId="7619CEA7" w14:textId="77777777" w:rsidR="00E96589" w:rsidRPr="00AA2617" w:rsidRDefault="00E96589" w:rsidP="00AA2617">
            <w:pPr>
              <w:jc w:val="left"/>
              <w:rPr>
                <w:rFonts w:cs="Times New Roman"/>
                <w:szCs w:val="21"/>
                <w:lang w:val="en-GB"/>
              </w:rPr>
            </w:pPr>
            <w:r w:rsidRPr="00AA2617">
              <w:rPr>
                <w:rFonts w:cs="Times New Roman"/>
                <w:szCs w:val="21"/>
                <w:lang w:val="en-GB"/>
              </w:rPr>
              <w:t>MR(V)</w:t>
            </w:r>
          </w:p>
        </w:tc>
        <w:tc>
          <w:tcPr>
            <w:tcW w:w="7609" w:type="dxa"/>
            <w:vAlign w:val="center"/>
          </w:tcPr>
          <w:p w14:paraId="5719C557" w14:textId="77777777" w:rsidR="00E96589" w:rsidRPr="00AA2617" w:rsidRDefault="00E96589" w:rsidP="00AA2617">
            <w:pPr>
              <w:jc w:val="left"/>
              <w:rPr>
                <w:rFonts w:cs="Times New Roman"/>
                <w:szCs w:val="21"/>
                <w:lang w:val="en-GB"/>
              </w:rPr>
            </w:pPr>
            <w:r w:rsidRPr="00AA2617">
              <w:rPr>
                <w:rFonts w:cs="Times New Roman"/>
                <w:szCs w:val="21"/>
                <w:lang w:val="en-GB"/>
              </w:rPr>
              <w:t>Measurement and reporting, plus verification in the case of climate-change mitigation</w:t>
            </w:r>
          </w:p>
        </w:tc>
      </w:tr>
      <w:tr w:rsidR="00CB5AFB" w:rsidRPr="00AA2617" w14:paraId="79B38017" w14:textId="77777777" w:rsidTr="005F7E40">
        <w:trPr>
          <w:cantSplit/>
        </w:trPr>
        <w:tc>
          <w:tcPr>
            <w:tcW w:w="1407" w:type="dxa"/>
            <w:vAlign w:val="center"/>
          </w:tcPr>
          <w:p w14:paraId="3439992B" w14:textId="77777777" w:rsidR="00CB5AFB" w:rsidRPr="00AA2617" w:rsidRDefault="00CB5AFB" w:rsidP="00AA2617">
            <w:pPr>
              <w:jc w:val="left"/>
              <w:rPr>
                <w:rFonts w:cs="Times New Roman"/>
                <w:szCs w:val="21"/>
                <w:lang w:val="en-GB"/>
              </w:rPr>
            </w:pPr>
            <w:r w:rsidRPr="00AA2617">
              <w:rPr>
                <w:rFonts w:cs="Times New Roman"/>
                <w:szCs w:val="21"/>
                <w:lang w:val="en-GB"/>
              </w:rPr>
              <w:t>MRV</w:t>
            </w:r>
          </w:p>
        </w:tc>
        <w:tc>
          <w:tcPr>
            <w:tcW w:w="7609" w:type="dxa"/>
            <w:vAlign w:val="center"/>
          </w:tcPr>
          <w:p w14:paraId="20B5CE2E" w14:textId="77777777" w:rsidR="00CB5AFB" w:rsidRPr="00AA2617" w:rsidRDefault="00CB5AFB" w:rsidP="00AA2617">
            <w:pPr>
              <w:jc w:val="left"/>
              <w:rPr>
                <w:rFonts w:cs="Times New Roman"/>
                <w:szCs w:val="21"/>
                <w:lang w:val="en-GB"/>
              </w:rPr>
            </w:pPr>
            <w:r w:rsidRPr="00AA2617">
              <w:rPr>
                <w:rFonts w:cs="Times New Roman"/>
                <w:szCs w:val="21"/>
                <w:lang w:val="en-GB"/>
              </w:rPr>
              <w:t>Measure</w:t>
            </w:r>
            <w:r w:rsidR="00C66792" w:rsidRPr="00AA2617">
              <w:rPr>
                <w:rFonts w:cs="Times New Roman"/>
                <w:szCs w:val="21"/>
                <w:lang w:val="en-GB"/>
              </w:rPr>
              <w:t>ment, r</w:t>
            </w:r>
            <w:r w:rsidRPr="00AA2617">
              <w:rPr>
                <w:rFonts w:cs="Times New Roman"/>
                <w:szCs w:val="21"/>
                <w:lang w:val="en-GB"/>
              </w:rPr>
              <w:t>eport</w:t>
            </w:r>
            <w:r w:rsidR="00C66792" w:rsidRPr="00AA2617">
              <w:rPr>
                <w:rFonts w:cs="Times New Roman"/>
                <w:szCs w:val="21"/>
                <w:lang w:val="en-GB"/>
              </w:rPr>
              <w:t>ing, and verification</w:t>
            </w:r>
          </w:p>
        </w:tc>
      </w:tr>
      <w:tr w:rsidR="00CB5AFB" w:rsidRPr="00AA2617" w14:paraId="0A95A2F3" w14:textId="77777777" w:rsidTr="005F7E40">
        <w:trPr>
          <w:cantSplit/>
        </w:trPr>
        <w:tc>
          <w:tcPr>
            <w:tcW w:w="1407" w:type="dxa"/>
            <w:vAlign w:val="center"/>
          </w:tcPr>
          <w:p w14:paraId="7645FA33" w14:textId="77777777" w:rsidR="00CB5AFB" w:rsidRPr="00AA2617" w:rsidRDefault="00CB5AFB" w:rsidP="00AA2617">
            <w:pPr>
              <w:jc w:val="left"/>
              <w:rPr>
                <w:rFonts w:cs="Times New Roman"/>
                <w:szCs w:val="21"/>
                <w:lang w:val="en-GB"/>
              </w:rPr>
            </w:pPr>
            <w:r w:rsidRPr="00AA2617">
              <w:rPr>
                <w:rFonts w:cs="Times New Roman"/>
                <w:szCs w:val="21"/>
                <w:lang w:val="en-GB"/>
              </w:rPr>
              <w:t>MTR</w:t>
            </w:r>
          </w:p>
        </w:tc>
        <w:tc>
          <w:tcPr>
            <w:tcW w:w="7609" w:type="dxa"/>
            <w:vAlign w:val="center"/>
          </w:tcPr>
          <w:p w14:paraId="759C5C80" w14:textId="77777777" w:rsidR="00CB5AFB" w:rsidRPr="00AA2617" w:rsidRDefault="00C66792" w:rsidP="00AA2617">
            <w:pPr>
              <w:jc w:val="left"/>
              <w:rPr>
                <w:rFonts w:cs="Times New Roman"/>
                <w:szCs w:val="21"/>
                <w:lang w:val="en-GB"/>
              </w:rPr>
            </w:pPr>
            <w:r w:rsidRPr="00AA2617">
              <w:rPr>
                <w:rFonts w:cs="Times New Roman"/>
                <w:szCs w:val="21"/>
                <w:lang w:val="en-GB"/>
              </w:rPr>
              <w:t>Mid</w:t>
            </w:r>
            <w:r w:rsidRPr="00AA2617">
              <w:rPr>
                <w:rFonts w:cs="Times New Roman"/>
                <w:szCs w:val="21"/>
                <w:lang w:val="en-GB"/>
              </w:rPr>
              <w:noBreakHyphen/>
              <w:t>term r</w:t>
            </w:r>
            <w:r w:rsidR="00466BB5" w:rsidRPr="00AA2617">
              <w:rPr>
                <w:rFonts w:cs="Times New Roman"/>
                <w:szCs w:val="21"/>
                <w:lang w:val="en-GB"/>
              </w:rPr>
              <w:t>eview</w:t>
            </w:r>
          </w:p>
        </w:tc>
      </w:tr>
      <w:tr w:rsidR="000540BE" w:rsidRPr="00AA2617" w14:paraId="3762C150" w14:textId="77777777" w:rsidTr="005F7E40">
        <w:trPr>
          <w:cantSplit/>
        </w:trPr>
        <w:tc>
          <w:tcPr>
            <w:tcW w:w="1407" w:type="dxa"/>
            <w:vAlign w:val="center"/>
          </w:tcPr>
          <w:p w14:paraId="2998EEEA" w14:textId="77777777" w:rsidR="000540BE" w:rsidRPr="00AA2617" w:rsidRDefault="000540BE" w:rsidP="00AA2617">
            <w:pPr>
              <w:jc w:val="left"/>
              <w:rPr>
                <w:rFonts w:cs="Times New Roman"/>
                <w:szCs w:val="21"/>
                <w:lang w:val="en-GB"/>
              </w:rPr>
            </w:pPr>
            <w:r w:rsidRPr="00AA2617">
              <w:rPr>
                <w:rFonts w:cs="Times New Roman"/>
                <w:szCs w:val="21"/>
                <w:lang w:val="en-GB"/>
              </w:rPr>
              <w:t>MULS</w:t>
            </w:r>
          </w:p>
        </w:tc>
        <w:tc>
          <w:tcPr>
            <w:tcW w:w="7609" w:type="dxa"/>
            <w:vAlign w:val="center"/>
          </w:tcPr>
          <w:p w14:paraId="6B12480B" w14:textId="540916D4" w:rsidR="000540BE" w:rsidRPr="00AA2617" w:rsidRDefault="000540BE" w:rsidP="00AA2617">
            <w:pPr>
              <w:jc w:val="left"/>
              <w:rPr>
                <w:rFonts w:cs="Times New Roman"/>
                <w:szCs w:val="21"/>
                <w:lang w:val="en-GB"/>
              </w:rPr>
            </w:pPr>
            <w:r w:rsidRPr="00AA2617">
              <w:rPr>
                <w:rFonts w:cs="Times New Roman"/>
                <w:szCs w:val="21"/>
                <w:lang w:val="en-GB"/>
              </w:rPr>
              <w:t>University of Life Science</w:t>
            </w:r>
          </w:p>
        </w:tc>
      </w:tr>
      <w:tr w:rsidR="002D711C" w:rsidRPr="00AA2617" w14:paraId="2B3CA19D" w14:textId="77777777" w:rsidTr="005F7E40">
        <w:trPr>
          <w:cantSplit/>
        </w:trPr>
        <w:tc>
          <w:tcPr>
            <w:tcW w:w="1407" w:type="dxa"/>
            <w:vAlign w:val="center"/>
          </w:tcPr>
          <w:p w14:paraId="629EE284" w14:textId="77777777" w:rsidR="002D711C" w:rsidRPr="00AA2617" w:rsidRDefault="002D711C" w:rsidP="00AA2617">
            <w:pPr>
              <w:jc w:val="left"/>
              <w:rPr>
                <w:rFonts w:cs="Times New Roman"/>
                <w:szCs w:val="21"/>
                <w:lang w:val="en-GB"/>
              </w:rPr>
            </w:pPr>
            <w:r w:rsidRPr="00AA2617">
              <w:rPr>
                <w:rFonts w:cs="Times New Roman"/>
                <w:szCs w:val="21"/>
                <w:lang w:val="en-GB"/>
              </w:rPr>
              <w:t>N</w:t>
            </w:r>
          </w:p>
        </w:tc>
        <w:tc>
          <w:tcPr>
            <w:tcW w:w="7609" w:type="dxa"/>
            <w:vAlign w:val="center"/>
          </w:tcPr>
          <w:p w14:paraId="0464D499" w14:textId="77777777" w:rsidR="002D711C" w:rsidRPr="00AA2617" w:rsidRDefault="002D711C" w:rsidP="00AA2617">
            <w:pPr>
              <w:jc w:val="left"/>
              <w:rPr>
                <w:rFonts w:cs="Times New Roman"/>
                <w:szCs w:val="21"/>
                <w:lang w:val="en-GB"/>
              </w:rPr>
            </w:pPr>
            <w:r w:rsidRPr="00AA2617">
              <w:rPr>
                <w:rFonts w:cs="Times New Roman"/>
                <w:szCs w:val="21"/>
                <w:lang w:val="en-GB"/>
              </w:rPr>
              <w:t>Nitrogen</w:t>
            </w:r>
          </w:p>
        </w:tc>
      </w:tr>
      <w:tr w:rsidR="00CB5AFB" w:rsidRPr="00AA2617" w14:paraId="36F6C391" w14:textId="77777777" w:rsidTr="005F7E40">
        <w:trPr>
          <w:cantSplit/>
        </w:trPr>
        <w:tc>
          <w:tcPr>
            <w:tcW w:w="1407" w:type="dxa"/>
            <w:vAlign w:val="center"/>
          </w:tcPr>
          <w:p w14:paraId="5010C812" w14:textId="77777777" w:rsidR="00CB5AFB" w:rsidRPr="00AA2617" w:rsidRDefault="00466BB5" w:rsidP="00AA2617">
            <w:pPr>
              <w:jc w:val="left"/>
              <w:rPr>
                <w:rFonts w:cs="Times New Roman"/>
                <w:szCs w:val="21"/>
                <w:lang w:val="en-GB"/>
              </w:rPr>
            </w:pPr>
            <w:r w:rsidRPr="00AA2617">
              <w:rPr>
                <w:rFonts w:cs="Times New Roman"/>
                <w:szCs w:val="21"/>
                <w:lang w:val="en-GB"/>
              </w:rPr>
              <w:t>N</w:t>
            </w:r>
            <w:r w:rsidRPr="00AA2617">
              <w:rPr>
                <w:rFonts w:cs="Times New Roman"/>
                <w:szCs w:val="21"/>
                <w:vertAlign w:val="subscript"/>
                <w:lang w:val="en-GB"/>
              </w:rPr>
              <w:t>2</w:t>
            </w:r>
            <w:r w:rsidRPr="00AA2617">
              <w:rPr>
                <w:rFonts w:cs="Times New Roman"/>
                <w:szCs w:val="21"/>
                <w:lang w:val="en-GB"/>
              </w:rPr>
              <w:t>O</w:t>
            </w:r>
          </w:p>
        </w:tc>
        <w:tc>
          <w:tcPr>
            <w:tcW w:w="7609" w:type="dxa"/>
            <w:vAlign w:val="center"/>
          </w:tcPr>
          <w:p w14:paraId="2ED831AF" w14:textId="77777777" w:rsidR="00CB5AFB" w:rsidRPr="00AA2617" w:rsidRDefault="00466BB5" w:rsidP="00AA2617">
            <w:pPr>
              <w:jc w:val="left"/>
              <w:rPr>
                <w:rFonts w:cs="Times New Roman"/>
                <w:szCs w:val="21"/>
                <w:lang w:val="en-GB"/>
              </w:rPr>
            </w:pPr>
            <w:r w:rsidRPr="00AA2617">
              <w:rPr>
                <w:rFonts w:cs="Times New Roman"/>
                <w:szCs w:val="21"/>
                <w:lang w:val="en-GB"/>
              </w:rPr>
              <w:t>Nitrous oxide</w:t>
            </w:r>
          </w:p>
        </w:tc>
      </w:tr>
      <w:tr w:rsidR="00CB5AFB" w:rsidRPr="00AA2617" w14:paraId="41F93272" w14:textId="77777777" w:rsidTr="005F7E40">
        <w:trPr>
          <w:cantSplit/>
        </w:trPr>
        <w:tc>
          <w:tcPr>
            <w:tcW w:w="1407" w:type="dxa"/>
            <w:vAlign w:val="center"/>
          </w:tcPr>
          <w:p w14:paraId="680F056A" w14:textId="77777777" w:rsidR="00CB5AFB" w:rsidRPr="00AA2617" w:rsidRDefault="00CB5AFB" w:rsidP="00AA2617">
            <w:pPr>
              <w:jc w:val="left"/>
              <w:rPr>
                <w:rFonts w:cs="Times New Roman"/>
                <w:szCs w:val="21"/>
                <w:lang w:val="en-GB"/>
              </w:rPr>
            </w:pPr>
            <w:r w:rsidRPr="00AA2617">
              <w:rPr>
                <w:rFonts w:cs="Times New Roman"/>
                <w:szCs w:val="21"/>
                <w:lang w:val="en-GB"/>
              </w:rPr>
              <w:t>NCSA</w:t>
            </w:r>
          </w:p>
        </w:tc>
        <w:tc>
          <w:tcPr>
            <w:tcW w:w="7609" w:type="dxa"/>
            <w:vAlign w:val="center"/>
          </w:tcPr>
          <w:p w14:paraId="234FA853" w14:textId="77777777" w:rsidR="00CB5AFB" w:rsidRPr="00AA2617" w:rsidRDefault="00CB5AFB" w:rsidP="00AA2617">
            <w:pPr>
              <w:jc w:val="left"/>
              <w:rPr>
                <w:rFonts w:cs="Times New Roman"/>
                <w:szCs w:val="21"/>
                <w:lang w:val="en-GB"/>
              </w:rPr>
            </w:pPr>
            <w:r w:rsidRPr="00AA2617">
              <w:rPr>
                <w:rFonts w:cs="Times New Roman"/>
                <w:szCs w:val="21"/>
                <w:lang w:val="en-GB"/>
              </w:rPr>
              <w:t xml:space="preserve">National Capacity Needs Self-Assessment for </w:t>
            </w:r>
            <w:r w:rsidR="00CD096D" w:rsidRPr="00AA2617">
              <w:rPr>
                <w:rFonts w:cs="Times New Roman"/>
                <w:szCs w:val="21"/>
                <w:lang w:val="en-GB"/>
              </w:rPr>
              <w:t>Global Environmental Management</w:t>
            </w:r>
          </w:p>
        </w:tc>
      </w:tr>
      <w:tr w:rsidR="003C7306" w:rsidRPr="00AA2617" w14:paraId="77F46031" w14:textId="77777777" w:rsidTr="005F7E40">
        <w:trPr>
          <w:cantSplit/>
        </w:trPr>
        <w:tc>
          <w:tcPr>
            <w:tcW w:w="1407" w:type="dxa"/>
            <w:vAlign w:val="center"/>
          </w:tcPr>
          <w:p w14:paraId="10112565" w14:textId="77777777" w:rsidR="003C7306" w:rsidRPr="00AA2617" w:rsidRDefault="003C7306" w:rsidP="00AA2617">
            <w:pPr>
              <w:jc w:val="left"/>
              <w:rPr>
                <w:rFonts w:cs="Times New Roman"/>
                <w:szCs w:val="21"/>
                <w:lang w:val="en-GB"/>
              </w:rPr>
            </w:pPr>
            <w:r w:rsidRPr="00AA2617">
              <w:rPr>
                <w:rFonts w:cs="Times New Roman"/>
                <w:szCs w:val="21"/>
                <w:lang w:val="en-GB"/>
              </w:rPr>
              <w:t>NDA</w:t>
            </w:r>
          </w:p>
        </w:tc>
        <w:tc>
          <w:tcPr>
            <w:tcW w:w="7609" w:type="dxa"/>
            <w:vAlign w:val="center"/>
          </w:tcPr>
          <w:p w14:paraId="7CD44F55" w14:textId="77777777" w:rsidR="003C7306" w:rsidRPr="00AA2617" w:rsidRDefault="003C7306" w:rsidP="00AA2617">
            <w:pPr>
              <w:jc w:val="left"/>
              <w:rPr>
                <w:rFonts w:cs="Times New Roman"/>
                <w:szCs w:val="21"/>
                <w:lang w:val="en-GB"/>
              </w:rPr>
            </w:pPr>
            <w:r w:rsidRPr="00AA2617">
              <w:rPr>
                <w:rFonts w:cs="Times New Roman"/>
                <w:szCs w:val="21"/>
                <w:lang w:val="en-GB"/>
              </w:rPr>
              <w:t>Nationally Designated Authority</w:t>
            </w:r>
          </w:p>
        </w:tc>
      </w:tr>
      <w:tr w:rsidR="00CB5AFB" w:rsidRPr="00AA2617" w14:paraId="35E9B2DC" w14:textId="77777777" w:rsidTr="005F7E40">
        <w:trPr>
          <w:cantSplit/>
        </w:trPr>
        <w:tc>
          <w:tcPr>
            <w:tcW w:w="1407" w:type="dxa"/>
            <w:vAlign w:val="center"/>
          </w:tcPr>
          <w:p w14:paraId="751B42CA" w14:textId="77777777" w:rsidR="00CB5AFB" w:rsidRPr="00AA2617" w:rsidRDefault="00CB5AFB" w:rsidP="00AA2617">
            <w:pPr>
              <w:jc w:val="left"/>
              <w:rPr>
                <w:rFonts w:cs="Times New Roman"/>
                <w:szCs w:val="21"/>
                <w:lang w:val="en-GB"/>
              </w:rPr>
            </w:pPr>
            <w:r w:rsidRPr="00AA2617">
              <w:rPr>
                <w:rFonts w:cs="Times New Roman"/>
                <w:szCs w:val="21"/>
                <w:lang w:val="en-GB"/>
              </w:rPr>
              <w:t>NDC</w:t>
            </w:r>
          </w:p>
        </w:tc>
        <w:tc>
          <w:tcPr>
            <w:tcW w:w="7609" w:type="dxa"/>
            <w:vAlign w:val="center"/>
          </w:tcPr>
          <w:p w14:paraId="31DE3D7D" w14:textId="77777777" w:rsidR="00CB5AFB" w:rsidRPr="00AA2617" w:rsidRDefault="00CB5AFB" w:rsidP="00AA2617">
            <w:pPr>
              <w:jc w:val="left"/>
              <w:rPr>
                <w:rFonts w:cs="Times New Roman"/>
                <w:szCs w:val="21"/>
                <w:lang w:val="en-GB"/>
              </w:rPr>
            </w:pPr>
            <w:r w:rsidRPr="00AA2617">
              <w:rPr>
                <w:rFonts w:cs="Times New Roman"/>
                <w:szCs w:val="21"/>
                <w:lang w:val="en-GB"/>
              </w:rPr>
              <w:t>Nationally Determined Contribution</w:t>
            </w:r>
          </w:p>
        </w:tc>
      </w:tr>
      <w:tr w:rsidR="00466BB5" w:rsidRPr="00AA2617" w14:paraId="3FBDDA4F" w14:textId="77777777" w:rsidTr="005F7E40">
        <w:trPr>
          <w:cantSplit/>
        </w:trPr>
        <w:tc>
          <w:tcPr>
            <w:tcW w:w="1407" w:type="dxa"/>
            <w:vAlign w:val="center"/>
          </w:tcPr>
          <w:p w14:paraId="517B3AA4" w14:textId="77777777" w:rsidR="00466BB5" w:rsidRPr="00AA2617" w:rsidRDefault="00466BB5" w:rsidP="00AA2617">
            <w:pPr>
              <w:jc w:val="left"/>
              <w:rPr>
                <w:rFonts w:cs="Times New Roman"/>
                <w:szCs w:val="21"/>
                <w:lang w:val="en-GB"/>
              </w:rPr>
            </w:pPr>
            <w:r w:rsidRPr="00AA2617">
              <w:rPr>
                <w:rFonts w:cs="Times New Roman"/>
                <w:szCs w:val="21"/>
                <w:lang w:val="en-GB"/>
              </w:rPr>
              <w:t>NO</w:t>
            </w:r>
            <w:r w:rsidRPr="00AA2617">
              <w:rPr>
                <w:rFonts w:cs="Times New Roman"/>
                <w:szCs w:val="21"/>
                <w:vertAlign w:val="subscript"/>
                <w:lang w:val="en-GB"/>
              </w:rPr>
              <w:t>x</w:t>
            </w:r>
          </w:p>
        </w:tc>
        <w:tc>
          <w:tcPr>
            <w:tcW w:w="7609" w:type="dxa"/>
            <w:vAlign w:val="center"/>
          </w:tcPr>
          <w:p w14:paraId="7F858149" w14:textId="77777777" w:rsidR="00466BB5" w:rsidRPr="00AA2617" w:rsidRDefault="00466BB5" w:rsidP="00AA2617">
            <w:pPr>
              <w:jc w:val="left"/>
              <w:rPr>
                <w:rFonts w:eastAsia="Calibri" w:cs="Times New Roman"/>
                <w:szCs w:val="21"/>
                <w:lang w:val="en-GB"/>
              </w:rPr>
            </w:pPr>
            <w:r w:rsidRPr="00AA2617">
              <w:rPr>
                <w:rFonts w:eastAsia="Calibri" w:cs="Times New Roman"/>
                <w:szCs w:val="21"/>
                <w:lang w:val="en-GB"/>
              </w:rPr>
              <w:t>Oxides of nitrogen</w:t>
            </w:r>
          </w:p>
        </w:tc>
      </w:tr>
      <w:tr w:rsidR="00CB5AFB" w:rsidRPr="00AA2617" w14:paraId="3170D452" w14:textId="77777777" w:rsidTr="005F7E40">
        <w:trPr>
          <w:cantSplit/>
        </w:trPr>
        <w:tc>
          <w:tcPr>
            <w:tcW w:w="1407" w:type="dxa"/>
            <w:vAlign w:val="center"/>
          </w:tcPr>
          <w:p w14:paraId="716CEE39" w14:textId="77777777" w:rsidR="00CB5AFB" w:rsidRPr="00AA2617" w:rsidRDefault="00CB5AFB" w:rsidP="00AA2617">
            <w:pPr>
              <w:jc w:val="left"/>
              <w:rPr>
                <w:rFonts w:cs="Times New Roman"/>
                <w:szCs w:val="21"/>
                <w:lang w:val="en-GB"/>
              </w:rPr>
            </w:pPr>
            <w:r w:rsidRPr="00AA2617">
              <w:rPr>
                <w:rFonts w:cs="Times New Roman"/>
                <w:szCs w:val="21"/>
                <w:lang w:val="en-GB"/>
              </w:rPr>
              <w:t>NPD</w:t>
            </w:r>
          </w:p>
        </w:tc>
        <w:tc>
          <w:tcPr>
            <w:tcW w:w="7609" w:type="dxa"/>
            <w:vAlign w:val="center"/>
          </w:tcPr>
          <w:p w14:paraId="7AFC05A0" w14:textId="77777777" w:rsidR="00CB5AFB" w:rsidRPr="00AA2617" w:rsidRDefault="00CB5AFB" w:rsidP="00AA2617">
            <w:pPr>
              <w:jc w:val="left"/>
              <w:rPr>
                <w:rFonts w:eastAsia="Calibri" w:cs="Times New Roman"/>
                <w:szCs w:val="21"/>
                <w:lang w:val="en-GB"/>
              </w:rPr>
            </w:pPr>
            <w:r w:rsidRPr="00AA2617">
              <w:rPr>
                <w:rFonts w:eastAsia="Calibri" w:cs="Times New Roman"/>
                <w:szCs w:val="21"/>
                <w:lang w:val="en-GB"/>
              </w:rPr>
              <w:t>National Project Director</w:t>
            </w:r>
          </w:p>
        </w:tc>
      </w:tr>
      <w:tr w:rsidR="00CB5AFB" w:rsidRPr="00AA2617" w14:paraId="22E4AA36" w14:textId="77777777" w:rsidTr="005F7E40">
        <w:trPr>
          <w:cantSplit/>
        </w:trPr>
        <w:tc>
          <w:tcPr>
            <w:tcW w:w="1407" w:type="dxa"/>
            <w:vAlign w:val="center"/>
          </w:tcPr>
          <w:p w14:paraId="14ACDDF8" w14:textId="77777777" w:rsidR="00CB5AFB" w:rsidRPr="00AA2617" w:rsidRDefault="00CB5AFB" w:rsidP="00AA2617">
            <w:pPr>
              <w:jc w:val="left"/>
              <w:rPr>
                <w:rFonts w:cs="Times New Roman"/>
                <w:szCs w:val="21"/>
                <w:lang w:val="en-GB"/>
              </w:rPr>
            </w:pPr>
            <w:r w:rsidRPr="00AA2617">
              <w:rPr>
                <w:rFonts w:cs="Times New Roman"/>
                <w:szCs w:val="21"/>
                <w:lang w:val="en-GB"/>
              </w:rPr>
              <w:t>PPG</w:t>
            </w:r>
          </w:p>
        </w:tc>
        <w:tc>
          <w:tcPr>
            <w:tcW w:w="7609" w:type="dxa"/>
            <w:vAlign w:val="center"/>
          </w:tcPr>
          <w:p w14:paraId="46CC339B" w14:textId="77777777" w:rsidR="00CB5AFB" w:rsidRPr="00AA2617" w:rsidRDefault="00CB5AFB" w:rsidP="00AA2617">
            <w:pPr>
              <w:jc w:val="left"/>
              <w:rPr>
                <w:rFonts w:eastAsia="SimSun" w:cs="Times New Roman"/>
                <w:szCs w:val="21"/>
                <w:lang w:val="en-GB"/>
              </w:rPr>
            </w:pPr>
            <w:r w:rsidRPr="00AA2617">
              <w:rPr>
                <w:rFonts w:eastAsia="Calibri" w:cs="Times New Roman"/>
                <w:szCs w:val="21"/>
                <w:lang w:val="en-GB"/>
              </w:rPr>
              <w:t>Project Preparation Grant</w:t>
            </w:r>
          </w:p>
        </w:tc>
      </w:tr>
      <w:tr w:rsidR="00CB5AFB" w:rsidRPr="00AA2617" w14:paraId="583DEE00" w14:textId="77777777" w:rsidTr="005F7E40">
        <w:trPr>
          <w:cantSplit/>
        </w:trPr>
        <w:tc>
          <w:tcPr>
            <w:tcW w:w="1407" w:type="dxa"/>
            <w:vAlign w:val="center"/>
          </w:tcPr>
          <w:p w14:paraId="536C5BE3" w14:textId="77777777" w:rsidR="00CB5AFB" w:rsidRPr="00AA2617" w:rsidRDefault="00C66792" w:rsidP="00AA2617">
            <w:pPr>
              <w:jc w:val="left"/>
              <w:rPr>
                <w:rFonts w:cs="Times New Roman"/>
                <w:szCs w:val="21"/>
                <w:lang w:val="en-GB"/>
              </w:rPr>
            </w:pPr>
            <w:r w:rsidRPr="00AA2617">
              <w:rPr>
                <w:rFonts w:cs="Times New Roman"/>
                <w:szCs w:val="21"/>
                <w:lang w:val="en-GB"/>
              </w:rPr>
              <w:t>PPR</w:t>
            </w:r>
          </w:p>
        </w:tc>
        <w:tc>
          <w:tcPr>
            <w:tcW w:w="7609" w:type="dxa"/>
            <w:vAlign w:val="center"/>
          </w:tcPr>
          <w:p w14:paraId="7F0E0760" w14:textId="77777777" w:rsidR="00CB5AFB" w:rsidRPr="00AA2617" w:rsidRDefault="00C66792" w:rsidP="00AA2617">
            <w:pPr>
              <w:jc w:val="left"/>
              <w:rPr>
                <w:rFonts w:cs="Times New Roman"/>
                <w:szCs w:val="21"/>
                <w:lang w:val="en-GB"/>
              </w:rPr>
            </w:pPr>
            <w:r w:rsidRPr="00AA2617">
              <w:rPr>
                <w:rFonts w:eastAsia="SimSun" w:cs="Times New Roman"/>
                <w:szCs w:val="21"/>
                <w:lang w:val="en-GB"/>
              </w:rPr>
              <w:t>Project Progress Report</w:t>
            </w:r>
          </w:p>
        </w:tc>
      </w:tr>
      <w:tr w:rsidR="00CB5AFB" w:rsidRPr="00AA2617" w14:paraId="23788DD7" w14:textId="77777777" w:rsidTr="005F7E40">
        <w:trPr>
          <w:cantSplit/>
        </w:trPr>
        <w:tc>
          <w:tcPr>
            <w:tcW w:w="1407" w:type="dxa"/>
            <w:vAlign w:val="center"/>
          </w:tcPr>
          <w:p w14:paraId="0E296E87" w14:textId="77777777" w:rsidR="00CB5AFB" w:rsidRPr="00AA2617" w:rsidRDefault="00CB5AFB" w:rsidP="00AA2617">
            <w:pPr>
              <w:jc w:val="left"/>
              <w:rPr>
                <w:rFonts w:cs="Times New Roman"/>
                <w:szCs w:val="21"/>
                <w:lang w:val="en-GB"/>
              </w:rPr>
            </w:pPr>
            <w:r w:rsidRPr="00AA2617">
              <w:rPr>
                <w:rFonts w:cs="Times New Roman"/>
                <w:szCs w:val="21"/>
                <w:lang w:val="en-GB"/>
              </w:rPr>
              <w:t>PSC</w:t>
            </w:r>
          </w:p>
        </w:tc>
        <w:tc>
          <w:tcPr>
            <w:tcW w:w="7609" w:type="dxa"/>
            <w:vAlign w:val="center"/>
          </w:tcPr>
          <w:p w14:paraId="6681FA9F" w14:textId="77777777" w:rsidR="00CB5AFB" w:rsidRPr="00AA2617" w:rsidRDefault="00CB5AFB" w:rsidP="00AA2617">
            <w:pPr>
              <w:jc w:val="left"/>
              <w:rPr>
                <w:rFonts w:cs="Times New Roman"/>
                <w:szCs w:val="21"/>
                <w:lang w:val="en-GB"/>
              </w:rPr>
            </w:pPr>
            <w:r w:rsidRPr="00AA2617">
              <w:rPr>
                <w:rFonts w:cs="Times New Roman"/>
                <w:szCs w:val="21"/>
                <w:lang w:val="en-GB"/>
              </w:rPr>
              <w:t>Project Steering Committee</w:t>
            </w:r>
          </w:p>
        </w:tc>
      </w:tr>
      <w:tr w:rsidR="00CB5AFB" w:rsidRPr="00AA2617" w14:paraId="01C99023" w14:textId="77777777" w:rsidTr="005F7E40">
        <w:trPr>
          <w:cantSplit/>
        </w:trPr>
        <w:tc>
          <w:tcPr>
            <w:tcW w:w="1407" w:type="dxa"/>
            <w:vAlign w:val="center"/>
          </w:tcPr>
          <w:p w14:paraId="62E6300B" w14:textId="77777777" w:rsidR="00CB5AFB" w:rsidRPr="00AA2617" w:rsidRDefault="00CB5AFB" w:rsidP="00AA2617">
            <w:pPr>
              <w:jc w:val="left"/>
              <w:rPr>
                <w:rFonts w:cs="Times New Roman"/>
                <w:szCs w:val="21"/>
                <w:lang w:val="en-GB"/>
              </w:rPr>
            </w:pPr>
            <w:r w:rsidRPr="00AA2617">
              <w:rPr>
                <w:rFonts w:cs="Times New Roman"/>
                <w:szCs w:val="21"/>
                <w:lang w:val="en-GB"/>
              </w:rPr>
              <w:t>PTF</w:t>
            </w:r>
          </w:p>
        </w:tc>
        <w:tc>
          <w:tcPr>
            <w:tcW w:w="7609" w:type="dxa"/>
            <w:vAlign w:val="center"/>
          </w:tcPr>
          <w:p w14:paraId="33CE0604" w14:textId="77777777" w:rsidR="00CB5AFB" w:rsidRPr="00AA2617" w:rsidRDefault="00CB5AFB" w:rsidP="00AA2617">
            <w:pPr>
              <w:jc w:val="left"/>
              <w:rPr>
                <w:rFonts w:eastAsia="SimSun" w:cs="Times New Roman"/>
                <w:szCs w:val="21"/>
                <w:lang w:val="en-GB"/>
              </w:rPr>
            </w:pPr>
            <w:r w:rsidRPr="00AA2617">
              <w:rPr>
                <w:rFonts w:cs="Times New Roman"/>
                <w:szCs w:val="21"/>
                <w:lang w:val="en-GB"/>
              </w:rPr>
              <w:t>Project Task Force </w:t>
            </w:r>
          </w:p>
        </w:tc>
      </w:tr>
      <w:tr w:rsidR="00CB5AFB" w:rsidRPr="00AA2617" w14:paraId="66AD52A2" w14:textId="77777777" w:rsidTr="005F7E40">
        <w:trPr>
          <w:cantSplit/>
        </w:trPr>
        <w:tc>
          <w:tcPr>
            <w:tcW w:w="1407" w:type="dxa"/>
            <w:vAlign w:val="center"/>
          </w:tcPr>
          <w:p w14:paraId="2CAB4989" w14:textId="77777777" w:rsidR="00CB5AFB" w:rsidRPr="00AA2617" w:rsidRDefault="00CB5AFB" w:rsidP="00AA2617">
            <w:pPr>
              <w:jc w:val="left"/>
              <w:rPr>
                <w:rFonts w:cs="Times New Roman"/>
                <w:szCs w:val="21"/>
                <w:lang w:val="en-GB"/>
              </w:rPr>
            </w:pPr>
            <w:r w:rsidRPr="00AA2617">
              <w:rPr>
                <w:rFonts w:cs="Times New Roman"/>
                <w:szCs w:val="21"/>
                <w:lang w:val="en-GB"/>
              </w:rPr>
              <w:t>REDD</w:t>
            </w:r>
          </w:p>
        </w:tc>
        <w:tc>
          <w:tcPr>
            <w:tcW w:w="7609" w:type="dxa"/>
            <w:vAlign w:val="center"/>
          </w:tcPr>
          <w:p w14:paraId="4230D6CD" w14:textId="77777777" w:rsidR="00CB5AFB" w:rsidRPr="00AA2617" w:rsidRDefault="00CB5AFB" w:rsidP="00AA2617">
            <w:pPr>
              <w:jc w:val="left"/>
              <w:rPr>
                <w:rFonts w:cs="Times New Roman"/>
                <w:szCs w:val="21"/>
                <w:lang w:val="en-GB"/>
              </w:rPr>
            </w:pPr>
            <w:r w:rsidRPr="00AA2617">
              <w:rPr>
                <w:rFonts w:cs="Times New Roman"/>
                <w:szCs w:val="21"/>
                <w:lang w:val="en-GB"/>
              </w:rPr>
              <w:t>Reduced Emissions from Deforestation and Forest Degradation </w:t>
            </w:r>
          </w:p>
        </w:tc>
      </w:tr>
      <w:tr w:rsidR="002A1F7F" w:rsidRPr="00AA2617" w14:paraId="645C4FE7" w14:textId="77777777" w:rsidTr="005F7E40">
        <w:trPr>
          <w:cantSplit/>
        </w:trPr>
        <w:tc>
          <w:tcPr>
            <w:tcW w:w="1407" w:type="dxa"/>
            <w:vAlign w:val="center"/>
          </w:tcPr>
          <w:p w14:paraId="6337EB70" w14:textId="77777777" w:rsidR="002A1F7F" w:rsidRPr="00AA2617" w:rsidRDefault="002A1F7F" w:rsidP="00AA2617">
            <w:pPr>
              <w:jc w:val="left"/>
              <w:rPr>
                <w:rFonts w:cs="Times New Roman"/>
                <w:szCs w:val="21"/>
                <w:lang w:val="en-GB"/>
              </w:rPr>
            </w:pPr>
            <w:r w:rsidRPr="00AA2617">
              <w:rPr>
                <w:rFonts w:cs="Times New Roman"/>
                <w:szCs w:val="21"/>
                <w:lang w:val="en-GB"/>
              </w:rPr>
              <w:t>TBD</w:t>
            </w:r>
          </w:p>
        </w:tc>
        <w:tc>
          <w:tcPr>
            <w:tcW w:w="7609" w:type="dxa"/>
            <w:vAlign w:val="center"/>
          </w:tcPr>
          <w:p w14:paraId="73502304" w14:textId="77777777" w:rsidR="002A1F7F" w:rsidRPr="00AA2617" w:rsidRDefault="002A1F7F" w:rsidP="00AA2617">
            <w:pPr>
              <w:jc w:val="left"/>
              <w:rPr>
                <w:rFonts w:cs="Times New Roman"/>
                <w:szCs w:val="21"/>
                <w:lang w:val="en-GB"/>
              </w:rPr>
            </w:pPr>
            <w:r w:rsidRPr="00AA2617">
              <w:rPr>
                <w:rFonts w:cs="Times New Roman"/>
                <w:szCs w:val="21"/>
                <w:lang w:val="en-GB"/>
              </w:rPr>
              <w:t>To be determined</w:t>
            </w:r>
          </w:p>
        </w:tc>
      </w:tr>
      <w:tr w:rsidR="00CB5AFB" w:rsidRPr="00AA2617" w14:paraId="12C156BF" w14:textId="77777777" w:rsidTr="005F7E40">
        <w:trPr>
          <w:cantSplit/>
        </w:trPr>
        <w:tc>
          <w:tcPr>
            <w:tcW w:w="1407" w:type="dxa"/>
            <w:vAlign w:val="center"/>
          </w:tcPr>
          <w:p w14:paraId="44725012" w14:textId="77777777" w:rsidR="00CB5AFB" w:rsidRPr="00AA2617" w:rsidRDefault="00CB5AFB" w:rsidP="00AA2617">
            <w:pPr>
              <w:jc w:val="left"/>
              <w:rPr>
                <w:rFonts w:cs="Times New Roman"/>
                <w:szCs w:val="21"/>
                <w:lang w:val="en-GB"/>
              </w:rPr>
            </w:pPr>
            <w:r w:rsidRPr="00AA2617">
              <w:rPr>
                <w:rFonts w:cs="Times New Roman"/>
                <w:szCs w:val="21"/>
                <w:lang w:val="en-GB"/>
              </w:rPr>
              <w:t>TE</w:t>
            </w:r>
          </w:p>
        </w:tc>
        <w:tc>
          <w:tcPr>
            <w:tcW w:w="7609" w:type="dxa"/>
            <w:vAlign w:val="center"/>
          </w:tcPr>
          <w:p w14:paraId="7076A5BE" w14:textId="77777777" w:rsidR="00CB5AFB" w:rsidRPr="00AA2617" w:rsidRDefault="00CB5AFB" w:rsidP="00AA2617">
            <w:pPr>
              <w:jc w:val="left"/>
              <w:rPr>
                <w:rFonts w:cs="Times New Roman"/>
                <w:szCs w:val="21"/>
                <w:lang w:val="en-GB"/>
              </w:rPr>
            </w:pPr>
            <w:r w:rsidRPr="00AA2617">
              <w:rPr>
                <w:rFonts w:cs="Times New Roman"/>
                <w:szCs w:val="21"/>
                <w:lang w:val="en-GB"/>
              </w:rPr>
              <w:t xml:space="preserve">Terminal </w:t>
            </w:r>
            <w:r w:rsidR="00C66792" w:rsidRPr="00AA2617">
              <w:rPr>
                <w:rFonts w:cs="Times New Roman"/>
                <w:szCs w:val="21"/>
                <w:lang w:val="en-GB"/>
              </w:rPr>
              <w:t>e</w:t>
            </w:r>
            <w:r w:rsidRPr="00AA2617">
              <w:rPr>
                <w:rFonts w:cs="Times New Roman"/>
                <w:szCs w:val="21"/>
                <w:lang w:val="en-GB"/>
              </w:rPr>
              <w:t>valuation</w:t>
            </w:r>
          </w:p>
        </w:tc>
      </w:tr>
      <w:tr w:rsidR="00136979" w:rsidRPr="00AA2617" w14:paraId="298493E8" w14:textId="77777777" w:rsidTr="005F7E40">
        <w:trPr>
          <w:cantSplit/>
        </w:trPr>
        <w:tc>
          <w:tcPr>
            <w:tcW w:w="1407" w:type="dxa"/>
            <w:vAlign w:val="center"/>
          </w:tcPr>
          <w:p w14:paraId="1E29A672" w14:textId="77777777" w:rsidR="00136979" w:rsidRPr="00AA2617" w:rsidRDefault="00136979" w:rsidP="00AA2617">
            <w:pPr>
              <w:jc w:val="left"/>
              <w:rPr>
                <w:rFonts w:cs="Times New Roman"/>
                <w:szCs w:val="21"/>
                <w:lang w:val="en-GB"/>
              </w:rPr>
            </w:pPr>
            <w:r w:rsidRPr="00AA2617">
              <w:rPr>
                <w:rFonts w:cs="Times New Roman"/>
                <w:szCs w:val="21"/>
                <w:lang w:val="en-GB"/>
              </w:rPr>
              <w:t>TNA</w:t>
            </w:r>
          </w:p>
        </w:tc>
        <w:tc>
          <w:tcPr>
            <w:tcW w:w="7609" w:type="dxa"/>
            <w:vAlign w:val="center"/>
          </w:tcPr>
          <w:p w14:paraId="3EE31AB6" w14:textId="77777777" w:rsidR="00136979" w:rsidRPr="00AA2617" w:rsidRDefault="00C66792" w:rsidP="00AA2617">
            <w:pPr>
              <w:jc w:val="left"/>
              <w:rPr>
                <w:rFonts w:cs="Times New Roman"/>
                <w:szCs w:val="21"/>
                <w:lang w:val="en-GB"/>
              </w:rPr>
            </w:pPr>
            <w:r w:rsidRPr="00AA2617">
              <w:rPr>
                <w:rFonts w:cs="Times New Roman"/>
                <w:szCs w:val="21"/>
                <w:lang w:val="en-GB"/>
              </w:rPr>
              <w:t>Technical needs a</w:t>
            </w:r>
            <w:r w:rsidR="00136979" w:rsidRPr="00AA2617">
              <w:rPr>
                <w:rFonts w:cs="Times New Roman"/>
                <w:szCs w:val="21"/>
                <w:lang w:val="en-GB"/>
              </w:rPr>
              <w:t>ssessment</w:t>
            </w:r>
          </w:p>
        </w:tc>
      </w:tr>
      <w:tr w:rsidR="00CB5AFB" w:rsidRPr="00AA2617" w14:paraId="567AA2A8" w14:textId="77777777" w:rsidTr="005F7E40">
        <w:trPr>
          <w:cantSplit/>
        </w:trPr>
        <w:tc>
          <w:tcPr>
            <w:tcW w:w="1407" w:type="dxa"/>
            <w:vAlign w:val="center"/>
          </w:tcPr>
          <w:p w14:paraId="5E2AF250" w14:textId="77777777" w:rsidR="00CB5AFB" w:rsidRPr="00AA2617" w:rsidRDefault="00322ECE" w:rsidP="00AA2617">
            <w:pPr>
              <w:jc w:val="left"/>
              <w:rPr>
                <w:rFonts w:cs="Times New Roman"/>
                <w:szCs w:val="21"/>
                <w:lang w:val="en-GB"/>
              </w:rPr>
            </w:pPr>
            <w:r w:rsidRPr="00AA2617">
              <w:rPr>
                <w:rFonts w:cs="Times New Roman"/>
                <w:szCs w:val="21"/>
                <w:lang w:val="en-GB"/>
              </w:rPr>
              <w:t>ToR</w:t>
            </w:r>
          </w:p>
        </w:tc>
        <w:tc>
          <w:tcPr>
            <w:tcW w:w="7609" w:type="dxa"/>
            <w:vAlign w:val="center"/>
          </w:tcPr>
          <w:p w14:paraId="309EC865" w14:textId="77777777" w:rsidR="00CB5AFB" w:rsidRPr="00AA2617" w:rsidRDefault="00C66792" w:rsidP="00AA2617">
            <w:pPr>
              <w:jc w:val="left"/>
              <w:rPr>
                <w:rFonts w:cs="Times New Roman"/>
                <w:szCs w:val="21"/>
                <w:lang w:val="en-GB"/>
              </w:rPr>
            </w:pPr>
            <w:r w:rsidRPr="00AA2617">
              <w:rPr>
                <w:rFonts w:cs="Times New Roman"/>
                <w:szCs w:val="21"/>
                <w:lang w:val="en-GB"/>
              </w:rPr>
              <w:t>Terms of r</w:t>
            </w:r>
            <w:r w:rsidR="00CB5AFB" w:rsidRPr="00AA2617">
              <w:rPr>
                <w:rFonts w:cs="Times New Roman"/>
                <w:szCs w:val="21"/>
                <w:lang w:val="en-GB"/>
              </w:rPr>
              <w:t>eference</w:t>
            </w:r>
          </w:p>
        </w:tc>
      </w:tr>
      <w:tr w:rsidR="00CB5AFB" w:rsidRPr="00AA2617" w14:paraId="00C0DD31" w14:textId="77777777" w:rsidTr="005F7E40">
        <w:trPr>
          <w:cantSplit/>
        </w:trPr>
        <w:tc>
          <w:tcPr>
            <w:tcW w:w="1407" w:type="dxa"/>
            <w:vAlign w:val="center"/>
          </w:tcPr>
          <w:p w14:paraId="39BEEA50" w14:textId="77777777" w:rsidR="00CB5AFB" w:rsidRPr="00AA2617" w:rsidRDefault="00322ECE" w:rsidP="00AA2617">
            <w:pPr>
              <w:jc w:val="left"/>
              <w:rPr>
                <w:rFonts w:cs="Times New Roman"/>
                <w:szCs w:val="21"/>
                <w:lang w:val="en-GB"/>
              </w:rPr>
            </w:pPr>
            <w:r w:rsidRPr="00AA2617">
              <w:rPr>
                <w:rFonts w:cs="Times New Roman"/>
                <w:szCs w:val="21"/>
                <w:lang w:val="en-GB"/>
              </w:rPr>
              <w:t>TWG</w:t>
            </w:r>
          </w:p>
        </w:tc>
        <w:tc>
          <w:tcPr>
            <w:tcW w:w="7609" w:type="dxa"/>
            <w:vAlign w:val="center"/>
          </w:tcPr>
          <w:p w14:paraId="6C2FCC63" w14:textId="77777777" w:rsidR="00CB5AFB" w:rsidRPr="00AA2617" w:rsidRDefault="00C66792" w:rsidP="00AA2617">
            <w:pPr>
              <w:jc w:val="left"/>
              <w:rPr>
                <w:rFonts w:cs="Times New Roman"/>
                <w:szCs w:val="21"/>
                <w:lang w:val="en-GB"/>
              </w:rPr>
            </w:pPr>
            <w:r w:rsidRPr="00AA2617">
              <w:rPr>
                <w:rFonts w:cs="Times New Roman"/>
                <w:szCs w:val="21"/>
                <w:lang w:val="en-GB"/>
              </w:rPr>
              <w:t>Technical working g</w:t>
            </w:r>
            <w:r w:rsidR="00322ECE" w:rsidRPr="00AA2617">
              <w:rPr>
                <w:rFonts w:cs="Times New Roman"/>
                <w:szCs w:val="21"/>
                <w:lang w:val="en-GB"/>
              </w:rPr>
              <w:t>roup</w:t>
            </w:r>
          </w:p>
        </w:tc>
      </w:tr>
      <w:tr w:rsidR="00CB5AFB" w:rsidRPr="00AA2617" w14:paraId="70160C47" w14:textId="77777777" w:rsidTr="005F7E40">
        <w:trPr>
          <w:cantSplit/>
        </w:trPr>
        <w:tc>
          <w:tcPr>
            <w:tcW w:w="1407" w:type="dxa"/>
            <w:vAlign w:val="center"/>
          </w:tcPr>
          <w:p w14:paraId="4AF8AAAA" w14:textId="77777777" w:rsidR="00CB5AFB" w:rsidRPr="00AA2617" w:rsidRDefault="00CB5AFB" w:rsidP="00AA2617">
            <w:pPr>
              <w:jc w:val="left"/>
              <w:rPr>
                <w:rFonts w:cs="Times New Roman"/>
                <w:szCs w:val="21"/>
                <w:lang w:val="en-GB"/>
              </w:rPr>
            </w:pPr>
            <w:r w:rsidRPr="00AA2617">
              <w:rPr>
                <w:rFonts w:cs="Times New Roman"/>
                <w:szCs w:val="21"/>
                <w:lang w:val="en-GB"/>
              </w:rPr>
              <w:t>UNFCCC</w:t>
            </w:r>
          </w:p>
        </w:tc>
        <w:tc>
          <w:tcPr>
            <w:tcW w:w="7609" w:type="dxa"/>
            <w:vAlign w:val="center"/>
          </w:tcPr>
          <w:p w14:paraId="40B80EA1" w14:textId="77777777" w:rsidR="00CB5AFB" w:rsidRPr="00AA2617" w:rsidRDefault="00CB5AFB" w:rsidP="00AA2617">
            <w:pPr>
              <w:jc w:val="left"/>
              <w:rPr>
                <w:rFonts w:cs="Times New Roman"/>
                <w:szCs w:val="21"/>
                <w:lang w:val="en-GB"/>
              </w:rPr>
            </w:pPr>
            <w:r w:rsidRPr="00AA2617">
              <w:rPr>
                <w:rFonts w:cs="Times New Roman"/>
                <w:iCs/>
                <w:szCs w:val="21"/>
                <w:lang w:val="en-GB"/>
              </w:rPr>
              <w:t>United Nations Framework Convention on Climate Change </w:t>
            </w:r>
          </w:p>
        </w:tc>
      </w:tr>
      <w:bookmarkEnd w:id="12"/>
    </w:tbl>
    <w:p w14:paraId="18E1FF2C" w14:textId="77777777" w:rsidR="00B367B7" w:rsidRPr="00AA2617" w:rsidRDefault="00B367B7" w:rsidP="00AA2617">
      <w:pPr>
        <w:rPr>
          <w:rFonts w:cs="Times New Roman"/>
          <w:szCs w:val="21"/>
          <w:lang w:val="en-GB"/>
        </w:rPr>
      </w:pPr>
    </w:p>
    <w:p w14:paraId="31070CBB" w14:textId="77777777" w:rsidR="00DB113C" w:rsidRPr="00AA2617" w:rsidRDefault="00DB113C" w:rsidP="00AA2617">
      <w:pPr>
        <w:rPr>
          <w:rFonts w:cs="Times New Roman"/>
          <w:lang w:val="en-GB"/>
        </w:rPr>
      </w:pPr>
      <w:r w:rsidRPr="00AA2617">
        <w:rPr>
          <w:rFonts w:cs="Times New Roman"/>
          <w:lang w:val="en-GB"/>
        </w:rPr>
        <w:lastRenderedPageBreak/>
        <w:br w:type="page"/>
      </w:r>
    </w:p>
    <w:p w14:paraId="7680424A" w14:textId="77777777" w:rsidR="00DB113C" w:rsidRPr="00AA2617" w:rsidRDefault="001D267C" w:rsidP="00AA2617">
      <w:pPr>
        <w:pStyle w:val="ProDocSectionHeading"/>
        <w:rPr>
          <w:lang w:val="en-GB"/>
        </w:rPr>
      </w:pPr>
      <w:bookmarkStart w:id="13" w:name="_Toc9249168"/>
      <w:r w:rsidRPr="00AA2617">
        <w:rPr>
          <w:lang w:val="en-GB"/>
        </w:rPr>
        <w:lastRenderedPageBreak/>
        <w:t>Section 1:  Project Rationale</w:t>
      </w:r>
      <w:bookmarkEnd w:id="13"/>
    </w:p>
    <w:p w14:paraId="317C015A" w14:textId="77777777" w:rsidR="00257FFB" w:rsidRPr="00AA2617" w:rsidRDefault="00DC072F" w:rsidP="00AA2617">
      <w:pPr>
        <w:pStyle w:val="Heading2"/>
        <w:rPr>
          <w:b/>
          <w:szCs w:val="22"/>
          <w:lang w:val="en-GB"/>
        </w:rPr>
      </w:pPr>
      <w:bookmarkStart w:id="14" w:name="_Toc9249169"/>
      <w:r w:rsidRPr="00AA2617">
        <w:rPr>
          <w:b/>
          <w:szCs w:val="22"/>
          <w:lang w:val="en-GB"/>
        </w:rPr>
        <w:t>Context A</w:t>
      </w:r>
      <w:r w:rsidR="00DB113C" w:rsidRPr="00AA2617">
        <w:rPr>
          <w:b/>
          <w:szCs w:val="22"/>
          <w:lang w:val="en-GB"/>
        </w:rPr>
        <w:t>nalysi</w:t>
      </w:r>
      <w:r w:rsidR="006A6C88" w:rsidRPr="00AA2617">
        <w:rPr>
          <w:b/>
          <w:szCs w:val="22"/>
          <w:lang w:val="en-GB"/>
        </w:rPr>
        <w:t>s</w:t>
      </w:r>
      <w:bookmarkEnd w:id="14"/>
    </w:p>
    <w:p w14:paraId="7D4CA5E5" w14:textId="5E7D825A" w:rsidR="00C011C4" w:rsidRPr="00AA2617" w:rsidRDefault="00C011C4" w:rsidP="00AA2617">
      <w:pPr>
        <w:pStyle w:val="NumberedParagraph"/>
        <w:ind w:left="360"/>
        <w:rPr>
          <w:sz w:val="22"/>
          <w:lang w:val="en-GB"/>
        </w:rPr>
      </w:pPr>
      <w:r w:rsidRPr="00AA2617">
        <w:rPr>
          <w:sz w:val="22"/>
          <w:lang w:val="en-GB"/>
        </w:rPr>
        <w:t xml:space="preserve">The primary aim of this project is to improve the quality of information available to stakeholders regarding climate change in </w:t>
      </w:r>
      <w:r w:rsidR="0091322D" w:rsidRPr="00AA2617">
        <w:rPr>
          <w:sz w:val="22"/>
          <w:lang w:val="en-GB"/>
        </w:rPr>
        <w:t>Sri Lanka’s</w:t>
      </w:r>
      <w:r w:rsidRPr="00AA2617">
        <w:rPr>
          <w:sz w:val="22"/>
          <w:lang w:val="en-GB"/>
        </w:rPr>
        <w:t xml:space="preserve"> agriculture, forestry, and other land uses </w:t>
      </w:r>
      <w:r w:rsidR="0012202E" w:rsidRPr="00AA2617">
        <w:rPr>
          <w:sz w:val="22"/>
          <w:lang w:val="en-GB"/>
        </w:rPr>
        <w:t xml:space="preserve">(AFOLU) </w:t>
      </w:r>
      <w:r w:rsidRPr="00AA2617">
        <w:rPr>
          <w:sz w:val="22"/>
          <w:lang w:val="en-GB"/>
        </w:rPr>
        <w:t>sector.</w:t>
      </w:r>
    </w:p>
    <w:p w14:paraId="008537FC" w14:textId="77777777" w:rsidR="00C011C4" w:rsidRPr="00AA2617" w:rsidRDefault="00481B94" w:rsidP="00AA2617">
      <w:pPr>
        <w:pStyle w:val="Heading3"/>
        <w:rPr>
          <w:b/>
          <w:szCs w:val="22"/>
          <w:lang w:val="en-GB"/>
        </w:rPr>
      </w:pPr>
      <w:bookmarkStart w:id="15" w:name="_Toc9249170"/>
      <w:r w:rsidRPr="00AA2617">
        <w:rPr>
          <w:b/>
          <w:szCs w:val="22"/>
          <w:lang w:val="en-GB"/>
        </w:rPr>
        <w:t>Global context</w:t>
      </w:r>
      <w:bookmarkEnd w:id="15"/>
    </w:p>
    <w:p w14:paraId="11C16058" w14:textId="77777777" w:rsidR="00692685" w:rsidRPr="00AA2617" w:rsidRDefault="00692685" w:rsidP="00AA2617">
      <w:pPr>
        <w:pStyle w:val="NumberedParagraph"/>
        <w:ind w:left="360"/>
        <w:rPr>
          <w:sz w:val="22"/>
          <w:lang w:val="en-GB"/>
        </w:rPr>
      </w:pPr>
      <w:r w:rsidRPr="00AA2617">
        <w:rPr>
          <w:sz w:val="22"/>
          <w:lang w:val="en-GB"/>
        </w:rPr>
        <w:t>The Paris Agreement</w:t>
      </w:r>
      <w:r w:rsidR="00D608EA" w:rsidRPr="00AA2617">
        <w:rPr>
          <w:sz w:val="22"/>
          <w:lang w:val="en-GB"/>
        </w:rPr>
        <w:t xml:space="preserve"> was adopted at the 21st </w:t>
      </w:r>
      <w:r w:rsidRPr="00AA2617">
        <w:rPr>
          <w:sz w:val="22"/>
          <w:lang w:val="en-GB"/>
        </w:rPr>
        <w:t>Conference of the Parties (COP) to the United Nations Framework Convention on Climate Change (UNFCCC)</w:t>
      </w:r>
      <w:r w:rsidR="00FE1EBD" w:rsidRPr="00AA2617">
        <w:rPr>
          <w:sz w:val="22"/>
          <w:lang w:val="en-GB"/>
        </w:rPr>
        <w:t xml:space="preserve"> in December, 2015, and</w:t>
      </w:r>
      <w:r w:rsidRPr="00AA2617">
        <w:rPr>
          <w:sz w:val="22"/>
          <w:lang w:val="en-GB"/>
        </w:rPr>
        <w:t xml:space="preserve"> entered into force on 4 November 2016. The landmark agreement aims to strengthen the global response to the threat of climate change by limiting a global temperature rise </w:t>
      </w:r>
      <w:r w:rsidR="00D608EA" w:rsidRPr="00AA2617">
        <w:rPr>
          <w:sz w:val="22"/>
          <w:lang w:val="en-GB"/>
        </w:rPr>
        <w:t xml:space="preserve">in the 21st </w:t>
      </w:r>
      <w:r w:rsidRPr="00AA2617">
        <w:rPr>
          <w:sz w:val="22"/>
          <w:lang w:val="en-GB"/>
        </w:rPr>
        <w:t xml:space="preserve">century to a maximum of </w:t>
      </w:r>
      <w:r w:rsidR="00D608EA" w:rsidRPr="00AA2617">
        <w:rPr>
          <w:sz w:val="22"/>
          <w:lang w:val="en-GB"/>
        </w:rPr>
        <w:t>2</w:t>
      </w:r>
      <w:r w:rsidRPr="00AA2617">
        <w:rPr>
          <w:sz w:val="22"/>
          <w:lang w:val="en-GB"/>
        </w:rPr>
        <w:t xml:space="preserve"> degrees Celsius </w:t>
      </w:r>
      <w:r w:rsidR="00D608EA" w:rsidRPr="00AA2617">
        <w:rPr>
          <w:sz w:val="22"/>
          <w:lang w:val="en-GB"/>
        </w:rPr>
        <w:t>(°</w:t>
      </w:r>
      <w:r w:rsidR="00FE1EBD" w:rsidRPr="00AA2617">
        <w:rPr>
          <w:sz w:val="22"/>
          <w:lang w:val="en-GB"/>
        </w:rPr>
        <w:t xml:space="preserve"> </w:t>
      </w:r>
      <w:r w:rsidR="00D608EA" w:rsidRPr="00AA2617">
        <w:rPr>
          <w:sz w:val="22"/>
          <w:lang w:val="en-GB"/>
        </w:rPr>
        <w:t xml:space="preserve">C) </w:t>
      </w:r>
      <w:r w:rsidRPr="00AA2617">
        <w:rPr>
          <w:sz w:val="22"/>
          <w:lang w:val="en-GB"/>
        </w:rPr>
        <w:t>above pre-industri</w:t>
      </w:r>
      <w:r w:rsidR="00D608EA" w:rsidRPr="00AA2617">
        <w:rPr>
          <w:sz w:val="22"/>
          <w:lang w:val="en-GB"/>
        </w:rPr>
        <w:t xml:space="preserve">al levels and to try </w:t>
      </w:r>
      <w:r w:rsidRPr="00AA2617">
        <w:rPr>
          <w:sz w:val="22"/>
          <w:lang w:val="en-GB"/>
        </w:rPr>
        <w:t>to limit the temperature increase to 1.5</w:t>
      </w:r>
      <w:r w:rsidR="00D608EA" w:rsidRPr="00AA2617">
        <w:rPr>
          <w:sz w:val="22"/>
          <w:lang w:val="en-GB"/>
        </w:rPr>
        <w:t>° C</w:t>
      </w:r>
      <w:r w:rsidRPr="00AA2617">
        <w:rPr>
          <w:sz w:val="22"/>
          <w:lang w:val="en-GB"/>
        </w:rPr>
        <w:t>. Additionally, the Paris Agreement aims to strengthen the ability of countries to respond and adapt to climate change.</w:t>
      </w:r>
    </w:p>
    <w:p w14:paraId="4299C060" w14:textId="77777777" w:rsidR="00315467" w:rsidRPr="00AA2617" w:rsidRDefault="00136979" w:rsidP="00AA2617">
      <w:pPr>
        <w:pStyle w:val="NumberedParagraph"/>
        <w:ind w:left="360"/>
        <w:rPr>
          <w:sz w:val="22"/>
          <w:lang w:val="en-GB"/>
        </w:rPr>
      </w:pPr>
      <w:r w:rsidRPr="00AA2617">
        <w:rPr>
          <w:sz w:val="22"/>
          <w:lang w:val="en-GB"/>
        </w:rPr>
        <w:t>The agreement requires all p</w:t>
      </w:r>
      <w:r w:rsidR="00692685" w:rsidRPr="00AA2617">
        <w:rPr>
          <w:sz w:val="22"/>
          <w:lang w:val="en-GB"/>
        </w:rPr>
        <w:t xml:space="preserve">arties to communicate </w:t>
      </w:r>
      <w:r w:rsidRPr="00AA2617">
        <w:rPr>
          <w:sz w:val="22"/>
          <w:lang w:val="en-GB"/>
        </w:rPr>
        <w:t xml:space="preserve">associated national commitments via </w:t>
      </w:r>
      <w:r w:rsidR="00692685" w:rsidRPr="00AA2617">
        <w:rPr>
          <w:sz w:val="22"/>
          <w:lang w:val="en-GB"/>
        </w:rPr>
        <w:t xml:space="preserve">Nationally Determined Contributions (NDCs). A country’s NDC </w:t>
      </w:r>
      <w:r w:rsidRPr="00AA2617">
        <w:rPr>
          <w:sz w:val="22"/>
          <w:lang w:val="en-GB"/>
        </w:rPr>
        <w:t>establishes targets for sector-specific greenhouse gas (GHG) emissions and sinks, as well as intended eff</w:t>
      </w:r>
      <w:r w:rsidR="0065090E" w:rsidRPr="00AA2617">
        <w:rPr>
          <w:sz w:val="22"/>
          <w:lang w:val="en-GB"/>
        </w:rPr>
        <w:t xml:space="preserve">orts to achieve those targets.  </w:t>
      </w:r>
      <w:r w:rsidR="004407C9" w:rsidRPr="00AA2617">
        <w:rPr>
          <w:sz w:val="22"/>
          <w:lang w:val="en-GB"/>
        </w:rPr>
        <w:t>NDCs are submitted at least 5 years prior to the start of the 5-y</w:t>
      </w:r>
      <w:r w:rsidR="00217FD8" w:rsidRPr="00AA2617">
        <w:rPr>
          <w:sz w:val="22"/>
          <w:lang w:val="en-GB"/>
        </w:rPr>
        <w:t>ear period covered by an NDC.</w:t>
      </w:r>
      <w:r w:rsidR="00217FD8" w:rsidRPr="00AA2617">
        <w:rPr>
          <w:vertAlign w:val="superscript"/>
        </w:rPr>
        <w:footnoteReference w:id="2"/>
      </w:r>
      <w:r w:rsidR="00217FD8" w:rsidRPr="00AA2617">
        <w:rPr>
          <w:sz w:val="22"/>
          <w:vertAlign w:val="superscript"/>
          <w:lang w:val="en-GB"/>
        </w:rPr>
        <w:t xml:space="preserve"> </w:t>
      </w:r>
      <w:r w:rsidR="00217FD8" w:rsidRPr="00AA2617">
        <w:rPr>
          <w:sz w:val="22"/>
          <w:lang w:val="en-GB"/>
        </w:rPr>
        <w:t xml:space="preserve"> </w:t>
      </w:r>
      <w:r w:rsidR="004407C9" w:rsidRPr="00AA2617">
        <w:rPr>
          <w:sz w:val="22"/>
          <w:lang w:val="en-GB"/>
        </w:rPr>
        <w:t>Under the agreement, a</w:t>
      </w:r>
      <w:r w:rsidR="00315467" w:rsidRPr="00AA2617">
        <w:rPr>
          <w:sz w:val="22"/>
          <w:lang w:val="en-GB"/>
        </w:rPr>
        <w:t>ll parties</w:t>
      </w:r>
      <w:r w:rsidR="004407C9" w:rsidRPr="00AA2617">
        <w:rPr>
          <w:sz w:val="22"/>
          <w:lang w:val="en-GB"/>
        </w:rPr>
        <w:t xml:space="preserve"> commit</w:t>
      </w:r>
      <w:r w:rsidR="00315467" w:rsidRPr="00AA2617">
        <w:rPr>
          <w:sz w:val="22"/>
          <w:lang w:val="en-GB"/>
        </w:rPr>
        <w:t xml:space="preserve"> to provide this information on mitigation targets and efforts</w:t>
      </w:r>
      <w:r w:rsidR="00D608EA" w:rsidRPr="00AA2617">
        <w:rPr>
          <w:sz w:val="22"/>
          <w:lang w:val="en-GB"/>
        </w:rPr>
        <w:t xml:space="preserve"> via national communications (NCs), with interim updates submitted via biennial update reports (BURs)</w:t>
      </w:r>
      <w:r w:rsidR="00217FD8" w:rsidRPr="00AA2617">
        <w:rPr>
          <w:sz w:val="22"/>
          <w:lang w:val="en-GB"/>
        </w:rPr>
        <w:t>.</w:t>
      </w:r>
    </w:p>
    <w:p w14:paraId="1F75EEE4" w14:textId="061A8C50" w:rsidR="005D3646" w:rsidRPr="00AA2617" w:rsidRDefault="00315467" w:rsidP="00AA2617">
      <w:pPr>
        <w:pStyle w:val="NumberedParagraph"/>
        <w:ind w:left="360"/>
        <w:rPr>
          <w:sz w:val="22"/>
          <w:lang w:val="en-GB"/>
        </w:rPr>
      </w:pPr>
      <w:r w:rsidRPr="00AA2617">
        <w:rPr>
          <w:sz w:val="22"/>
          <w:lang w:val="en-GB"/>
        </w:rPr>
        <w:t xml:space="preserve">Article 13 of the Paris Agreement describes a planned Enhanced Transparency Framework (ETF) for measurement, reporting, and verification (MRV) associated with UNFCCC commitments.  Although </w:t>
      </w:r>
      <w:r w:rsidR="00CF7A08" w:rsidRPr="00AA2617">
        <w:rPr>
          <w:sz w:val="22"/>
          <w:lang w:val="en-GB"/>
        </w:rPr>
        <w:t xml:space="preserve">parts </w:t>
      </w:r>
      <w:r w:rsidRPr="00AA2617">
        <w:rPr>
          <w:sz w:val="22"/>
          <w:lang w:val="en-GB"/>
        </w:rPr>
        <w:t xml:space="preserve">of the ETF </w:t>
      </w:r>
      <w:r w:rsidR="004407C9" w:rsidRPr="00AA2617">
        <w:rPr>
          <w:sz w:val="22"/>
          <w:lang w:val="en-GB"/>
        </w:rPr>
        <w:t xml:space="preserve">and associated modalities, procedures, and guidelines (MPGs) </w:t>
      </w:r>
      <w:r w:rsidRPr="00AA2617">
        <w:rPr>
          <w:sz w:val="22"/>
          <w:lang w:val="en-GB"/>
        </w:rPr>
        <w:t xml:space="preserve">are </w:t>
      </w:r>
      <w:r w:rsidR="00CF7A08" w:rsidRPr="00AA2617">
        <w:rPr>
          <w:sz w:val="22"/>
          <w:lang w:val="en-GB"/>
        </w:rPr>
        <w:t>still</w:t>
      </w:r>
      <w:r w:rsidR="00E96589" w:rsidRPr="00AA2617">
        <w:rPr>
          <w:vertAlign w:val="superscript"/>
        </w:rPr>
        <w:footnoteReference w:id="3"/>
      </w:r>
      <w:r w:rsidRPr="00AA2617">
        <w:rPr>
          <w:sz w:val="22"/>
          <w:lang w:val="en-GB"/>
        </w:rPr>
        <w:t xml:space="preserve"> under development,</w:t>
      </w:r>
      <w:r w:rsidR="00CF7A08" w:rsidRPr="00AA2617">
        <w:rPr>
          <w:sz w:val="22"/>
          <w:lang w:val="en-GB"/>
        </w:rPr>
        <w:t xml:space="preserve"> the MPG for the transparency</w:t>
      </w:r>
      <w:r w:rsidR="0065090E" w:rsidRPr="00AA2617">
        <w:rPr>
          <w:sz w:val="22"/>
          <w:lang w:val="en-GB"/>
        </w:rPr>
        <w:t xml:space="preserve"> </w:t>
      </w:r>
      <w:r w:rsidR="00CF7A08" w:rsidRPr="00AA2617">
        <w:rPr>
          <w:sz w:val="22"/>
          <w:lang w:val="en-GB"/>
        </w:rPr>
        <w:t xml:space="preserve">framework </w:t>
      </w:r>
      <w:r w:rsidR="00E3518E" w:rsidRPr="00AA2617">
        <w:rPr>
          <w:sz w:val="22"/>
          <w:lang w:val="en-GB"/>
        </w:rPr>
        <w:t>sti</w:t>
      </w:r>
      <w:r w:rsidR="006665AC" w:rsidRPr="00AA2617">
        <w:rPr>
          <w:sz w:val="22"/>
          <w:lang w:val="en-GB"/>
        </w:rPr>
        <w:t>pulated</w:t>
      </w:r>
      <w:r w:rsidR="00E3518E" w:rsidRPr="00AA2617">
        <w:rPr>
          <w:sz w:val="22"/>
          <w:lang w:val="en-GB"/>
        </w:rPr>
        <w:t xml:space="preserve"> use of </w:t>
      </w:r>
      <w:r w:rsidR="005D3646" w:rsidRPr="00AA2617">
        <w:rPr>
          <w:sz w:val="22"/>
          <w:lang w:val="en-GB"/>
        </w:rPr>
        <w:t>t</w:t>
      </w:r>
      <w:r w:rsidR="003C2BBD" w:rsidRPr="00AA2617">
        <w:rPr>
          <w:sz w:val="22"/>
          <w:lang w:val="en-GB"/>
        </w:rPr>
        <w:t xml:space="preserve">he Intergovernmental Panel on Climate Change (IPCC) </w:t>
      </w:r>
      <w:r w:rsidR="006665AC" w:rsidRPr="00AA2617">
        <w:rPr>
          <w:sz w:val="22"/>
          <w:lang w:val="en-GB"/>
        </w:rPr>
        <w:t xml:space="preserve"> 2006 </w:t>
      </w:r>
      <w:r w:rsidR="003C2BBD" w:rsidRPr="00AA2617">
        <w:rPr>
          <w:sz w:val="22"/>
          <w:lang w:val="en-GB"/>
        </w:rPr>
        <w:t>Guidelines for National Greenhouse Gas Inventories</w:t>
      </w:r>
      <w:r w:rsidR="006665AC" w:rsidRPr="00AA2617">
        <w:rPr>
          <w:sz w:val="22"/>
          <w:lang w:val="en-GB"/>
        </w:rPr>
        <w:t xml:space="preserve"> or subsequent versions</w:t>
      </w:r>
      <w:r w:rsidR="003C2BBD" w:rsidRPr="00AA2617">
        <w:rPr>
          <w:sz w:val="22"/>
          <w:lang w:val="en-GB"/>
        </w:rPr>
        <w:t xml:space="preserve">, which explain standards and good practices related to MRV for climate change, particularly under UNFCCC.  </w:t>
      </w:r>
    </w:p>
    <w:p w14:paraId="0A5A720E" w14:textId="438583D9" w:rsidR="00045090" w:rsidRPr="00AA2617" w:rsidRDefault="005D3646" w:rsidP="00AA2617">
      <w:pPr>
        <w:pStyle w:val="NumberedParagraph"/>
        <w:ind w:left="360"/>
        <w:rPr>
          <w:sz w:val="22"/>
          <w:lang w:val="en-GB"/>
        </w:rPr>
      </w:pPr>
      <w:r w:rsidRPr="00AA2617">
        <w:rPr>
          <w:sz w:val="22"/>
          <w:lang w:val="en-GB"/>
        </w:rPr>
        <w:t xml:space="preserve">Non-Annex I parties to the Paris Agreement, such as </w:t>
      </w:r>
      <w:r w:rsidR="00A75AE5" w:rsidRPr="00AA2617">
        <w:rPr>
          <w:sz w:val="22"/>
          <w:lang w:val="en-GB"/>
        </w:rPr>
        <w:t>Sri Lanka</w:t>
      </w:r>
      <w:r w:rsidRPr="00AA2617">
        <w:rPr>
          <w:sz w:val="22"/>
          <w:lang w:val="en-GB"/>
        </w:rPr>
        <w:t xml:space="preserve">, commit to MRV associated with climate-change mitigation </w:t>
      </w:r>
      <w:r w:rsidR="00892274" w:rsidRPr="00AA2617">
        <w:rPr>
          <w:sz w:val="22"/>
          <w:lang w:val="en-GB"/>
        </w:rPr>
        <w:t xml:space="preserve">(CCM) </w:t>
      </w:r>
      <w:r w:rsidRPr="00AA2617">
        <w:rPr>
          <w:sz w:val="22"/>
          <w:lang w:val="en-GB"/>
        </w:rPr>
        <w:t>and are encouraged to co</w:t>
      </w:r>
      <w:r w:rsidR="00E96589" w:rsidRPr="00AA2617">
        <w:rPr>
          <w:sz w:val="22"/>
          <w:lang w:val="en-GB"/>
        </w:rPr>
        <w:t>nduct measurement and reporting (M&amp;R)</w:t>
      </w:r>
      <w:r w:rsidR="00E96589" w:rsidRPr="00AA2617">
        <w:rPr>
          <w:vertAlign w:val="superscript"/>
        </w:rPr>
        <w:footnoteReference w:id="4"/>
      </w:r>
      <w:r w:rsidRPr="00AA2617">
        <w:rPr>
          <w:sz w:val="22"/>
          <w:lang w:val="en-GB"/>
        </w:rPr>
        <w:t xml:space="preserve"> associated with climate-change adaptation</w:t>
      </w:r>
      <w:r w:rsidR="00892274" w:rsidRPr="00AA2617">
        <w:rPr>
          <w:sz w:val="22"/>
          <w:lang w:val="en-GB"/>
        </w:rPr>
        <w:t xml:space="preserve"> (CCA)</w:t>
      </w:r>
      <w:r w:rsidRPr="00AA2617">
        <w:rPr>
          <w:sz w:val="22"/>
          <w:lang w:val="en-GB"/>
        </w:rPr>
        <w:t>.   In o</w:t>
      </w:r>
      <w:r w:rsidR="00217FD8" w:rsidRPr="00AA2617">
        <w:rPr>
          <w:sz w:val="22"/>
          <w:lang w:val="en-GB"/>
        </w:rPr>
        <w:t>rder to facilitate international</w:t>
      </w:r>
      <w:r w:rsidRPr="00AA2617">
        <w:rPr>
          <w:sz w:val="22"/>
          <w:lang w:val="en-GB"/>
        </w:rPr>
        <w:t xml:space="preserve"> aggregation of information and periodic global GHG stock-taking, country-level mitigation-related MRV entails reporting on </w:t>
      </w:r>
      <w:r w:rsidR="00B3522E" w:rsidRPr="00AA2617">
        <w:rPr>
          <w:sz w:val="22"/>
          <w:lang w:val="en-GB"/>
        </w:rPr>
        <w:t xml:space="preserve">(i) </w:t>
      </w:r>
      <w:r w:rsidRPr="00AA2617">
        <w:rPr>
          <w:sz w:val="22"/>
          <w:lang w:val="en-GB"/>
        </w:rPr>
        <w:t xml:space="preserve">carbon stocks and GHG fluxes (GHG emissions and removals) </w:t>
      </w:r>
      <w:r w:rsidR="00B3522E" w:rsidRPr="00AA2617">
        <w:rPr>
          <w:sz w:val="22"/>
          <w:lang w:val="en-GB"/>
        </w:rPr>
        <w:t>and (ii) progress on mitigation-related actions established in a country’s NDC.</w:t>
      </w:r>
      <w:r w:rsidR="00B3522E" w:rsidRPr="00AA2617">
        <w:rPr>
          <w:vertAlign w:val="superscript"/>
        </w:rPr>
        <w:footnoteReference w:id="5"/>
      </w:r>
      <w:r w:rsidR="005E63D2" w:rsidRPr="00AA2617">
        <w:rPr>
          <w:sz w:val="22"/>
          <w:lang w:val="en-GB"/>
        </w:rPr>
        <w:t xml:space="preserve">  </w:t>
      </w:r>
      <w:r w:rsidR="00045090" w:rsidRPr="00AA2617">
        <w:rPr>
          <w:sz w:val="22"/>
          <w:lang w:val="en-GB"/>
        </w:rPr>
        <w:t xml:space="preserve">Table </w:t>
      </w:r>
      <w:r w:rsidR="000F72A3" w:rsidRPr="00AA2617">
        <w:rPr>
          <w:sz w:val="22"/>
          <w:lang w:val="en-GB"/>
        </w:rPr>
        <w:t>1</w:t>
      </w:r>
      <w:r w:rsidR="00045090" w:rsidRPr="00AA2617">
        <w:rPr>
          <w:sz w:val="22"/>
          <w:lang w:val="en-GB"/>
        </w:rPr>
        <w:t xml:space="preserve"> presents the </w:t>
      </w:r>
      <w:r w:rsidR="00045090" w:rsidRPr="00AA2617">
        <w:rPr>
          <w:sz w:val="22"/>
          <w:lang w:val="en-GB"/>
        </w:rPr>
        <w:lastRenderedPageBreak/>
        <w:t xml:space="preserve">types of information </w:t>
      </w:r>
      <w:r w:rsidR="00066693" w:rsidRPr="00AA2617">
        <w:rPr>
          <w:sz w:val="22"/>
          <w:lang w:val="en-GB"/>
        </w:rPr>
        <w:t xml:space="preserve">to </w:t>
      </w:r>
      <w:r w:rsidR="00DC43B3" w:rsidRPr="00AA2617">
        <w:rPr>
          <w:sz w:val="22"/>
          <w:lang w:val="en-GB"/>
        </w:rPr>
        <w:t xml:space="preserve">be </w:t>
      </w:r>
      <w:r w:rsidR="00045090" w:rsidRPr="00AA2617">
        <w:rPr>
          <w:sz w:val="22"/>
          <w:lang w:val="en-GB"/>
        </w:rPr>
        <w:t xml:space="preserve">collected and reported </w:t>
      </w:r>
      <w:r w:rsidR="00066693" w:rsidRPr="00AA2617">
        <w:rPr>
          <w:sz w:val="22"/>
          <w:lang w:val="en-GB"/>
        </w:rPr>
        <w:t>on</w:t>
      </w:r>
      <w:r w:rsidR="00045090" w:rsidRPr="00AA2617">
        <w:rPr>
          <w:sz w:val="22"/>
          <w:lang w:val="en-GB"/>
        </w:rPr>
        <w:t xml:space="preserve"> climate-change mitigation and adaptation</w:t>
      </w:r>
      <w:r w:rsidR="00066693" w:rsidRPr="00AA2617">
        <w:rPr>
          <w:sz w:val="22"/>
          <w:lang w:val="en-GB"/>
        </w:rPr>
        <w:t xml:space="preserve"> under the modalities, procedures and guidelines for the transparency framework</w:t>
      </w:r>
      <w:r w:rsidR="00045090" w:rsidRPr="00AA2617">
        <w:rPr>
          <w:sz w:val="22"/>
          <w:lang w:val="en-GB"/>
        </w:rPr>
        <w:t>.</w:t>
      </w:r>
      <w:r w:rsidR="001B3F3E" w:rsidRPr="00AA2617">
        <w:rPr>
          <w:vertAlign w:val="superscript"/>
        </w:rPr>
        <w:footnoteReference w:id="6"/>
      </w:r>
    </w:p>
    <w:p w14:paraId="4AD632AA" w14:textId="7AA4E12F" w:rsidR="00045090" w:rsidRPr="00AA2617" w:rsidRDefault="00045090" w:rsidP="00AA2617">
      <w:pPr>
        <w:pStyle w:val="NumberedParagraph"/>
        <w:keepNext/>
        <w:numPr>
          <w:ilvl w:val="0"/>
          <w:numId w:val="0"/>
        </w:numPr>
        <w:spacing w:before="240"/>
        <w:ind w:left="360" w:hanging="360"/>
        <w:jc w:val="center"/>
        <w:rPr>
          <w:sz w:val="22"/>
          <w:lang w:val="en-GB"/>
        </w:rPr>
      </w:pPr>
      <w:r w:rsidRPr="00AA2617">
        <w:rPr>
          <w:sz w:val="22"/>
          <w:lang w:val="en-GB"/>
        </w:rPr>
        <w:t xml:space="preserve">Table </w:t>
      </w:r>
      <w:r w:rsidR="000F72A3" w:rsidRPr="00AA2617">
        <w:rPr>
          <w:sz w:val="22"/>
          <w:lang w:val="en-GB"/>
        </w:rPr>
        <w:t>1</w:t>
      </w:r>
      <w:r w:rsidR="00024398" w:rsidRPr="00AA2617">
        <w:rPr>
          <w:sz w:val="22"/>
          <w:lang w:val="en-GB"/>
        </w:rPr>
        <w:t xml:space="preserve">.  </w:t>
      </w:r>
      <w:r w:rsidRPr="00AA2617">
        <w:rPr>
          <w:sz w:val="22"/>
          <w:lang w:val="en-GB"/>
        </w:rPr>
        <w:t>Information</w:t>
      </w:r>
      <w:r w:rsidR="00DC43B3" w:rsidRPr="00AA2617">
        <w:rPr>
          <w:sz w:val="22"/>
          <w:lang w:val="en-GB"/>
        </w:rPr>
        <w:t xml:space="preserve"> to be c</w:t>
      </w:r>
      <w:r w:rsidRPr="00AA2617">
        <w:rPr>
          <w:sz w:val="22"/>
          <w:lang w:val="en-GB"/>
        </w:rPr>
        <w:t xml:space="preserve">ollected and </w:t>
      </w:r>
      <w:r w:rsidR="00DC43B3" w:rsidRPr="00AA2617">
        <w:rPr>
          <w:sz w:val="22"/>
          <w:lang w:val="en-GB"/>
        </w:rPr>
        <w:t>r</w:t>
      </w:r>
      <w:r w:rsidRPr="00AA2617">
        <w:rPr>
          <w:sz w:val="22"/>
          <w:lang w:val="en-GB"/>
        </w:rPr>
        <w:t xml:space="preserve">eported for </w:t>
      </w:r>
      <w:r w:rsidR="00DC43B3" w:rsidRPr="00AA2617">
        <w:rPr>
          <w:sz w:val="22"/>
          <w:lang w:val="en-GB"/>
        </w:rPr>
        <w:t>c</w:t>
      </w:r>
      <w:r w:rsidRPr="00AA2617">
        <w:rPr>
          <w:sz w:val="22"/>
          <w:lang w:val="en-GB"/>
        </w:rPr>
        <w:t>limate-change Mitigation and Adaptation</w:t>
      </w:r>
      <w:r w:rsidR="00CA5A8F" w:rsidRPr="00AA2617">
        <w:rPr>
          <w:sz w:val="22"/>
          <w:lang w:val="en-GB"/>
        </w:rPr>
        <w:t xml:space="preserve"> under the Modalities, Procedures, and Guidelines (MPGs) for the transparency framework for actions and support referred to in Article 13 of the Paris Agreement</w:t>
      </w:r>
    </w:p>
    <w:tbl>
      <w:tblPr>
        <w:tblStyle w:val="TableGrid"/>
        <w:tblW w:w="0" w:type="auto"/>
        <w:tblInd w:w="108" w:type="dxa"/>
        <w:tblLook w:val="04A0" w:firstRow="1" w:lastRow="0" w:firstColumn="1" w:lastColumn="0" w:noHBand="0" w:noVBand="1"/>
      </w:tblPr>
      <w:tblGrid>
        <w:gridCol w:w="787"/>
        <w:gridCol w:w="4050"/>
        <w:gridCol w:w="4071"/>
      </w:tblGrid>
      <w:tr w:rsidR="00450435" w:rsidRPr="00AA2617" w14:paraId="1D972A78" w14:textId="77777777" w:rsidTr="00CA5A8F">
        <w:tc>
          <w:tcPr>
            <w:tcW w:w="787" w:type="dxa"/>
            <w:shd w:val="clear" w:color="auto" w:fill="B4C6E7" w:themeFill="accent1" w:themeFillTint="66"/>
          </w:tcPr>
          <w:p w14:paraId="07EB7866" w14:textId="77777777" w:rsidR="00450435" w:rsidRPr="00AA2617" w:rsidRDefault="00450435" w:rsidP="00AA2617">
            <w:pPr>
              <w:pStyle w:val="Default"/>
              <w:rPr>
                <w:b/>
                <w:sz w:val="22"/>
                <w:lang w:val="en-GB"/>
              </w:rPr>
            </w:pPr>
          </w:p>
        </w:tc>
        <w:tc>
          <w:tcPr>
            <w:tcW w:w="4050" w:type="dxa"/>
            <w:shd w:val="clear" w:color="auto" w:fill="B4C6E7" w:themeFill="accent1" w:themeFillTint="66"/>
          </w:tcPr>
          <w:p w14:paraId="1D61E387" w14:textId="06E7DBE4" w:rsidR="00450435" w:rsidRPr="00AA2617" w:rsidRDefault="00450435" w:rsidP="00AA2617">
            <w:pPr>
              <w:pStyle w:val="Default"/>
              <w:rPr>
                <w:b/>
                <w:sz w:val="22"/>
                <w:lang w:val="en-GB"/>
              </w:rPr>
            </w:pPr>
            <w:r w:rsidRPr="00AA2617">
              <w:rPr>
                <w:b/>
                <w:sz w:val="22"/>
                <w:lang w:val="en-GB"/>
              </w:rPr>
              <w:t xml:space="preserve">Mitigation </w:t>
            </w:r>
          </w:p>
          <w:p w14:paraId="517C4E51" w14:textId="311B717A" w:rsidR="00450435" w:rsidRPr="00AA2617" w:rsidRDefault="00450435" w:rsidP="00AA2617">
            <w:pPr>
              <w:pStyle w:val="Default"/>
              <w:rPr>
                <w:sz w:val="22"/>
                <w:lang w:val="en-GB"/>
              </w:rPr>
            </w:pPr>
            <w:r w:rsidRPr="00AA2617">
              <w:rPr>
                <w:sz w:val="22"/>
                <w:lang w:val="en-GB"/>
              </w:rPr>
              <w:t xml:space="preserve">MPG </w:t>
            </w:r>
            <w:r w:rsidR="00DC43B3" w:rsidRPr="00AA2617">
              <w:rPr>
                <w:sz w:val="22"/>
                <w:lang w:val="en-GB"/>
              </w:rPr>
              <w:t xml:space="preserve">article </w:t>
            </w:r>
            <w:r w:rsidRPr="00AA2617">
              <w:rPr>
                <w:sz w:val="22"/>
                <w:lang w:val="en-GB"/>
              </w:rPr>
              <w:t xml:space="preserve">III: Information necessary to track progress made in implementing and achieving nationally determined contributions under Article 4 of the Paris Agreement. </w:t>
            </w:r>
          </w:p>
        </w:tc>
        <w:tc>
          <w:tcPr>
            <w:tcW w:w="4071" w:type="dxa"/>
            <w:shd w:val="clear" w:color="auto" w:fill="B4C6E7" w:themeFill="accent1" w:themeFillTint="66"/>
          </w:tcPr>
          <w:p w14:paraId="7F3FA63C" w14:textId="77777777" w:rsidR="00450435" w:rsidRPr="00AA2617" w:rsidRDefault="00450435" w:rsidP="00AA2617">
            <w:pPr>
              <w:pStyle w:val="Default"/>
              <w:rPr>
                <w:sz w:val="22"/>
                <w:lang w:val="en-GB"/>
              </w:rPr>
            </w:pPr>
            <w:r w:rsidRPr="00AA2617">
              <w:rPr>
                <w:b/>
                <w:sz w:val="22"/>
                <w:lang w:val="en-GB"/>
              </w:rPr>
              <w:t>Adaptation</w:t>
            </w:r>
            <w:r w:rsidRPr="00AA2617">
              <w:rPr>
                <w:sz w:val="22"/>
                <w:lang w:val="en-GB"/>
              </w:rPr>
              <w:t xml:space="preserve"> </w:t>
            </w:r>
          </w:p>
          <w:p w14:paraId="28D5652D" w14:textId="119E2919" w:rsidR="00450435" w:rsidRPr="00AA2617" w:rsidRDefault="00450435" w:rsidP="00AA2617">
            <w:pPr>
              <w:pStyle w:val="Default"/>
              <w:rPr>
                <w:sz w:val="22"/>
                <w:lang w:val="en-GB"/>
              </w:rPr>
            </w:pPr>
            <w:r w:rsidRPr="00AA2617">
              <w:rPr>
                <w:sz w:val="22"/>
                <w:lang w:val="en-GB"/>
              </w:rPr>
              <w:t xml:space="preserve">MPG </w:t>
            </w:r>
            <w:r w:rsidR="00DC43B3" w:rsidRPr="00AA2617">
              <w:rPr>
                <w:sz w:val="22"/>
                <w:lang w:val="en-GB"/>
              </w:rPr>
              <w:t xml:space="preserve">article </w:t>
            </w:r>
            <w:r w:rsidRPr="00AA2617">
              <w:rPr>
                <w:sz w:val="22"/>
                <w:lang w:val="en-GB"/>
              </w:rPr>
              <w:t>IV: Information related to climate change impacts and adaptation under Article 7 of the Paris Agreement.</w:t>
            </w:r>
          </w:p>
        </w:tc>
      </w:tr>
      <w:tr w:rsidR="00450435" w:rsidRPr="00AA2617" w14:paraId="65A6B667" w14:textId="77777777" w:rsidTr="00CA5A8F">
        <w:tc>
          <w:tcPr>
            <w:tcW w:w="787" w:type="dxa"/>
          </w:tcPr>
          <w:p w14:paraId="31472CEF" w14:textId="77777777" w:rsidR="00450435" w:rsidRPr="00AA2617" w:rsidRDefault="00450435" w:rsidP="00AA2617">
            <w:pPr>
              <w:pStyle w:val="NumberedParagraph"/>
              <w:numPr>
                <w:ilvl w:val="0"/>
                <w:numId w:val="49"/>
              </w:numPr>
              <w:rPr>
                <w:sz w:val="22"/>
                <w:lang w:val="en-GB"/>
              </w:rPr>
            </w:pPr>
          </w:p>
        </w:tc>
        <w:tc>
          <w:tcPr>
            <w:tcW w:w="4050" w:type="dxa"/>
          </w:tcPr>
          <w:p w14:paraId="4B44FD22" w14:textId="6F7687DD" w:rsidR="00450435" w:rsidRPr="00AA2617" w:rsidRDefault="00450435" w:rsidP="00AA2617">
            <w:pPr>
              <w:pStyle w:val="NumberedParagraph"/>
              <w:numPr>
                <w:ilvl w:val="0"/>
                <w:numId w:val="0"/>
              </w:numPr>
              <w:rPr>
                <w:b/>
                <w:sz w:val="22"/>
                <w:lang w:val="en-GB"/>
              </w:rPr>
            </w:pPr>
            <w:r w:rsidRPr="00AA2617">
              <w:rPr>
                <w:b/>
                <w:sz w:val="22"/>
                <w:lang w:val="en-GB"/>
              </w:rPr>
              <w:t>National circumstances and institutional arrangements</w:t>
            </w:r>
          </w:p>
        </w:tc>
        <w:tc>
          <w:tcPr>
            <w:tcW w:w="4071" w:type="dxa"/>
          </w:tcPr>
          <w:p w14:paraId="30AFDC64" w14:textId="6E26DBAB" w:rsidR="00450435" w:rsidRPr="00AA2617" w:rsidRDefault="00450435" w:rsidP="00AA2617">
            <w:pPr>
              <w:pStyle w:val="NumberedParagraph"/>
              <w:numPr>
                <w:ilvl w:val="0"/>
                <w:numId w:val="0"/>
              </w:numPr>
              <w:rPr>
                <w:b/>
                <w:sz w:val="22"/>
                <w:lang w:val="en-GB"/>
              </w:rPr>
            </w:pPr>
            <w:r w:rsidRPr="00AA2617">
              <w:rPr>
                <w:b/>
                <w:sz w:val="22"/>
                <w:lang w:val="en-GB"/>
              </w:rPr>
              <w:t>National</w:t>
            </w:r>
            <w:r w:rsidR="00CA5A8F" w:rsidRPr="00AA2617">
              <w:rPr>
                <w:b/>
                <w:sz w:val="22"/>
                <w:lang w:val="en-GB"/>
              </w:rPr>
              <w:t xml:space="preserve"> </w:t>
            </w:r>
            <w:r w:rsidRPr="00AA2617">
              <w:rPr>
                <w:b/>
                <w:sz w:val="22"/>
                <w:lang w:val="en-GB"/>
              </w:rPr>
              <w:t>circumstances, institutional arrangements and legal frameworks</w:t>
            </w:r>
          </w:p>
        </w:tc>
      </w:tr>
      <w:tr w:rsidR="00450435" w:rsidRPr="00AA2617" w14:paraId="21C46E9C" w14:textId="77777777" w:rsidTr="00CA5A8F">
        <w:tc>
          <w:tcPr>
            <w:tcW w:w="787" w:type="dxa"/>
          </w:tcPr>
          <w:p w14:paraId="46424FDC" w14:textId="5CD23744" w:rsidR="00450435" w:rsidRPr="00AA2617" w:rsidRDefault="00450435" w:rsidP="00AA2617">
            <w:pPr>
              <w:pStyle w:val="NumberedParagraph"/>
              <w:numPr>
                <w:ilvl w:val="0"/>
                <w:numId w:val="49"/>
              </w:numPr>
              <w:rPr>
                <w:sz w:val="22"/>
                <w:lang w:val="en-GB"/>
              </w:rPr>
            </w:pPr>
          </w:p>
        </w:tc>
        <w:tc>
          <w:tcPr>
            <w:tcW w:w="4050" w:type="dxa"/>
          </w:tcPr>
          <w:p w14:paraId="47B07199" w14:textId="1293AC36" w:rsidR="00450435" w:rsidRPr="00AA2617" w:rsidRDefault="00450435" w:rsidP="00AA2617">
            <w:pPr>
              <w:pStyle w:val="NumberedParagraph"/>
              <w:numPr>
                <w:ilvl w:val="0"/>
                <w:numId w:val="0"/>
              </w:numPr>
              <w:rPr>
                <w:sz w:val="22"/>
                <w:lang w:val="en-GB"/>
              </w:rPr>
            </w:pPr>
            <w:r w:rsidRPr="00AA2617">
              <w:rPr>
                <w:b/>
                <w:sz w:val="22"/>
                <w:lang w:val="en-GB"/>
              </w:rPr>
              <w:t>Description of a Party’s nationally determined contribution</w:t>
            </w:r>
            <w:r w:rsidRPr="00AA2617">
              <w:rPr>
                <w:sz w:val="22"/>
                <w:lang w:val="en-GB"/>
              </w:rPr>
              <w:t xml:space="preserve"> under Article 4 of the Paris Agreement, including updates</w:t>
            </w:r>
          </w:p>
        </w:tc>
        <w:tc>
          <w:tcPr>
            <w:tcW w:w="4071" w:type="dxa"/>
          </w:tcPr>
          <w:p w14:paraId="5702CECD" w14:textId="7FF87135" w:rsidR="00450435" w:rsidRPr="00AA2617" w:rsidRDefault="00450435" w:rsidP="00AA2617">
            <w:pPr>
              <w:pStyle w:val="NumberedParagraph"/>
              <w:numPr>
                <w:ilvl w:val="0"/>
                <w:numId w:val="0"/>
              </w:numPr>
              <w:rPr>
                <w:b/>
                <w:sz w:val="22"/>
                <w:lang w:val="en-GB"/>
              </w:rPr>
            </w:pPr>
            <w:r w:rsidRPr="00AA2617">
              <w:rPr>
                <w:b/>
                <w:sz w:val="22"/>
                <w:lang w:val="en-GB"/>
              </w:rPr>
              <w:t>Impacts, risks and vulnerabilities</w:t>
            </w:r>
          </w:p>
        </w:tc>
      </w:tr>
      <w:tr w:rsidR="00450435" w:rsidRPr="00AA2617" w14:paraId="3F7C1632" w14:textId="77777777" w:rsidTr="00CA5A8F">
        <w:tc>
          <w:tcPr>
            <w:tcW w:w="787" w:type="dxa"/>
          </w:tcPr>
          <w:p w14:paraId="57717BED" w14:textId="3FE76FE2" w:rsidR="00450435" w:rsidRPr="00AA2617" w:rsidRDefault="00450435" w:rsidP="00AA2617">
            <w:pPr>
              <w:pStyle w:val="NumberedParagraph"/>
              <w:numPr>
                <w:ilvl w:val="0"/>
                <w:numId w:val="49"/>
              </w:numPr>
              <w:rPr>
                <w:sz w:val="22"/>
                <w:lang w:val="en-GB"/>
              </w:rPr>
            </w:pPr>
          </w:p>
        </w:tc>
        <w:tc>
          <w:tcPr>
            <w:tcW w:w="4050" w:type="dxa"/>
          </w:tcPr>
          <w:p w14:paraId="07D40BE0" w14:textId="78FE8642" w:rsidR="00450435" w:rsidRPr="00AA2617" w:rsidRDefault="00450435" w:rsidP="00AA2617">
            <w:pPr>
              <w:pStyle w:val="NumberedParagraph"/>
              <w:numPr>
                <w:ilvl w:val="0"/>
                <w:numId w:val="0"/>
              </w:numPr>
              <w:rPr>
                <w:sz w:val="22"/>
                <w:lang w:val="en-GB"/>
              </w:rPr>
            </w:pPr>
            <w:r w:rsidRPr="00AA2617">
              <w:rPr>
                <w:b/>
                <w:sz w:val="22"/>
                <w:lang w:val="en-GB"/>
              </w:rPr>
              <w:t>Information necessary to track progress made in implementing and achieving its nationally determined contribution</w:t>
            </w:r>
            <w:r w:rsidRPr="00AA2617">
              <w:rPr>
                <w:sz w:val="22"/>
                <w:lang w:val="en-GB"/>
              </w:rPr>
              <w:t xml:space="preserve"> under Article 4 of the Paris Agreement</w:t>
            </w:r>
          </w:p>
        </w:tc>
        <w:tc>
          <w:tcPr>
            <w:tcW w:w="4071" w:type="dxa"/>
          </w:tcPr>
          <w:p w14:paraId="2464FFE2" w14:textId="77777777" w:rsidR="00450435" w:rsidRPr="00AA2617" w:rsidRDefault="00450435" w:rsidP="00AA2617">
            <w:pPr>
              <w:pStyle w:val="NumberedParagraph"/>
              <w:numPr>
                <w:ilvl w:val="0"/>
                <w:numId w:val="0"/>
              </w:numPr>
              <w:rPr>
                <w:b/>
                <w:sz w:val="22"/>
                <w:lang w:val="en-GB"/>
              </w:rPr>
            </w:pPr>
            <w:r w:rsidRPr="00AA2617">
              <w:rPr>
                <w:b/>
                <w:sz w:val="22"/>
                <w:lang w:val="en-GB"/>
              </w:rPr>
              <w:t xml:space="preserve">Adaptation priorities and barriers </w:t>
            </w:r>
          </w:p>
          <w:p w14:paraId="51B939D2" w14:textId="77777777" w:rsidR="00450435" w:rsidRPr="00AA2617" w:rsidRDefault="00450435" w:rsidP="00AA2617">
            <w:pPr>
              <w:pStyle w:val="NumberedParagraph"/>
              <w:numPr>
                <w:ilvl w:val="0"/>
                <w:numId w:val="0"/>
              </w:numPr>
              <w:rPr>
                <w:sz w:val="22"/>
                <w:lang w:val="en-GB"/>
              </w:rPr>
            </w:pPr>
          </w:p>
          <w:p w14:paraId="6CD84280" w14:textId="77777777" w:rsidR="00450435" w:rsidRPr="00AA2617" w:rsidRDefault="00450435" w:rsidP="00AA2617">
            <w:pPr>
              <w:pStyle w:val="NumberedParagraph"/>
              <w:numPr>
                <w:ilvl w:val="0"/>
                <w:numId w:val="0"/>
              </w:numPr>
              <w:rPr>
                <w:sz w:val="22"/>
                <w:lang w:val="en-GB"/>
              </w:rPr>
            </w:pPr>
          </w:p>
        </w:tc>
      </w:tr>
      <w:tr w:rsidR="00450435" w:rsidRPr="00AA2617" w14:paraId="61214508" w14:textId="77777777" w:rsidTr="00CA5A8F">
        <w:tc>
          <w:tcPr>
            <w:tcW w:w="787" w:type="dxa"/>
          </w:tcPr>
          <w:p w14:paraId="5D932F34" w14:textId="77777777" w:rsidR="00450435" w:rsidRPr="00AA2617" w:rsidRDefault="00450435" w:rsidP="00AA2617">
            <w:pPr>
              <w:pStyle w:val="NumberedParagraph"/>
              <w:numPr>
                <w:ilvl w:val="0"/>
                <w:numId w:val="49"/>
              </w:numPr>
              <w:rPr>
                <w:sz w:val="22"/>
                <w:lang w:val="en-GB"/>
              </w:rPr>
            </w:pPr>
          </w:p>
        </w:tc>
        <w:tc>
          <w:tcPr>
            <w:tcW w:w="4050" w:type="dxa"/>
          </w:tcPr>
          <w:p w14:paraId="166C5302" w14:textId="37AC06F1" w:rsidR="00450435" w:rsidRPr="00AA2617" w:rsidRDefault="00450435" w:rsidP="00AA2617">
            <w:pPr>
              <w:pStyle w:val="NumberedParagraph"/>
              <w:numPr>
                <w:ilvl w:val="0"/>
                <w:numId w:val="0"/>
              </w:numPr>
              <w:rPr>
                <w:sz w:val="22"/>
                <w:lang w:val="en-GB"/>
              </w:rPr>
            </w:pPr>
            <w:r w:rsidRPr="00AA2617">
              <w:rPr>
                <w:b/>
                <w:sz w:val="22"/>
                <w:lang w:val="en-GB"/>
              </w:rPr>
              <w:t>Mitigation policies and measures, actions and plans</w:t>
            </w:r>
            <w:r w:rsidRPr="00AA2617">
              <w:rPr>
                <w:sz w:val="22"/>
                <w:lang w:val="en-GB"/>
              </w:rPr>
              <w:t>, including those with mitigation co-benefits resulting from adaptation actions and economic diversification plans, related to implementing and achieving a nationally determined contribution under Article 4 of the Paris Agreement</w:t>
            </w:r>
          </w:p>
        </w:tc>
        <w:tc>
          <w:tcPr>
            <w:tcW w:w="4071" w:type="dxa"/>
          </w:tcPr>
          <w:p w14:paraId="54B93B35" w14:textId="6174EF30" w:rsidR="00450435" w:rsidRPr="00AA2617" w:rsidRDefault="00450435" w:rsidP="00AA2617">
            <w:pPr>
              <w:pStyle w:val="NumberedParagraph"/>
              <w:numPr>
                <w:ilvl w:val="0"/>
                <w:numId w:val="0"/>
              </w:numPr>
              <w:rPr>
                <w:sz w:val="22"/>
                <w:lang w:val="en-GB"/>
              </w:rPr>
            </w:pPr>
            <w:r w:rsidRPr="00AA2617">
              <w:rPr>
                <w:b/>
                <w:sz w:val="22"/>
                <w:lang w:val="en-GB"/>
              </w:rPr>
              <w:t>Adaptation strategies, policies, plans, goals and actions</w:t>
            </w:r>
            <w:r w:rsidRPr="00AA2617">
              <w:rPr>
                <w:sz w:val="22"/>
                <w:lang w:val="en-GB"/>
              </w:rPr>
              <w:t xml:space="preserve"> to integrate adaptation into national policies and strategies</w:t>
            </w:r>
          </w:p>
        </w:tc>
      </w:tr>
      <w:tr w:rsidR="00450435" w:rsidRPr="00AA2617" w14:paraId="1483DBAD" w14:textId="77777777" w:rsidTr="00CA5A8F">
        <w:tc>
          <w:tcPr>
            <w:tcW w:w="787" w:type="dxa"/>
          </w:tcPr>
          <w:p w14:paraId="389BEC11" w14:textId="77777777" w:rsidR="00450435" w:rsidRPr="00AA2617" w:rsidRDefault="00450435" w:rsidP="00AA2617">
            <w:pPr>
              <w:pStyle w:val="NumberedParagraph"/>
              <w:numPr>
                <w:ilvl w:val="0"/>
                <w:numId w:val="49"/>
              </w:numPr>
              <w:rPr>
                <w:sz w:val="22"/>
                <w:lang w:val="en-GB"/>
              </w:rPr>
            </w:pPr>
          </w:p>
        </w:tc>
        <w:tc>
          <w:tcPr>
            <w:tcW w:w="4050" w:type="dxa"/>
          </w:tcPr>
          <w:p w14:paraId="54622982" w14:textId="7286CE0E" w:rsidR="00450435" w:rsidRPr="00AA2617" w:rsidRDefault="00450435" w:rsidP="00AA2617">
            <w:pPr>
              <w:pStyle w:val="NumberedParagraph"/>
              <w:numPr>
                <w:ilvl w:val="0"/>
                <w:numId w:val="0"/>
              </w:numPr>
              <w:rPr>
                <w:b/>
                <w:sz w:val="22"/>
                <w:lang w:val="en-GB"/>
              </w:rPr>
            </w:pPr>
            <w:r w:rsidRPr="00AA2617">
              <w:rPr>
                <w:b/>
                <w:sz w:val="22"/>
                <w:lang w:val="en-GB"/>
              </w:rPr>
              <w:t>Summary of greenhouse gas emissions and removals</w:t>
            </w:r>
          </w:p>
        </w:tc>
        <w:tc>
          <w:tcPr>
            <w:tcW w:w="4071" w:type="dxa"/>
          </w:tcPr>
          <w:p w14:paraId="54DF45C1" w14:textId="1073298E" w:rsidR="00450435" w:rsidRPr="00AA2617" w:rsidRDefault="00450435" w:rsidP="00AA2617">
            <w:pPr>
              <w:pStyle w:val="NumberedParagraph"/>
              <w:numPr>
                <w:ilvl w:val="0"/>
                <w:numId w:val="0"/>
              </w:numPr>
              <w:rPr>
                <w:b/>
                <w:sz w:val="22"/>
                <w:lang w:val="en-GB"/>
              </w:rPr>
            </w:pPr>
            <w:r w:rsidRPr="00AA2617">
              <w:rPr>
                <w:b/>
                <w:sz w:val="22"/>
                <w:lang w:val="en-GB"/>
              </w:rPr>
              <w:t>Progress on implementation of adaptation</w:t>
            </w:r>
          </w:p>
        </w:tc>
      </w:tr>
      <w:tr w:rsidR="00450435" w:rsidRPr="00AA2617" w14:paraId="2792CB24" w14:textId="77777777" w:rsidTr="00CA5A8F">
        <w:tc>
          <w:tcPr>
            <w:tcW w:w="787" w:type="dxa"/>
          </w:tcPr>
          <w:p w14:paraId="5C4F46AD" w14:textId="77777777" w:rsidR="00450435" w:rsidRPr="00AA2617" w:rsidRDefault="00450435" w:rsidP="00AA2617">
            <w:pPr>
              <w:pStyle w:val="NumberedParagraph"/>
              <w:numPr>
                <w:ilvl w:val="0"/>
                <w:numId w:val="49"/>
              </w:numPr>
              <w:rPr>
                <w:sz w:val="22"/>
                <w:lang w:val="en-GB"/>
              </w:rPr>
            </w:pPr>
          </w:p>
        </w:tc>
        <w:tc>
          <w:tcPr>
            <w:tcW w:w="4050" w:type="dxa"/>
          </w:tcPr>
          <w:p w14:paraId="218F382B" w14:textId="50BC211D" w:rsidR="00450435" w:rsidRPr="00AA2617" w:rsidRDefault="00450435" w:rsidP="00AA2617">
            <w:pPr>
              <w:pStyle w:val="NumberedParagraph"/>
              <w:numPr>
                <w:ilvl w:val="0"/>
                <w:numId w:val="0"/>
              </w:numPr>
              <w:rPr>
                <w:sz w:val="22"/>
                <w:lang w:val="en-GB"/>
              </w:rPr>
            </w:pPr>
            <w:r w:rsidRPr="00AA2617">
              <w:rPr>
                <w:b/>
                <w:sz w:val="22"/>
                <w:lang w:val="en-GB"/>
              </w:rPr>
              <w:t>Projections of greenhouse gas emissions and removals</w:t>
            </w:r>
            <w:r w:rsidRPr="00AA2617">
              <w:rPr>
                <w:sz w:val="22"/>
                <w:lang w:val="en-GB"/>
              </w:rPr>
              <w:t>, as applicable</w:t>
            </w:r>
          </w:p>
        </w:tc>
        <w:tc>
          <w:tcPr>
            <w:tcW w:w="4071" w:type="dxa"/>
          </w:tcPr>
          <w:p w14:paraId="0E6A8591" w14:textId="1AA10CFF" w:rsidR="00450435" w:rsidRPr="00AA2617" w:rsidRDefault="00450435" w:rsidP="00AA2617">
            <w:pPr>
              <w:pStyle w:val="NumberedParagraph"/>
              <w:numPr>
                <w:ilvl w:val="0"/>
                <w:numId w:val="0"/>
              </w:numPr>
              <w:rPr>
                <w:b/>
                <w:sz w:val="22"/>
                <w:lang w:val="en-GB"/>
              </w:rPr>
            </w:pPr>
            <w:r w:rsidRPr="00AA2617">
              <w:rPr>
                <w:b/>
                <w:sz w:val="22"/>
                <w:lang w:val="en-GB"/>
              </w:rPr>
              <w:t>Monitoring and evaluation of adaptation actions and processes</w:t>
            </w:r>
          </w:p>
        </w:tc>
      </w:tr>
      <w:tr w:rsidR="00B275CF" w:rsidRPr="00AA2617" w14:paraId="20BFF3E3" w14:textId="77777777" w:rsidTr="00CA5A8F">
        <w:tc>
          <w:tcPr>
            <w:tcW w:w="787" w:type="dxa"/>
            <w:vMerge w:val="restart"/>
          </w:tcPr>
          <w:p w14:paraId="7625433E" w14:textId="77777777" w:rsidR="00B275CF" w:rsidRPr="00AA2617" w:rsidRDefault="00B275CF" w:rsidP="00AA2617">
            <w:pPr>
              <w:pStyle w:val="NumberedParagraph"/>
              <w:numPr>
                <w:ilvl w:val="0"/>
                <w:numId w:val="49"/>
              </w:numPr>
              <w:rPr>
                <w:sz w:val="22"/>
                <w:lang w:val="en-GB"/>
              </w:rPr>
            </w:pPr>
          </w:p>
        </w:tc>
        <w:tc>
          <w:tcPr>
            <w:tcW w:w="4050" w:type="dxa"/>
            <w:vMerge w:val="restart"/>
          </w:tcPr>
          <w:p w14:paraId="53D0637B" w14:textId="68573F53" w:rsidR="00B275CF" w:rsidRPr="00AA2617" w:rsidRDefault="00B275CF" w:rsidP="00AA2617">
            <w:pPr>
              <w:pStyle w:val="NumberedParagraph"/>
              <w:numPr>
                <w:ilvl w:val="0"/>
                <w:numId w:val="0"/>
              </w:numPr>
              <w:rPr>
                <w:sz w:val="22"/>
                <w:lang w:val="en-GB"/>
              </w:rPr>
            </w:pPr>
            <w:r w:rsidRPr="00AA2617">
              <w:rPr>
                <w:sz w:val="22"/>
                <w:lang w:val="en-GB"/>
              </w:rPr>
              <w:t>Other information</w:t>
            </w:r>
          </w:p>
        </w:tc>
        <w:tc>
          <w:tcPr>
            <w:tcW w:w="4071" w:type="dxa"/>
          </w:tcPr>
          <w:p w14:paraId="7C854BF5" w14:textId="0E82BB8C" w:rsidR="00B275CF" w:rsidRPr="00AA2617" w:rsidRDefault="00B275CF" w:rsidP="00AA2617">
            <w:pPr>
              <w:pStyle w:val="NumberedParagraph"/>
              <w:numPr>
                <w:ilvl w:val="0"/>
                <w:numId w:val="0"/>
              </w:numPr>
              <w:rPr>
                <w:b/>
                <w:sz w:val="22"/>
                <w:lang w:val="en-GB"/>
              </w:rPr>
            </w:pPr>
            <w:r w:rsidRPr="00AA2617">
              <w:rPr>
                <w:b/>
                <w:sz w:val="22"/>
                <w:lang w:val="en-GB"/>
              </w:rPr>
              <w:t>Information related to averting, minimizing and addressing loss and damage associated with climate change impacts</w:t>
            </w:r>
          </w:p>
        </w:tc>
      </w:tr>
      <w:tr w:rsidR="00B275CF" w:rsidRPr="00AA2617" w14:paraId="3574B501" w14:textId="77777777" w:rsidTr="00CA5A8F">
        <w:tc>
          <w:tcPr>
            <w:tcW w:w="787" w:type="dxa"/>
            <w:vMerge/>
          </w:tcPr>
          <w:p w14:paraId="026F3FE9" w14:textId="28F71693" w:rsidR="00B275CF" w:rsidRPr="00AA2617" w:rsidRDefault="00B275CF" w:rsidP="00AA2617">
            <w:pPr>
              <w:pStyle w:val="NumberedParagraph"/>
              <w:numPr>
                <w:ilvl w:val="0"/>
                <w:numId w:val="49"/>
              </w:numPr>
              <w:rPr>
                <w:sz w:val="22"/>
                <w:lang w:val="en-GB"/>
              </w:rPr>
            </w:pPr>
          </w:p>
        </w:tc>
        <w:tc>
          <w:tcPr>
            <w:tcW w:w="4050" w:type="dxa"/>
            <w:vMerge/>
          </w:tcPr>
          <w:p w14:paraId="16EF6566" w14:textId="0E91978A" w:rsidR="00B275CF" w:rsidRPr="00AA2617" w:rsidRDefault="00B275CF" w:rsidP="00AA2617">
            <w:pPr>
              <w:pStyle w:val="NumberedParagraph"/>
              <w:numPr>
                <w:ilvl w:val="0"/>
                <w:numId w:val="0"/>
              </w:numPr>
              <w:rPr>
                <w:sz w:val="22"/>
                <w:lang w:val="en-GB"/>
              </w:rPr>
            </w:pPr>
          </w:p>
        </w:tc>
        <w:tc>
          <w:tcPr>
            <w:tcW w:w="4071" w:type="dxa"/>
          </w:tcPr>
          <w:p w14:paraId="7911A85B" w14:textId="69B6688C" w:rsidR="00B275CF" w:rsidRPr="00AA2617" w:rsidRDefault="00B275CF" w:rsidP="00AA2617">
            <w:pPr>
              <w:rPr>
                <w:rFonts w:eastAsia="MS Mincho"/>
                <w:color w:val="000000"/>
                <w:sz w:val="24"/>
                <w:lang w:eastAsia="en-GB"/>
              </w:rPr>
            </w:pPr>
            <w:r w:rsidRPr="00AA2617">
              <w:rPr>
                <w:sz w:val="22"/>
                <w:lang w:val="en-GB"/>
              </w:rPr>
              <w:t>Cooperation, good practices, experience and lessons learned</w:t>
            </w:r>
          </w:p>
        </w:tc>
      </w:tr>
      <w:tr w:rsidR="00B275CF" w:rsidRPr="00AA2617" w14:paraId="15AA35EC" w14:textId="77777777" w:rsidTr="00CA5A8F">
        <w:tc>
          <w:tcPr>
            <w:tcW w:w="787" w:type="dxa"/>
            <w:vMerge/>
          </w:tcPr>
          <w:p w14:paraId="1768828D" w14:textId="5908AF37" w:rsidR="00B275CF" w:rsidRPr="00AA2617" w:rsidRDefault="00B275CF" w:rsidP="00AA2617">
            <w:pPr>
              <w:pStyle w:val="NumberedParagraph"/>
              <w:numPr>
                <w:ilvl w:val="0"/>
                <w:numId w:val="49"/>
              </w:numPr>
              <w:rPr>
                <w:sz w:val="22"/>
                <w:lang w:val="en-GB"/>
              </w:rPr>
            </w:pPr>
          </w:p>
        </w:tc>
        <w:tc>
          <w:tcPr>
            <w:tcW w:w="4050" w:type="dxa"/>
            <w:vMerge/>
          </w:tcPr>
          <w:p w14:paraId="7131FB4B" w14:textId="00F378A8" w:rsidR="00B275CF" w:rsidRPr="00AA2617" w:rsidRDefault="00B275CF" w:rsidP="00AA2617">
            <w:pPr>
              <w:pStyle w:val="NumberedParagraph"/>
              <w:numPr>
                <w:ilvl w:val="0"/>
                <w:numId w:val="0"/>
              </w:numPr>
              <w:rPr>
                <w:sz w:val="22"/>
                <w:lang w:val="en-GB"/>
              </w:rPr>
            </w:pPr>
          </w:p>
        </w:tc>
        <w:tc>
          <w:tcPr>
            <w:tcW w:w="4071" w:type="dxa"/>
          </w:tcPr>
          <w:p w14:paraId="25826004" w14:textId="3E7A3F83" w:rsidR="00B275CF" w:rsidRPr="00AA2617" w:rsidRDefault="00B275CF" w:rsidP="00AA2617">
            <w:pPr>
              <w:numPr>
                <w:ilvl w:val="1"/>
                <w:numId w:val="48"/>
              </w:numPr>
              <w:autoSpaceDE w:val="0"/>
              <w:autoSpaceDN w:val="0"/>
              <w:adjustRightInd w:val="0"/>
              <w:spacing w:after="0"/>
              <w:jc w:val="left"/>
              <w:rPr>
                <w:sz w:val="22"/>
                <w:lang w:val="en-GB"/>
              </w:rPr>
            </w:pPr>
            <w:r w:rsidRPr="00AA2617">
              <w:rPr>
                <w:rFonts w:eastAsia="Times New Roman" w:cs="Times New Roman"/>
                <w:sz w:val="22"/>
                <w:lang w:val="en-GB"/>
              </w:rPr>
              <w:t>Any other information related to climate change impacts and adaptation under Article 7 of the Paris Agreement.</w:t>
            </w:r>
          </w:p>
        </w:tc>
      </w:tr>
    </w:tbl>
    <w:p w14:paraId="79BD63A4" w14:textId="08C3E8B0" w:rsidR="00066693" w:rsidRPr="00AA2617" w:rsidRDefault="00066693" w:rsidP="00AA2617">
      <w:pPr>
        <w:pStyle w:val="NumberedParagraph"/>
        <w:numPr>
          <w:ilvl w:val="0"/>
          <w:numId w:val="0"/>
        </w:numPr>
        <w:ind w:left="360"/>
        <w:rPr>
          <w:sz w:val="22"/>
          <w:lang w:val="en-GB"/>
        </w:rPr>
      </w:pPr>
    </w:p>
    <w:p w14:paraId="5EC25D23" w14:textId="100981EC" w:rsidR="00066693" w:rsidRPr="00AA2617" w:rsidRDefault="00066693" w:rsidP="00AA2617">
      <w:pPr>
        <w:pStyle w:val="NumberedParagraph"/>
        <w:numPr>
          <w:ilvl w:val="0"/>
          <w:numId w:val="0"/>
        </w:numPr>
        <w:ind w:left="360"/>
        <w:rPr>
          <w:sz w:val="22"/>
          <w:lang w:val="en-GB"/>
        </w:rPr>
      </w:pPr>
    </w:p>
    <w:p w14:paraId="57C9EA03" w14:textId="77777777" w:rsidR="00066693" w:rsidRPr="00AA2617" w:rsidRDefault="00066693" w:rsidP="00AA2617">
      <w:pPr>
        <w:pStyle w:val="NumberedParagraph"/>
        <w:numPr>
          <w:ilvl w:val="0"/>
          <w:numId w:val="0"/>
        </w:numPr>
        <w:ind w:left="360"/>
        <w:rPr>
          <w:sz w:val="22"/>
          <w:lang w:val="en-GB"/>
        </w:rPr>
      </w:pPr>
    </w:p>
    <w:p w14:paraId="71538A64" w14:textId="0A016BF1" w:rsidR="00C36B85" w:rsidRPr="00AA2617" w:rsidRDefault="005E63D2" w:rsidP="00AA2617">
      <w:pPr>
        <w:pStyle w:val="NumberedParagraph"/>
        <w:ind w:left="360"/>
        <w:rPr>
          <w:sz w:val="22"/>
          <w:lang w:val="en-GB"/>
        </w:rPr>
      </w:pPr>
      <w:r w:rsidRPr="00AA2617">
        <w:rPr>
          <w:sz w:val="22"/>
          <w:lang w:val="en-GB"/>
        </w:rPr>
        <w:t xml:space="preserve">Mitigation-related </w:t>
      </w:r>
      <w:r w:rsidR="00B3522E" w:rsidRPr="00AA2617">
        <w:rPr>
          <w:sz w:val="22"/>
          <w:lang w:val="en-GB"/>
        </w:rPr>
        <w:t>MRV is conducted for</w:t>
      </w:r>
      <w:r w:rsidR="005D3646" w:rsidRPr="00AA2617">
        <w:rPr>
          <w:sz w:val="22"/>
          <w:lang w:val="en-GB"/>
        </w:rPr>
        <w:t xml:space="preserve"> </w:t>
      </w:r>
      <w:r w:rsidR="00B3522E" w:rsidRPr="00AA2617">
        <w:rPr>
          <w:sz w:val="22"/>
          <w:lang w:val="en-GB"/>
        </w:rPr>
        <w:t>four standard</w:t>
      </w:r>
      <w:r w:rsidR="005D3646" w:rsidRPr="00AA2617">
        <w:rPr>
          <w:sz w:val="22"/>
          <w:lang w:val="en-GB"/>
        </w:rPr>
        <w:t xml:space="preserve"> sectors:  Energy, Industrial Processes and Product Use, AFOLU, and Waste.  Each sector encompasses standard categories and sub-categories, though parties are encouraged to identify and conduct MRV on nationally relevant and appropriate sub-categories. </w:t>
      </w:r>
      <w:r w:rsidRPr="00AA2617">
        <w:rPr>
          <w:sz w:val="22"/>
          <w:lang w:val="en-GB"/>
        </w:rPr>
        <w:t xml:space="preserve"> Within each category, emissions and removals are estimated for each relevant GHG (e.g., CO2, CH4, N2O).</w:t>
      </w:r>
      <w:r w:rsidR="00C36B85" w:rsidRPr="00AA2617">
        <w:rPr>
          <w:sz w:val="22"/>
          <w:lang w:val="en-GB"/>
        </w:rPr>
        <w:t xml:space="preserve">  Figure </w:t>
      </w:r>
      <w:r w:rsidR="000F72A3" w:rsidRPr="00AA2617">
        <w:rPr>
          <w:sz w:val="22"/>
          <w:lang w:val="en-GB"/>
        </w:rPr>
        <w:t>1</w:t>
      </w:r>
      <w:r w:rsidR="00C36B85" w:rsidRPr="00AA2617">
        <w:rPr>
          <w:sz w:val="22"/>
          <w:lang w:val="en-GB"/>
        </w:rPr>
        <w:t xml:space="preserve"> depicts an overview of IPCC’s standard reporting structure for the AFOLU sector.</w:t>
      </w:r>
    </w:p>
    <w:p w14:paraId="2CF108A7" w14:textId="77777777" w:rsidR="00C36B85" w:rsidRPr="00AA2617" w:rsidRDefault="00C36B85" w:rsidP="00AA2617">
      <w:pPr>
        <w:rPr>
          <w:lang w:val="en-GB"/>
        </w:rPr>
      </w:pPr>
    </w:p>
    <w:p w14:paraId="35E5BEEB" w14:textId="77777777" w:rsidR="00045090" w:rsidRPr="00AA2617" w:rsidRDefault="00045090" w:rsidP="00AA2617">
      <w:pPr>
        <w:rPr>
          <w:lang w:val="en-GB"/>
        </w:rPr>
      </w:pPr>
    </w:p>
    <w:p w14:paraId="49DA0574" w14:textId="77777777" w:rsidR="00C36B85" w:rsidRPr="00AA2617" w:rsidRDefault="00C36B85" w:rsidP="00AA2617">
      <w:pPr>
        <w:keepNext/>
        <w:jc w:val="center"/>
        <w:rPr>
          <w:sz w:val="22"/>
          <w:lang w:val="en-GB"/>
        </w:rPr>
      </w:pPr>
      <w:r w:rsidRPr="00AA2617">
        <w:rPr>
          <w:rStyle w:val="FigureChar"/>
          <w:sz w:val="22"/>
          <w:lang w:val="en-GB"/>
        </w:rPr>
        <w:lastRenderedPageBreak/>
        <w:t>Figure</w:t>
      </w:r>
      <w:r w:rsidRPr="00AA2617">
        <w:rPr>
          <w:sz w:val="22"/>
          <w:lang w:val="en-GB"/>
        </w:rPr>
        <w:t xml:space="preserve"> </w:t>
      </w:r>
      <w:r w:rsidR="000F72A3" w:rsidRPr="00AA2617">
        <w:rPr>
          <w:sz w:val="22"/>
          <w:lang w:val="en-GB"/>
        </w:rPr>
        <w:t>1</w:t>
      </w:r>
      <w:r w:rsidRPr="00AA2617">
        <w:rPr>
          <w:sz w:val="22"/>
          <w:lang w:val="en-GB"/>
        </w:rPr>
        <w:t>.  Overview of IPCC’s Standard Reporting Structure for AFOLU</w:t>
      </w:r>
      <w:r w:rsidRPr="00AA2617">
        <w:rPr>
          <w:rStyle w:val="FootnoteReference"/>
          <w:sz w:val="22"/>
          <w:lang w:val="en-GB"/>
        </w:rPr>
        <w:footnoteReference w:id="7"/>
      </w:r>
    </w:p>
    <w:p w14:paraId="4C1002F0" w14:textId="77777777" w:rsidR="00C36B85" w:rsidRPr="00AA2617" w:rsidRDefault="00C36B85" w:rsidP="00AA2617">
      <w:pPr>
        <w:rPr>
          <w:lang w:val="en-GB"/>
        </w:rPr>
      </w:pPr>
      <w:r w:rsidRPr="00AA2617">
        <w:rPr>
          <w:noProof/>
        </w:rPr>
        <w:drawing>
          <wp:inline distT="0" distB="0" distL="0" distR="0" wp14:anchorId="1252F502" wp14:editId="138DFCB6">
            <wp:extent cx="5619750" cy="7937262"/>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19750" cy="7937262"/>
                    </a:xfrm>
                    <a:prstGeom prst="rect">
                      <a:avLst/>
                    </a:prstGeom>
                    <a:noFill/>
                    <a:ln>
                      <a:noFill/>
                    </a:ln>
                  </pic:spPr>
                </pic:pic>
              </a:graphicData>
            </a:graphic>
          </wp:inline>
        </w:drawing>
      </w:r>
    </w:p>
    <w:p w14:paraId="1D4D9C30" w14:textId="77777777" w:rsidR="00CA353F" w:rsidRPr="00AA2617" w:rsidRDefault="005D3646" w:rsidP="00AA2617">
      <w:pPr>
        <w:pStyle w:val="NumberedParagraph"/>
        <w:ind w:left="360"/>
        <w:rPr>
          <w:sz w:val="22"/>
          <w:lang w:val="en-GB"/>
        </w:rPr>
      </w:pPr>
      <w:r w:rsidRPr="00AA2617">
        <w:rPr>
          <w:sz w:val="22"/>
          <w:lang w:val="en-GB"/>
        </w:rPr>
        <w:t>Parties are encouraged to identify nationally appropriate key categories,</w:t>
      </w:r>
      <w:r w:rsidR="00956D14" w:rsidRPr="00AA2617">
        <w:rPr>
          <w:vertAlign w:val="superscript"/>
        </w:rPr>
        <w:footnoteReference w:id="8"/>
      </w:r>
      <w:r w:rsidRPr="00AA2617">
        <w:rPr>
          <w:sz w:val="22"/>
          <w:vertAlign w:val="superscript"/>
          <w:lang w:val="en-GB"/>
        </w:rPr>
        <w:t xml:space="preserve"> </w:t>
      </w:r>
      <w:r w:rsidRPr="00AA2617">
        <w:rPr>
          <w:sz w:val="22"/>
          <w:lang w:val="en-GB"/>
        </w:rPr>
        <w:t xml:space="preserve">which are specific sources and sinks that play especially influential roles in a country’s mitigation or adaptation </w:t>
      </w:r>
      <w:r w:rsidR="00393486" w:rsidRPr="00AA2617">
        <w:rPr>
          <w:sz w:val="22"/>
          <w:lang w:val="en-GB"/>
        </w:rPr>
        <w:t>strategies</w:t>
      </w:r>
      <w:r w:rsidRPr="00AA2617">
        <w:rPr>
          <w:sz w:val="22"/>
          <w:lang w:val="en-GB"/>
        </w:rPr>
        <w:t>.  Particular sources or sinks may be key categories due to the</w:t>
      </w:r>
      <w:r w:rsidR="00393486" w:rsidRPr="00AA2617">
        <w:rPr>
          <w:sz w:val="22"/>
          <w:lang w:val="en-GB"/>
        </w:rPr>
        <w:t>ir absolute level</w:t>
      </w:r>
      <w:r w:rsidRPr="00AA2617">
        <w:rPr>
          <w:vertAlign w:val="superscript"/>
        </w:rPr>
        <w:footnoteReference w:id="9"/>
      </w:r>
      <w:r w:rsidRPr="00AA2617">
        <w:rPr>
          <w:sz w:val="22"/>
          <w:lang w:val="en-GB"/>
        </w:rPr>
        <w:t>, trend</w:t>
      </w:r>
      <w:r w:rsidRPr="00AA2617">
        <w:rPr>
          <w:vertAlign w:val="superscript"/>
        </w:rPr>
        <w:footnoteReference w:id="10"/>
      </w:r>
      <w:r w:rsidRPr="00AA2617">
        <w:rPr>
          <w:sz w:val="22"/>
          <w:lang w:val="en-GB"/>
        </w:rPr>
        <w:t xml:space="preserve">, or </w:t>
      </w:r>
      <w:r w:rsidRPr="00AA2617">
        <w:rPr>
          <w:sz w:val="22"/>
          <w:lang w:val="en-GB"/>
        </w:rPr>
        <w:lastRenderedPageBreak/>
        <w:t>uncertainty</w:t>
      </w:r>
      <w:r w:rsidRPr="00AA2617">
        <w:rPr>
          <w:vertAlign w:val="superscript"/>
        </w:rPr>
        <w:footnoteReference w:id="11"/>
      </w:r>
      <w:r w:rsidRPr="00AA2617">
        <w:rPr>
          <w:sz w:val="22"/>
          <w:lang w:val="en-GB"/>
        </w:rPr>
        <w:t>.</w:t>
      </w:r>
      <w:r w:rsidR="00FE62F5" w:rsidRPr="00AA2617">
        <w:rPr>
          <w:sz w:val="22"/>
          <w:lang w:val="en-GB"/>
        </w:rPr>
        <w:t xml:space="preserve">  Key categories and sub-categories generally merit greater </w:t>
      </w:r>
      <w:r w:rsidR="00EA1193" w:rsidRPr="00AA2617">
        <w:rPr>
          <w:sz w:val="22"/>
          <w:lang w:val="en-GB"/>
        </w:rPr>
        <w:t xml:space="preserve">rigor in MRV approaches, which is reflected in tiers.  Tier 1 is the minimum level </w:t>
      </w:r>
      <w:r w:rsidR="005E63D2" w:rsidRPr="00AA2617">
        <w:rPr>
          <w:sz w:val="22"/>
          <w:lang w:val="en-GB"/>
        </w:rPr>
        <w:t xml:space="preserve">of rigor </w:t>
      </w:r>
      <w:r w:rsidR="00EA1193" w:rsidRPr="00AA2617">
        <w:rPr>
          <w:sz w:val="22"/>
          <w:lang w:val="en-GB"/>
        </w:rPr>
        <w:t xml:space="preserve">for meeting </w:t>
      </w:r>
      <w:r w:rsidR="005E63D2" w:rsidRPr="00AA2617">
        <w:rPr>
          <w:sz w:val="22"/>
          <w:lang w:val="en-GB"/>
        </w:rPr>
        <w:t>MRV</w:t>
      </w:r>
      <w:r w:rsidR="00EA1193" w:rsidRPr="00AA2617">
        <w:rPr>
          <w:sz w:val="22"/>
          <w:lang w:val="en-GB"/>
        </w:rPr>
        <w:t xml:space="preserve"> commitments and generally relies on basic country-level data combined with standard (</w:t>
      </w:r>
      <w:r w:rsidR="006004A7" w:rsidRPr="00AA2617">
        <w:rPr>
          <w:sz w:val="22"/>
          <w:lang w:val="en-GB"/>
        </w:rPr>
        <w:t xml:space="preserve">i.e., global or regional, but not </w:t>
      </w:r>
      <w:r w:rsidR="00EA1193" w:rsidRPr="00AA2617">
        <w:rPr>
          <w:sz w:val="22"/>
          <w:lang w:val="en-GB"/>
        </w:rPr>
        <w:t xml:space="preserve">country-specific) parameters, such as emissions factors.  Tier 2 </w:t>
      </w:r>
      <w:r w:rsidR="00393486" w:rsidRPr="00AA2617">
        <w:rPr>
          <w:sz w:val="22"/>
          <w:lang w:val="en-GB"/>
        </w:rPr>
        <w:t xml:space="preserve">is the minimum reporting level appropriate for key categories and sub-categories, and relies on country-specific parameters, including quantified, estimated uncertainties.  Tier 3 is the highest level of MRV rigor, which entails </w:t>
      </w:r>
      <w:r w:rsidR="005E63D2" w:rsidRPr="00AA2617">
        <w:rPr>
          <w:sz w:val="22"/>
          <w:lang w:val="en-GB"/>
        </w:rPr>
        <w:t>extensive country-specific parameters and nationally appropriate calculation methods that have been empirically verified.</w:t>
      </w:r>
    </w:p>
    <w:p w14:paraId="456D9F99" w14:textId="77777777" w:rsidR="00CA353F" w:rsidRPr="00AA2617" w:rsidRDefault="00CA353F" w:rsidP="00AA2617">
      <w:pPr>
        <w:pStyle w:val="NumberedParagraph"/>
        <w:ind w:left="360"/>
        <w:rPr>
          <w:sz w:val="22"/>
          <w:lang w:val="en-GB"/>
        </w:rPr>
      </w:pPr>
      <w:r w:rsidRPr="00AA2617">
        <w:rPr>
          <w:sz w:val="22"/>
          <w:lang w:val="en-GB"/>
        </w:rPr>
        <w:t>The purposes of identifying key categories</w:t>
      </w:r>
      <w:r w:rsidR="00FE62F5" w:rsidRPr="00AA2617">
        <w:rPr>
          <w:sz w:val="22"/>
          <w:lang w:val="en-GB"/>
        </w:rPr>
        <w:t xml:space="preserve"> and</w:t>
      </w:r>
      <w:r w:rsidRPr="00AA2617">
        <w:rPr>
          <w:sz w:val="22"/>
          <w:lang w:val="en-GB"/>
        </w:rPr>
        <w:t xml:space="preserve"> sub-categories are to help parties (i) prioritize uses of limited resources, (ii) determine which categories and sub-categories</w:t>
      </w:r>
      <w:r w:rsidR="005E63D2" w:rsidRPr="00AA2617">
        <w:rPr>
          <w:sz w:val="22"/>
          <w:lang w:val="en-GB"/>
        </w:rPr>
        <w:t xml:space="preserve"> merit </w:t>
      </w:r>
      <w:r w:rsidRPr="00AA2617">
        <w:rPr>
          <w:sz w:val="22"/>
          <w:lang w:val="en-GB"/>
        </w:rPr>
        <w:t xml:space="preserve">higher-tier methods, and (iii) </w:t>
      </w:r>
      <w:r w:rsidR="005E63D2" w:rsidRPr="00AA2617">
        <w:rPr>
          <w:sz w:val="22"/>
          <w:lang w:val="en-GB"/>
        </w:rPr>
        <w:t>identify</w:t>
      </w:r>
      <w:r w:rsidR="00FE62F5" w:rsidRPr="00AA2617">
        <w:rPr>
          <w:sz w:val="22"/>
          <w:lang w:val="en-GB"/>
        </w:rPr>
        <w:t xml:space="preserve"> which </w:t>
      </w:r>
      <w:r w:rsidR="005E63D2" w:rsidRPr="00AA2617">
        <w:rPr>
          <w:sz w:val="22"/>
          <w:lang w:val="en-GB"/>
        </w:rPr>
        <w:t>categories and sub-categories</w:t>
      </w:r>
      <w:r w:rsidR="00FE62F5" w:rsidRPr="00AA2617">
        <w:rPr>
          <w:sz w:val="22"/>
          <w:lang w:val="en-GB"/>
        </w:rPr>
        <w:t xml:space="preserve"> merit greater focus for quality control (QC)</w:t>
      </w:r>
      <w:r w:rsidR="00FE62F5" w:rsidRPr="00AA2617">
        <w:footnoteReference w:id="12"/>
      </w:r>
      <w:r w:rsidR="00FE62F5" w:rsidRPr="00AA2617">
        <w:rPr>
          <w:sz w:val="22"/>
          <w:lang w:val="en-GB"/>
        </w:rPr>
        <w:t xml:space="preserve"> and quality assurance (QA)</w:t>
      </w:r>
      <w:r w:rsidR="00FE62F5" w:rsidRPr="00AA2617">
        <w:footnoteReference w:id="13"/>
      </w:r>
      <w:r w:rsidR="00FE62F5" w:rsidRPr="00AA2617">
        <w:rPr>
          <w:sz w:val="22"/>
          <w:lang w:val="en-GB"/>
        </w:rPr>
        <w:t>.</w:t>
      </w:r>
    </w:p>
    <w:p w14:paraId="19909956" w14:textId="77777777" w:rsidR="00481B94" w:rsidRPr="00AA2617" w:rsidRDefault="00045090" w:rsidP="00AA2617">
      <w:pPr>
        <w:pStyle w:val="NumberedParagraph"/>
        <w:ind w:left="360"/>
        <w:rPr>
          <w:sz w:val="22"/>
          <w:lang w:val="en-GB"/>
        </w:rPr>
      </w:pPr>
      <w:r w:rsidRPr="00AA2617">
        <w:rPr>
          <w:sz w:val="22"/>
          <w:lang w:val="en-GB"/>
        </w:rPr>
        <w:t xml:space="preserve">Under the Paris Agreement, the global community offers financial assistance to Non-Annex I parties seeking to </w:t>
      </w:r>
      <w:r w:rsidR="00315467" w:rsidRPr="00AA2617">
        <w:rPr>
          <w:sz w:val="22"/>
          <w:lang w:val="en-GB"/>
        </w:rPr>
        <w:t xml:space="preserve">build capacities to comply with the ETF via </w:t>
      </w:r>
      <w:r w:rsidR="00D608EA" w:rsidRPr="00AA2617">
        <w:rPr>
          <w:sz w:val="22"/>
          <w:lang w:val="en-GB"/>
        </w:rPr>
        <w:t xml:space="preserve">the </w:t>
      </w:r>
      <w:r w:rsidR="00315467" w:rsidRPr="00AA2617">
        <w:rPr>
          <w:sz w:val="22"/>
          <w:lang w:val="en-GB"/>
        </w:rPr>
        <w:t>Capacity-building Initiative for Transparency (CBIT)</w:t>
      </w:r>
      <w:r w:rsidR="00FE1EBD" w:rsidRPr="00AA2617">
        <w:rPr>
          <w:sz w:val="22"/>
          <w:lang w:val="en-GB"/>
        </w:rPr>
        <w:t>, administered by the Global Environment Facility (GEF)</w:t>
      </w:r>
      <w:r w:rsidR="00315467" w:rsidRPr="00AA2617">
        <w:rPr>
          <w:sz w:val="22"/>
          <w:lang w:val="en-GB"/>
        </w:rPr>
        <w:t>.</w:t>
      </w:r>
      <w:r w:rsidR="00276D3C" w:rsidRPr="00AA2617">
        <w:rPr>
          <w:sz w:val="22"/>
          <w:lang w:val="en-GB"/>
        </w:rPr>
        <w:t xml:space="preserve">   </w:t>
      </w:r>
      <w:r w:rsidRPr="00AA2617">
        <w:rPr>
          <w:sz w:val="22"/>
          <w:lang w:val="en-GB"/>
        </w:rPr>
        <w:t>This project is substantially</w:t>
      </w:r>
      <w:r w:rsidR="00276D3C" w:rsidRPr="00AA2617">
        <w:rPr>
          <w:sz w:val="22"/>
          <w:lang w:val="en-GB"/>
        </w:rPr>
        <w:t xml:space="preserve"> funded throu</w:t>
      </w:r>
      <w:r w:rsidRPr="00AA2617">
        <w:rPr>
          <w:sz w:val="22"/>
          <w:lang w:val="en-GB"/>
        </w:rPr>
        <w:t>gh GEF-CBIT.</w:t>
      </w:r>
    </w:p>
    <w:p w14:paraId="5B57292B" w14:textId="77777777" w:rsidR="00CD381B" w:rsidRPr="00AA2617" w:rsidRDefault="00B32D5D" w:rsidP="00AA2617">
      <w:pPr>
        <w:pStyle w:val="Heading3"/>
        <w:rPr>
          <w:b/>
          <w:lang w:val="en-GB"/>
        </w:rPr>
      </w:pPr>
      <w:bookmarkStart w:id="16" w:name="_Toc9249171"/>
      <w:r w:rsidRPr="00AA2617">
        <w:rPr>
          <w:b/>
          <w:lang w:val="en-GB"/>
        </w:rPr>
        <w:t>National</w:t>
      </w:r>
      <w:r w:rsidR="009078E4" w:rsidRPr="00AA2617">
        <w:rPr>
          <w:b/>
          <w:lang w:val="en-GB"/>
        </w:rPr>
        <w:t xml:space="preserve"> context</w:t>
      </w:r>
      <w:bookmarkEnd w:id="16"/>
    </w:p>
    <w:p w14:paraId="3B8B88B6" w14:textId="58386DA4" w:rsidR="00B261D5" w:rsidRPr="00AA2617" w:rsidRDefault="00B261D5" w:rsidP="00AA2617">
      <w:pPr>
        <w:pStyle w:val="NumberedParagraph"/>
        <w:ind w:left="360"/>
        <w:rPr>
          <w:sz w:val="22"/>
          <w:lang w:val="en-GB"/>
        </w:rPr>
      </w:pPr>
      <w:r w:rsidRPr="00AA2617">
        <w:rPr>
          <w:sz w:val="22"/>
          <w:lang w:val="en-GB"/>
        </w:rPr>
        <w:t xml:space="preserve">Sri Lanka signed the UNFCCC </w:t>
      </w:r>
      <w:r w:rsidR="006168AD" w:rsidRPr="00AA2617">
        <w:rPr>
          <w:sz w:val="22"/>
          <w:lang w:val="en-GB"/>
        </w:rPr>
        <w:t xml:space="preserve">on </w:t>
      </w:r>
      <w:r w:rsidRPr="00AA2617">
        <w:rPr>
          <w:sz w:val="22"/>
          <w:lang w:val="en-GB"/>
        </w:rPr>
        <w:t xml:space="preserve">10 June 1992 and ratified it 23 November 1993. Sri Lanka acceded to the Kyoto Protocol </w:t>
      </w:r>
      <w:r w:rsidR="006168AD" w:rsidRPr="00AA2617">
        <w:rPr>
          <w:sz w:val="22"/>
          <w:lang w:val="en-GB"/>
        </w:rPr>
        <w:t xml:space="preserve">on </w:t>
      </w:r>
      <w:r w:rsidRPr="00AA2617">
        <w:rPr>
          <w:sz w:val="22"/>
          <w:lang w:val="en-GB"/>
        </w:rPr>
        <w:t>3 September 2002.</w:t>
      </w:r>
      <w:r w:rsidRPr="00AA2617">
        <w:rPr>
          <w:rStyle w:val="FootnoteReference"/>
          <w:sz w:val="22"/>
          <w:lang w:val="en-GB"/>
        </w:rPr>
        <w:footnoteReference w:id="14"/>
      </w:r>
      <w:r w:rsidRPr="00AA2617">
        <w:rPr>
          <w:sz w:val="22"/>
          <w:lang w:val="en-GB"/>
        </w:rPr>
        <w:t xml:space="preserve">  Likewise, Sri Lanka continues to play a proactive role in the process to draft, adopt, ratify, and operationalize the Paris Agreement.  Sri Lanka signed the Paris Agreement at the earliest opportunity, 22 April 2016, and ratified the agreement on 21 September 2016. It submitted its INDC on 25 April 2016 and NDC </w:t>
      </w:r>
      <w:r w:rsidR="006168AD" w:rsidRPr="00AA2617">
        <w:rPr>
          <w:sz w:val="22"/>
          <w:lang w:val="en-GB"/>
        </w:rPr>
        <w:t xml:space="preserve">in </w:t>
      </w:r>
      <w:r w:rsidRPr="00AA2617">
        <w:rPr>
          <w:sz w:val="22"/>
          <w:lang w:val="en-GB"/>
        </w:rPr>
        <w:t xml:space="preserve">September 2016. Ministry of Mahaweli Development and Environment (MMDE) is the national focal institution. </w:t>
      </w:r>
    </w:p>
    <w:p w14:paraId="018DB8BD" w14:textId="07D30539" w:rsidR="00B261D5" w:rsidRPr="00AA2617" w:rsidRDefault="00B261D5" w:rsidP="00AA2617">
      <w:pPr>
        <w:pStyle w:val="NumberedParagraph"/>
        <w:ind w:left="360"/>
        <w:rPr>
          <w:sz w:val="22"/>
          <w:lang w:val="en-GB"/>
        </w:rPr>
      </w:pPr>
      <w:r w:rsidRPr="00AA2617">
        <w:rPr>
          <w:sz w:val="22"/>
          <w:lang w:val="en-GB"/>
        </w:rPr>
        <w:t>Sri Lanka submitted its 1</w:t>
      </w:r>
      <w:r w:rsidRPr="00AA2617">
        <w:rPr>
          <w:sz w:val="22"/>
          <w:vertAlign w:val="superscript"/>
          <w:lang w:val="en-GB"/>
        </w:rPr>
        <w:t>st</w:t>
      </w:r>
      <w:r w:rsidRPr="00AA2617">
        <w:rPr>
          <w:sz w:val="22"/>
          <w:lang w:val="en-GB"/>
        </w:rPr>
        <w:t xml:space="preserve"> National Communication under the UNFCCC </w:t>
      </w:r>
      <w:r w:rsidR="006168AD" w:rsidRPr="00AA2617">
        <w:rPr>
          <w:sz w:val="22"/>
          <w:lang w:val="en-GB"/>
        </w:rPr>
        <w:t xml:space="preserve">on </w:t>
      </w:r>
      <w:r w:rsidRPr="00AA2617">
        <w:rPr>
          <w:sz w:val="22"/>
          <w:lang w:val="en-GB"/>
        </w:rPr>
        <w:t>6 November 2000, its 2</w:t>
      </w:r>
      <w:r w:rsidRPr="00AA2617">
        <w:rPr>
          <w:sz w:val="22"/>
          <w:vertAlign w:val="superscript"/>
          <w:lang w:val="en-GB"/>
        </w:rPr>
        <w:t>nd</w:t>
      </w:r>
      <w:r w:rsidRPr="00AA2617">
        <w:rPr>
          <w:sz w:val="22"/>
          <w:lang w:val="en-GB"/>
        </w:rPr>
        <w:t xml:space="preserve"> National Communication on 16 March 2012, and its 3</w:t>
      </w:r>
      <w:r w:rsidRPr="00AA2617">
        <w:rPr>
          <w:sz w:val="22"/>
          <w:vertAlign w:val="superscript"/>
          <w:lang w:val="en-GB"/>
        </w:rPr>
        <w:t>rd</w:t>
      </w:r>
      <w:r w:rsidRPr="00AA2617">
        <w:rPr>
          <w:sz w:val="22"/>
          <w:lang w:val="en-GB"/>
        </w:rPr>
        <w:t xml:space="preserve"> National Communication preparation is underway. While INDC and NDC have been submitted, the BUR is yet to be submitted. The communications are submitted by the Climate Change Secretariat (CCS) of MMDE. CCS is the national focal point and the coordinating institution for  CC communication.</w:t>
      </w:r>
    </w:p>
    <w:p w14:paraId="4477BBF8" w14:textId="68802CAD" w:rsidR="00B261D5" w:rsidRPr="00AA2617" w:rsidRDefault="00B261D5" w:rsidP="00AA2617">
      <w:pPr>
        <w:pStyle w:val="NumberedParagraph"/>
        <w:ind w:left="360"/>
      </w:pPr>
      <w:r w:rsidRPr="00AA2617">
        <w:rPr>
          <w:sz w:val="22"/>
          <w:lang w:val="en-GB"/>
        </w:rPr>
        <w:t>As emphasized in prior national reports and communications, forestry and agriculture play significant roles in Sri Lanka’s efforts to mitigate and adapt to climate change.  Table 2 presents an overview of Sri Lanka’s GHG fluxes by sector in 2012 as reported in 2</w:t>
      </w:r>
      <w:r w:rsidRPr="00AA2617">
        <w:rPr>
          <w:sz w:val="22"/>
          <w:vertAlign w:val="superscript"/>
          <w:lang w:val="en-GB"/>
        </w:rPr>
        <w:t>nd</w:t>
      </w:r>
      <w:r w:rsidRPr="00AA2617">
        <w:rPr>
          <w:sz w:val="22"/>
          <w:lang w:val="en-GB"/>
        </w:rPr>
        <w:t xml:space="preserve"> National Communication. </w:t>
      </w:r>
      <w:r w:rsidRPr="00AA2617">
        <w:t>According to the second national communication of Sri Lanka, total CO</w:t>
      </w:r>
      <w:r w:rsidRPr="00AA2617">
        <w:rPr>
          <w:vertAlign w:val="subscript"/>
        </w:rPr>
        <w:t>2</w:t>
      </w:r>
      <w:r w:rsidRPr="00AA2617">
        <w:t xml:space="preserve"> equivalent emission from </w:t>
      </w:r>
      <w:r w:rsidRPr="00AA2617">
        <w:lastRenderedPageBreak/>
        <w:t>agriculture is 4</w:t>
      </w:r>
      <w:r w:rsidR="006168AD" w:rsidRPr="00AA2617">
        <w:t>,</w:t>
      </w:r>
      <w:r w:rsidRPr="00AA2617">
        <w:t>709 Mt comprising 3</w:t>
      </w:r>
      <w:r w:rsidR="006168AD" w:rsidRPr="00AA2617">
        <w:t>,</w:t>
      </w:r>
      <w:r w:rsidRPr="00AA2617">
        <w:t>888 MtCO</w:t>
      </w:r>
      <w:r w:rsidRPr="00AA2617">
        <w:rPr>
          <w:vertAlign w:val="subscript"/>
        </w:rPr>
        <w:t>2</w:t>
      </w:r>
      <w:r w:rsidRPr="00AA2617">
        <w:t>e of CH</w:t>
      </w:r>
      <w:r w:rsidRPr="00AA2617">
        <w:rPr>
          <w:vertAlign w:val="subscript"/>
        </w:rPr>
        <w:t>4</w:t>
      </w:r>
      <w:r w:rsidRPr="00AA2617">
        <w:t xml:space="preserve"> and 821 MtCO</w:t>
      </w:r>
      <w:r w:rsidRPr="00AA2617">
        <w:rPr>
          <w:vertAlign w:val="subscript"/>
        </w:rPr>
        <w:t>2</w:t>
      </w:r>
      <w:r w:rsidRPr="00AA2617">
        <w:t>e of N</w:t>
      </w:r>
      <w:r w:rsidRPr="00AA2617">
        <w:rPr>
          <w:vertAlign w:val="subscript"/>
        </w:rPr>
        <w:t>2</w:t>
      </w:r>
      <w:r w:rsidRPr="00AA2617">
        <w:t>O. Rice cultivation is the major contributor while enteric fermentation, soil, manure management and residue burning are also significant sources of these emissions.  In Sri Lanka, about 71% of agricultural land holdings are less than one hectare (Department of Census and Statistics, 2004), while 66% of cropland is rain-fed Relatively high dependence on rains make agriculture vulnerable to impacts of climate variability and extremes. In 2009, agricultural sector growth was stifled by the impact of drought and delayed monsoon rains on the production of two principal crops paddy and tea (Central Bank of Sri Lanka, 2010).</w:t>
      </w:r>
    </w:p>
    <w:p w14:paraId="76B96D84" w14:textId="4BA1B92D" w:rsidR="006233BC" w:rsidRPr="00AA2617" w:rsidRDefault="006233BC" w:rsidP="00AA2617">
      <w:pPr>
        <w:pStyle w:val="NumberedParagraph"/>
        <w:keepNext/>
        <w:numPr>
          <w:ilvl w:val="0"/>
          <w:numId w:val="0"/>
        </w:numPr>
        <w:spacing w:before="240"/>
        <w:jc w:val="center"/>
        <w:rPr>
          <w:sz w:val="22"/>
          <w:lang w:val="en-GB"/>
        </w:rPr>
      </w:pPr>
      <w:r w:rsidRPr="00AA2617">
        <w:rPr>
          <w:sz w:val="22"/>
          <w:lang w:val="en-GB"/>
        </w:rPr>
        <w:t xml:space="preserve">Table </w:t>
      </w:r>
      <w:r w:rsidR="00BE79EE" w:rsidRPr="00AA2617">
        <w:rPr>
          <w:sz w:val="22"/>
          <w:lang w:val="en-GB"/>
        </w:rPr>
        <w:t>2</w:t>
      </w:r>
      <w:r w:rsidRPr="00AA2617">
        <w:rPr>
          <w:sz w:val="22"/>
          <w:lang w:val="en-GB"/>
        </w:rPr>
        <w:t xml:space="preserve">.  </w:t>
      </w:r>
      <w:r w:rsidR="00A75E07" w:rsidRPr="00AA2617">
        <w:rPr>
          <w:sz w:val="22"/>
          <w:lang w:val="en-GB"/>
        </w:rPr>
        <w:t>Sri Lanka</w:t>
      </w:r>
      <w:r w:rsidR="00634916" w:rsidRPr="00AA2617">
        <w:rPr>
          <w:sz w:val="22"/>
          <w:lang w:val="en-GB"/>
        </w:rPr>
        <w:t>’s Emission and Removals</w:t>
      </w:r>
      <w:r w:rsidRPr="00AA2617">
        <w:rPr>
          <w:rStyle w:val="FootnoteReference"/>
          <w:sz w:val="22"/>
          <w:lang w:val="en-GB"/>
        </w:rPr>
        <w:footnoteReference w:id="15"/>
      </w:r>
    </w:p>
    <w:p w14:paraId="1649E325" w14:textId="29C24046" w:rsidR="00083E41" w:rsidRPr="00AA2617" w:rsidRDefault="00083E41" w:rsidP="00AA2617">
      <w:pPr>
        <w:pStyle w:val="NumberedParagraph"/>
        <w:keepNext/>
        <w:numPr>
          <w:ilvl w:val="0"/>
          <w:numId w:val="0"/>
        </w:numPr>
        <w:spacing w:before="240"/>
        <w:jc w:val="center"/>
        <w:rPr>
          <w:sz w:val="22"/>
          <w:lang w:val="en-GB"/>
        </w:rPr>
      </w:pPr>
      <w:r w:rsidRPr="00AA2617">
        <w:rPr>
          <w:noProof/>
        </w:rPr>
        <w:drawing>
          <wp:inline distT="0" distB="0" distL="0" distR="0" wp14:anchorId="1C287AB9" wp14:editId="4377BAA6">
            <wp:extent cx="5831424" cy="2331720"/>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22067" t="29947" r="27557" b="34242"/>
                    <a:stretch/>
                  </pic:blipFill>
                  <pic:spPr bwMode="auto">
                    <a:xfrm>
                      <a:off x="0" y="0"/>
                      <a:ext cx="5843996" cy="2336747"/>
                    </a:xfrm>
                    <a:prstGeom prst="rect">
                      <a:avLst/>
                    </a:prstGeom>
                    <a:ln>
                      <a:noFill/>
                    </a:ln>
                    <a:extLst>
                      <a:ext uri="{53640926-AAD7-44D8-BBD7-CCE9431645EC}">
                        <a14:shadowObscured xmlns:a14="http://schemas.microsoft.com/office/drawing/2010/main"/>
                      </a:ext>
                    </a:extLst>
                  </pic:spPr>
                </pic:pic>
              </a:graphicData>
            </a:graphic>
          </wp:inline>
        </w:drawing>
      </w:r>
    </w:p>
    <w:p w14:paraId="7A754A6C" w14:textId="64138BE5" w:rsidR="00B261D5" w:rsidRPr="00AA2617" w:rsidRDefault="00BF369D" w:rsidP="00AA2617">
      <w:pPr>
        <w:pStyle w:val="NumberedParagraph"/>
        <w:ind w:left="360"/>
      </w:pPr>
      <w:r w:rsidRPr="00AA2617">
        <w:rPr>
          <w:i/>
        </w:rPr>
        <w:t>Agricultural Sector</w:t>
      </w:r>
      <w:r w:rsidRPr="00AA2617">
        <w:t xml:space="preserve">. </w:t>
      </w:r>
      <w:r w:rsidR="00B261D5" w:rsidRPr="00AA2617">
        <w:t>Over the past few decades, the importance of the agricultural sector has declined. In year 2017, it was estimated that agriculture, forestry and fisheries contributed only 7.71% (11.9% in year 2010) to the country’s GDP, against 27.20% (28.7% in year 2010) from industry and 55.77% (59.3% in year 2010) from the service sector.</w:t>
      </w:r>
      <w:r w:rsidR="00B261D5" w:rsidRPr="00AA2617">
        <w:rPr>
          <w:vertAlign w:val="superscript"/>
        </w:rPr>
        <w:footnoteReference w:id="16"/>
      </w:r>
      <w:r w:rsidR="00B261D5" w:rsidRPr="00AA2617">
        <w:t xml:space="preserve"> However, over 26.68% of all employed were employed in the agricultural sector in 2017 (World Bank, 2017). </w:t>
      </w:r>
    </w:p>
    <w:p w14:paraId="3A8322CC" w14:textId="70F4E0C8" w:rsidR="00B261D5" w:rsidRPr="00AA2617" w:rsidRDefault="00B261D5" w:rsidP="00AA2617">
      <w:pPr>
        <w:pStyle w:val="NumberedParagraph"/>
        <w:ind w:left="360"/>
      </w:pPr>
      <w:r w:rsidRPr="00AA2617">
        <w:t xml:space="preserve">Sri Lanka is a fertile tropical land with the potential for the cultivation of a variety of crops. Sri Lanka’s primary food crop is rice. Rice is cultivated during two seasons. Plantation crops, tea, rubber and coconut, are cultivated and these crops are a major source of foreign exchange income. Vegetables, fruits and oilseed crops are also cultivated in the country. One of the main objectives of the Sri Lanka’s National Agriculture Policy is to enhance agriculture production and ensure sustainable growth.  </w:t>
      </w:r>
    </w:p>
    <w:p w14:paraId="39486D09" w14:textId="28058DB7" w:rsidR="00846BE5" w:rsidRPr="00AA2617" w:rsidRDefault="00846BE5" w:rsidP="00AA2617">
      <w:pPr>
        <w:pStyle w:val="NumberedParagraph"/>
        <w:ind w:left="360"/>
        <w:rPr>
          <w:iCs/>
        </w:rPr>
      </w:pPr>
      <w:r w:rsidRPr="00AA2617">
        <w:rPr>
          <w:i/>
          <w:iCs/>
        </w:rPr>
        <w:t xml:space="preserve">Climate Change vulnerabilities in the agriculture sector. </w:t>
      </w:r>
      <w:r w:rsidRPr="00AA2617">
        <w:t>Being an island with a mountainous central-region, Sri Lanka has been historically affected by floods, droughts, landslides, coastal storms and erosion, cyclones and storm surges. Changes in rainfall distribution is clearly manifest in a higher number of intense/heavy rainfall incidents leading to floods and longer periods of consecutive dry days leading to deeper periods of drought during the dry season.</w:t>
      </w:r>
      <w:r w:rsidRPr="00AA2617">
        <w:rPr>
          <w:i/>
          <w:iCs/>
        </w:rPr>
        <w:t xml:space="preserve"> </w:t>
      </w:r>
      <w:r w:rsidRPr="00AA2617">
        <w:t xml:space="preserve">Climate change will undoubtedly trigger serious impacts on the country’s food insecurity and vulnerability patterns. This has been highlighted in study of ESCAP (2010), with Sri Lanka identified as one of the potential hotspots of food insecurity in the Asia-Pacific region. Climate change in Sri Lanka is manifest through a slow but steadily rising temperature and erratic and unpredictable rainfall seasons. A number of meteorological studies point to a clear warming trend with both day-time maximum and night time minimum air temperatures showing increased trend at most meteorological stations in the country. </w:t>
      </w:r>
      <w:r w:rsidRPr="00AA2617">
        <w:rPr>
          <w:iCs/>
        </w:rPr>
        <w:t xml:space="preserve">Change in the temporal distribution of rainfall across these four seasons is already observable. Data show increased variability in three out of four monsoons, but especially pronounced during the north-east monsoon which supports agriculture in the Dry zone, especially the staple crop, rice. This spatial and intra-annual variability of rainfall has dramatically affected seasonal cropping patterns, irrigation potential and hydropower generation. Sri </w:t>
      </w:r>
      <w:r w:rsidRPr="00AA2617">
        <w:rPr>
          <w:iCs/>
        </w:rPr>
        <w:lastRenderedPageBreak/>
        <w:t xml:space="preserve">Lanka is affected by a number of climatic hazards and extreme events, and these are projected to worsen with climate change. </w:t>
      </w:r>
    </w:p>
    <w:p w14:paraId="6E234916" w14:textId="77777777" w:rsidR="00BF3D4C" w:rsidRPr="00AA2617" w:rsidRDefault="00BF3D4C" w:rsidP="00AA2617">
      <w:pPr>
        <w:pStyle w:val="NumberedParagraph"/>
        <w:ind w:left="360"/>
      </w:pPr>
      <w:r w:rsidRPr="00AA2617">
        <w:rPr>
          <w:i/>
        </w:rPr>
        <w:t>Livestock:</w:t>
      </w:r>
      <w:r w:rsidRPr="00AA2617">
        <w:t xml:space="preserve"> The livestock sector of Sri Lanka recorded 8% growth during 2015 with 0.6% contribution to GDP at present. The main livestock categories related to GHG emissions are buffalo, cattle, goats and swine. In year 2015 cattle population increased by 10% while buffalo population increased by 2% compared to 2014. Goat production is still recognized as a traditional form of livestock production among farmers especially in the dry zone. However, marked growth in both the population and number of farms were noted in 2015. Out of the total (358,233) goat population main part is concentrated in the dry and intermediate zones. The highest population (95,259) reported in Northern Province and 63% of total goat population is located in Eastern, Northern and North Western provinces. Swine production is mainly concentrated in western coastal belt of Sri Lanka. Total pig population has increased in 2015 by 32% while new farm registration does show a marginal growth. Out of total population (94,612) 83% of pigs are reared by farmers in Western and North Western provinces of the country. </w:t>
      </w:r>
    </w:p>
    <w:p w14:paraId="11379D4A" w14:textId="77777777" w:rsidR="00B261D5" w:rsidRPr="00AA2617" w:rsidRDefault="00B261D5" w:rsidP="00AA2617">
      <w:pPr>
        <w:pStyle w:val="NumberedParagraph"/>
        <w:ind w:left="360"/>
      </w:pPr>
      <w:r w:rsidRPr="00AA2617">
        <w:rPr>
          <w:sz w:val="22"/>
          <w:lang w:val="en-GB"/>
        </w:rPr>
        <w:t>Dairy cattle sector in Sri Lanka emits about 2.3 million tonnes carbon dioxide eq</w:t>
      </w:r>
      <w:r w:rsidRPr="00AA2617">
        <w:rPr>
          <w:rStyle w:val="FootnoteReference"/>
          <w:sz w:val="22"/>
          <w:lang w:val="en-GB"/>
        </w:rPr>
        <w:footnoteReference w:id="17"/>
      </w:r>
      <w:r w:rsidRPr="00AA2617">
        <w:rPr>
          <w:sz w:val="22"/>
          <w:lang w:val="en-GB"/>
        </w:rPr>
        <w:t xml:space="preserve">. </w:t>
      </w:r>
      <w:r w:rsidRPr="00AA2617">
        <w:t>The</w:t>
      </w:r>
      <w:r w:rsidRPr="00AA2617">
        <w:rPr>
          <w:sz w:val="22"/>
          <w:lang w:val="en-GB"/>
        </w:rPr>
        <w:t xml:space="preserve"> emission profile of milk is dominated by methane (approx. 95 percent), while the nitrous oxide and carbon dioxide contribute approx. 5% of the total emissions. </w:t>
      </w:r>
      <w:r w:rsidRPr="00AA2617">
        <w:t>The highest emission intensities are observed in the low input-output dairy systems in the Dry Lowland zone and the lowest in the intensive systems of Upland and Mid-country production zone. Emissions were on average, 13.8, 6.8, 4.8 and 2.3 kg CO</w:t>
      </w:r>
      <w:r w:rsidRPr="00AA2617">
        <w:rPr>
          <w:vertAlign w:val="subscript"/>
        </w:rPr>
        <w:t>2</w:t>
      </w:r>
      <w:r w:rsidRPr="00AA2617">
        <w:t xml:space="preserve"> eq./kg of milk  for the Dry Lowland, Coconut Triangle, Wet Lowland and Upland and Mid-Country systems respectively.</w:t>
      </w:r>
    </w:p>
    <w:p w14:paraId="4709C06A" w14:textId="19E8DDAE" w:rsidR="00B261D5" w:rsidRPr="00AA2617" w:rsidRDefault="00071349" w:rsidP="00AA2617">
      <w:pPr>
        <w:pStyle w:val="NumberedParagraph"/>
        <w:ind w:left="360"/>
        <w:rPr>
          <w:i/>
        </w:rPr>
      </w:pPr>
      <w:r w:rsidRPr="00AA2617">
        <w:rPr>
          <w:i/>
        </w:rPr>
        <w:t>Fisheries:</w:t>
      </w:r>
      <w:r w:rsidRPr="00AA2617">
        <w:t xml:space="preserve"> </w:t>
      </w:r>
      <w:r w:rsidR="00B261D5" w:rsidRPr="00AA2617">
        <w:rPr>
          <w:iCs/>
        </w:rPr>
        <w:t>The fisheries sector plays a key role in Sri Lanka's social and economic life. Fish products are an important source of animal protein for the population and the sector contributes  1.3 % to GDP in 2017. The total fish production in 2016 was 530,920 Mt, mainly dominated by marine fish production (456,990 Mt). Exports of fish and fishery products was 17,593 Mt valued US$ 169.61 million in 2016, while imports of fish products (mostly dried and canned) amounted to 115,693Mt in 2016. From an economic viewpoint, there is significant scope for increasing the level of contribution from the sector through increased output, exploiting the potential for value addition and import substitution. The fisheries sector of Sri Lanka consists of three main subsectors, namely coastal; offshore and deep sea; and inland and aquaculture. These three subsectors employ around 250 000 active fishers and another 100 000 in support services. This workforce represents a population of approx.. 1 million people.</w:t>
      </w:r>
      <w:r w:rsidR="00B261D5" w:rsidRPr="00AA2617">
        <w:rPr>
          <w:i/>
        </w:rPr>
        <w:t xml:space="preserve"> </w:t>
      </w:r>
    </w:p>
    <w:p w14:paraId="7844635A" w14:textId="0BCB88CA" w:rsidR="00071349" w:rsidRPr="00AA2617" w:rsidRDefault="00071349" w:rsidP="00AA2617">
      <w:pPr>
        <w:pStyle w:val="NumberedParagraph"/>
        <w:ind w:left="360"/>
      </w:pPr>
      <w:r w:rsidRPr="00AA2617">
        <w:t xml:space="preserve">On 26 December 2004, the fisheries sector was severely affected by tsunami tidal waves that hit two-thirds of the coastline of the island. It is estimated that nearly 80% of active fishers were affected and more than 75% of the fishing fleet was destroyed or damaged by the tsunami. In addition, a large number of small-scale fishing craft and fishing gear were destroyed. Of the 12 fishing harbors, 10 were severely damaged, including breakwaters, shore facilities, buildings, machinery and equipment. In addition, public and private utilities, such as ice plants, landing ports, markets and the homes of the fishing community were destroyed. Recovery of the fishing industry since the tsunami, and the changing patterns of practice in the fisheries industry in terms of the balance between offshore fisheries and onshore aquaculture (often in association with mangrove areas, or clearance of mangroves) are of significant relevance to the impact of the sector on both climate change mitigation and adaptive capacity of a significant proportion of the population. </w:t>
      </w:r>
    </w:p>
    <w:p w14:paraId="16C66FE2" w14:textId="1A4B619C" w:rsidR="00E970A4" w:rsidRPr="00AA2617" w:rsidRDefault="00E970A4" w:rsidP="00AA2617">
      <w:pPr>
        <w:pStyle w:val="NumberedParagraph"/>
        <w:ind w:left="360"/>
      </w:pPr>
      <w:r w:rsidRPr="00AA2617">
        <w:rPr>
          <w:i/>
        </w:rPr>
        <w:t>Forestry:</w:t>
      </w:r>
      <w:r w:rsidRPr="00AA2617">
        <w:t xml:space="preserve"> The total dense and open forest cover of the island (excluding forest plantations and other forms of vegetation) was estimated at 1.952 million ha in </w:t>
      </w:r>
      <w:r w:rsidRPr="00AA2617">
        <w:rPr>
          <w:shd w:val="clear" w:color="auto" w:fill="F4B083" w:themeFill="accent2" w:themeFillTint="99"/>
        </w:rPr>
        <w:t xml:space="preserve">2017 (Central bank report, 2018) </w:t>
      </w:r>
      <w:r w:rsidRPr="00AA2617">
        <w:rPr>
          <w:vertAlign w:val="superscript"/>
        </w:rPr>
        <w:footnoteReference w:id="18"/>
      </w:r>
      <w:r w:rsidRPr="00AA2617">
        <w:t xml:space="preserve">. </w:t>
      </w:r>
      <w:r w:rsidRPr="00AA2617">
        <w:rPr>
          <w:vertAlign w:val="superscript"/>
        </w:rPr>
        <w:t xml:space="preserve"> </w:t>
      </w:r>
      <w:r w:rsidRPr="00AA2617">
        <w:t xml:space="preserve">This is mainly in closed canopy (1.4 million ha) and sparse forest (0.4 million ha). 15,700 ha of mangroves and 79,941 ha of forest plantations are included as well. Based on the facts given in Sri Lanka Forestry Outlook, 2009, the demand for wood and wood products is mainly met from home gardens, rubber, coconut and tea plantations, and privately held woodlots, considerably reducing the pressure on natural forests. Major challenges in the forest mapping and GHG inventory are lack of emission factors for </w:t>
      </w:r>
      <w:r w:rsidRPr="00AA2617">
        <w:lastRenderedPageBreak/>
        <w:t>major group of tree species. Still Sri Lanka is using Tier-1 emission factors. Forest Reference Level of Sri Lanka suggests that total emission of from Sri Lanka’s deforestation, is estimated at 4378 MtCO</w:t>
      </w:r>
      <w:r w:rsidRPr="00AA2617">
        <w:rPr>
          <w:vertAlign w:val="subscript"/>
        </w:rPr>
        <w:t>2</w:t>
      </w:r>
      <w:r w:rsidRPr="00AA2617">
        <w:t xml:space="preserve"> eq per year, whereas carbon sequestration is estimated to be only 72 MtCO</w:t>
      </w:r>
      <w:r w:rsidRPr="00AA2617">
        <w:rPr>
          <w:vertAlign w:val="subscript"/>
        </w:rPr>
        <w:t>2</w:t>
      </w:r>
      <w:r w:rsidRPr="00AA2617">
        <w:t xml:space="preserve"> eq. </w:t>
      </w:r>
      <w:r w:rsidR="005C237A" w:rsidRPr="00AA2617">
        <w:t>per year</w:t>
      </w:r>
      <w:r w:rsidRPr="00AA2617">
        <w:t>.</w:t>
      </w:r>
    </w:p>
    <w:p w14:paraId="72653809" w14:textId="43B5A48D" w:rsidR="00442386" w:rsidRPr="00AA2617" w:rsidRDefault="00442386" w:rsidP="00AA2617">
      <w:pPr>
        <w:pStyle w:val="NumberedParagraph"/>
        <w:ind w:left="360"/>
      </w:pPr>
      <w:r w:rsidRPr="00AA2617">
        <w:t>Sri Lanka’s forests are also important biodiversity hotspots. The importance of Sri Lanka’s forests at the global level is apparent by the presence of four International Biosphere Reserves (i.e. the Sinharaja forest, Hurulu Forest Reserve, Kanneliya-Dediyagala-Nakiyadeniya Forest Reserve Complex and the Bundala National Park) and two Natural World Heritage Sites (Sinharaja forest and the Central Highlands Serial World Heritage Site comprising, Knuckles Conservation Forest (KCF), Peak Wilderness Protected Area (PWPA), and Horton Plains National Park (HPNP). High biodiversity and endemism of the Wet Zone forests,</w:t>
      </w:r>
      <w:r w:rsidRPr="00AA2617">
        <w:rPr>
          <w:vertAlign w:val="superscript"/>
        </w:rPr>
        <w:footnoteReference w:id="19"/>
      </w:r>
      <w:r w:rsidRPr="00AA2617">
        <w:t xml:space="preserve"> is also partly why Sri Lanka (together with the Western Ghats of India) is ranked among the world’s 34 biodiversity hotspots</w:t>
      </w:r>
      <w:r w:rsidRPr="00AA2617">
        <w:rPr>
          <w:vertAlign w:val="superscript"/>
        </w:rPr>
        <w:footnoteReference w:id="20"/>
      </w:r>
      <w:r w:rsidRPr="00AA2617">
        <w:t xml:space="preserve">. </w:t>
      </w:r>
    </w:p>
    <w:p w14:paraId="007F9CE6" w14:textId="0A868D36" w:rsidR="00BF369D" w:rsidRPr="00AA2617" w:rsidRDefault="00BF369D" w:rsidP="00AA2617">
      <w:pPr>
        <w:pStyle w:val="NumberedParagraph"/>
        <w:ind w:left="360"/>
        <w:rPr>
          <w:sz w:val="22"/>
          <w:lang w:val="en-GB"/>
        </w:rPr>
      </w:pPr>
      <w:r w:rsidRPr="00AA2617">
        <w:rPr>
          <w:i/>
          <w:sz w:val="22"/>
          <w:lang w:val="en-GB"/>
        </w:rPr>
        <w:t>Status of MRV of agriculture, forestry, livestock and fisheries sector</w:t>
      </w:r>
      <w:r w:rsidRPr="00AA2617">
        <w:rPr>
          <w:sz w:val="22"/>
          <w:lang w:val="en-GB"/>
        </w:rPr>
        <w:t xml:space="preserve">: In agriculture, there are annual crop forecasts which are updated based on data on the ground. The DoA, DoAA, HARTI are government agencies mandated to measure, report and verify activity and other key performance indicators of the sector. For forestry, </w:t>
      </w:r>
      <w:r w:rsidR="00B275CF" w:rsidRPr="00AA2617">
        <w:rPr>
          <w:sz w:val="22"/>
          <w:lang w:val="en-GB"/>
        </w:rPr>
        <w:t>Forest Department</w:t>
      </w:r>
      <w:r w:rsidRPr="00AA2617">
        <w:rPr>
          <w:sz w:val="22"/>
          <w:lang w:val="en-GB"/>
        </w:rPr>
        <w:t xml:space="preserve"> is mandated with NFI. The record keeping and reporting relationships are either internal annual reporting or for mandated disclosures to </w:t>
      </w:r>
      <w:r w:rsidR="00B275CF" w:rsidRPr="00AA2617">
        <w:rPr>
          <w:sz w:val="22"/>
          <w:lang w:val="en-GB"/>
        </w:rPr>
        <w:t>Forest Department.</w:t>
      </w:r>
      <w:r w:rsidRPr="00AA2617">
        <w:rPr>
          <w:sz w:val="22"/>
          <w:lang w:val="en-GB"/>
        </w:rPr>
        <w:t xml:space="preserve"> DoA, DAPH, and DFAR have the in-house record keeping apparatus conducted by regional offices or by the representatives at local government offices. MRV roles are not performed independently by external parties.</w:t>
      </w:r>
      <w:r w:rsidRPr="00AA2617">
        <w:rPr>
          <w:sz w:val="22"/>
          <w:shd w:val="clear" w:color="auto" w:fill="F4B083" w:themeFill="accent2" w:themeFillTint="99"/>
          <w:lang w:val="en-GB"/>
        </w:rPr>
        <w:t xml:space="preserve"> </w:t>
      </w:r>
    </w:p>
    <w:p w14:paraId="4FF9F66F" w14:textId="091D6557" w:rsidR="001E1DB8" w:rsidRPr="00AA2617" w:rsidRDefault="00777853" w:rsidP="00AA2617">
      <w:pPr>
        <w:pStyle w:val="NumberedParagraph"/>
        <w:ind w:left="360"/>
        <w:rPr>
          <w:sz w:val="22"/>
          <w:lang w:val="en-GB"/>
        </w:rPr>
      </w:pPr>
      <w:r w:rsidRPr="00AA2617">
        <w:rPr>
          <w:sz w:val="22"/>
          <w:lang w:val="en-GB"/>
        </w:rPr>
        <w:t xml:space="preserve">The UN-REDD program in </w:t>
      </w:r>
      <w:r w:rsidR="00EB4556" w:rsidRPr="00AA2617">
        <w:rPr>
          <w:sz w:val="22"/>
          <w:lang w:val="en-GB"/>
        </w:rPr>
        <w:t>Sri Lanka</w:t>
      </w:r>
      <w:r w:rsidRPr="00AA2617">
        <w:rPr>
          <w:sz w:val="22"/>
          <w:lang w:val="en-GB"/>
        </w:rPr>
        <w:t xml:space="preserve"> provided extensive and productive support to strengthening </w:t>
      </w:r>
      <w:r w:rsidR="00EB4556" w:rsidRPr="00AA2617">
        <w:rPr>
          <w:sz w:val="22"/>
          <w:lang w:val="en-GB"/>
        </w:rPr>
        <w:t>Sri Lanka’s</w:t>
      </w:r>
      <w:r w:rsidRPr="00AA2617">
        <w:rPr>
          <w:sz w:val="22"/>
          <w:lang w:val="en-GB"/>
        </w:rPr>
        <w:t xml:space="preserve"> forest-related MRV capacities, notably via the </w:t>
      </w:r>
      <w:r w:rsidR="00EE127A" w:rsidRPr="00AA2617">
        <w:rPr>
          <w:sz w:val="22"/>
          <w:lang w:val="en-GB"/>
        </w:rPr>
        <w:t xml:space="preserve">support to the development of </w:t>
      </w:r>
      <w:r w:rsidRPr="00AA2617">
        <w:rPr>
          <w:sz w:val="22"/>
          <w:lang w:val="en-GB"/>
        </w:rPr>
        <w:t xml:space="preserve"> </w:t>
      </w:r>
      <w:r w:rsidR="00EE127A" w:rsidRPr="00AA2617">
        <w:rPr>
          <w:sz w:val="22"/>
          <w:lang w:val="en-GB"/>
        </w:rPr>
        <w:t xml:space="preserve">Sri Lanka’s </w:t>
      </w:r>
      <w:r w:rsidRPr="00AA2617">
        <w:rPr>
          <w:sz w:val="22"/>
          <w:lang w:val="en-GB"/>
        </w:rPr>
        <w:t xml:space="preserve">National Forest Inventory and </w:t>
      </w:r>
      <w:r w:rsidR="00EE127A" w:rsidRPr="00AA2617">
        <w:rPr>
          <w:sz w:val="22"/>
          <w:lang w:val="en-GB"/>
        </w:rPr>
        <w:t xml:space="preserve">submission of </w:t>
      </w:r>
      <w:r w:rsidR="00ED7A0D" w:rsidRPr="00AA2617">
        <w:rPr>
          <w:sz w:val="22"/>
          <w:lang w:val="en-GB"/>
        </w:rPr>
        <w:t>Sri Lanka’s</w:t>
      </w:r>
      <w:r w:rsidRPr="00AA2617">
        <w:rPr>
          <w:sz w:val="22"/>
          <w:lang w:val="en-GB"/>
        </w:rPr>
        <w:t xml:space="preserve"> Forest Reference Level</w:t>
      </w:r>
      <w:r w:rsidR="00EE127A" w:rsidRPr="00AA2617">
        <w:rPr>
          <w:sz w:val="22"/>
          <w:lang w:val="en-GB"/>
        </w:rPr>
        <w:t xml:space="preserve"> to the UNFCCC</w:t>
      </w:r>
      <w:r w:rsidRPr="00AA2617">
        <w:rPr>
          <w:sz w:val="22"/>
          <w:lang w:val="en-GB"/>
        </w:rPr>
        <w:t>. This CBIT project constitutes an important mechanism to carry forward the momentum of that work in terms of (i) the enabling environment for strengthened MRV, (ii) broader application of the capacities developed by the UN-REDD program (especially to other land-use sub-sectors), and (iii) maintained engagement and continuity of relevant national expertise.</w:t>
      </w:r>
    </w:p>
    <w:p w14:paraId="1280C508" w14:textId="77777777" w:rsidR="00A67E5F" w:rsidRPr="00AA2617" w:rsidRDefault="00240427" w:rsidP="00AA2617">
      <w:pPr>
        <w:pStyle w:val="NumberedParagraph"/>
        <w:ind w:left="360"/>
        <w:rPr>
          <w:sz w:val="22"/>
          <w:lang w:val="en-GB"/>
        </w:rPr>
      </w:pPr>
      <w:r w:rsidRPr="00AA2617">
        <w:rPr>
          <w:i/>
          <w:sz w:val="22"/>
          <w:lang w:val="en-GB"/>
        </w:rPr>
        <w:t>National land-use classifications</w:t>
      </w:r>
      <w:r w:rsidRPr="00AA2617">
        <w:rPr>
          <w:sz w:val="22"/>
          <w:lang w:val="en-GB"/>
        </w:rPr>
        <w:t xml:space="preserve">.  </w:t>
      </w:r>
      <w:r w:rsidR="0091211E" w:rsidRPr="00AA2617">
        <w:rPr>
          <w:sz w:val="22"/>
        </w:rPr>
        <w:t>The Centre for Remote Sensing (CRS) of the Survey Department is in the process of developing a new digital topographical database for maps of 1:50,000 scale, with digital layers on transport, hydrography and land cover/ land uses, prepared using ALOS satellite imagery. Out of a total of 92 map sheets, 42 map sheets were completed at the time of the preparation of this data catalogue. The balance is scheduled to be completed by year 2016. The land use categories of the new map series and their characteristics are given in</w:t>
      </w:r>
      <w:r w:rsidR="00A67E5F" w:rsidRPr="00AA2617">
        <w:rPr>
          <w:sz w:val="22"/>
        </w:rPr>
        <w:t xml:space="preserve"> table -3. </w:t>
      </w:r>
      <w:r w:rsidR="0091211E" w:rsidRPr="00AA2617">
        <w:rPr>
          <w:sz w:val="22"/>
        </w:rPr>
        <w:t xml:space="preserve">The maps include forests in three categories; (i) dense forests, (ii) open forests, and (iii) Forest Plantations.  Mangroves and marshes are categorized under ‘Bogey Areas’ and grasslands and scrubland under ‘Bare Lands’. It should be noted that the image interpretation for the map series is done mostly by remote sensing technicians, who participated in the previous land use mapping work under the Sri Lanka/Swiss Remote Sensing Project (1980-1986). </w:t>
      </w:r>
      <w:r w:rsidR="00A67E5F" w:rsidRPr="00AA2617">
        <w:rPr>
          <w:sz w:val="22"/>
        </w:rPr>
        <w:t xml:space="preserve">This classification system will ensure that </w:t>
      </w:r>
      <w:r w:rsidR="00A67E5F" w:rsidRPr="00AA2617">
        <w:rPr>
          <w:sz w:val="22"/>
          <w:lang w:val="en-GB"/>
        </w:rPr>
        <w:t>nationally appropriate land-use sub-categories are reflected in future AFOLU MRV.</w:t>
      </w:r>
    </w:p>
    <w:p w14:paraId="438053C7" w14:textId="1706D714" w:rsidR="00636FB9" w:rsidRPr="00AA2617" w:rsidRDefault="00240427" w:rsidP="00AA2617">
      <w:pPr>
        <w:pStyle w:val="NumberedParagraph"/>
        <w:numPr>
          <w:ilvl w:val="0"/>
          <w:numId w:val="0"/>
        </w:numPr>
        <w:jc w:val="center"/>
        <w:rPr>
          <w:sz w:val="22"/>
          <w:lang w:val="en-GB"/>
        </w:rPr>
      </w:pPr>
      <w:r w:rsidRPr="00AA2617">
        <w:rPr>
          <w:sz w:val="22"/>
          <w:lang w:val="en-GB"/>
        </w:rPr>
        <w:t xml:space="preserve">Table </w:t>
      </w:r>
      <w:r w:rsidR="00BE79EE" w:rsidRPr="00AA2617">
        <w:rPr>
          <w:sz w:val="22"/>
          <w:lang w:val="en-GB"/>
        </w:rPr>
        <w:t>3</w:t>
      </w:r>
      <w:r w:rsidR="00351C3A" w:rsidRPr="00AA2617">
        <w:rPr>
          <w:sz w:val="22"/>
          <w:lang w:val="en-GB"/>
        </w:rPr>
        <w:t>.</w:t>
      </w:r>
      <w:r w:rsidR="00636FB9" w:rsidRPr="00AA2617">
        <w:rPr>
          <w:sz w:val="22"/>
          <w:lang w:val="en-GB"/>
        </w:rPr>
        <w:t xml:space="preserve"> Sri Lanka’s national Land Use Land Cover (LULC) classification and corresponding</w:t>
      </w:r>
      <w:r w:rsidRPr="00AA2617">
        <w:rPr>
          <w:sz w:val="22"/>
          <w:lang w:val="en-GB"/>
        </w:rPr>
        <w:t xml:space="preserve"> IPCC </w:t>
      </w:r>
      <w:r w:rsidR="00B2700E" w:rsidRPr="00AA2617">
        <w:rPr>
          <w:sz w:val="22"/>
          <w:lang w:val="en-GB"/>
        </w:rPr>
        <w:t>L</w:t>
      </w:r>
      <w:r w:rsidRPr="00AA2617">
        <w:rPr>
          <w:sz w:val="22"/>
          <w:lang w:val="en-GB"/>
        </w:rPr>
        <w:t xml:space="preserve">and-use </w:t>
      </w:r>
      <w:r w:rsidR="00B2700E" w:rsidRPr="00AA2617">
        <w:rPr>
          <w:sz w:val="22"/>
          <w:lang w:val="en-GB"/>
        </w:rPr>
        <w:t>C</w:t>
      </w:r>
      <w:r w:rsidRPr="00AA2617">
        <w:rPr>
          <w:sz w:val="22"/>
          <w:lang w:val="en-GB"/>
        </w:rPr>
        <w:t>lass</w:t>
      </w:r>
      <w:r w:rsidR="00636FB9" w:rsidRPr="00AA2617">
        <w:rPr>
          <w:sz w:val="22"/>
          <w:lang w:val="en-GB"/>
        </w:rPr>
        <w: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6"/>
        <w:gridCol w:w="2000"/>
        <w:gridCol w:w="4611"/>
      </w:tblGrid>
      <w:tr w:rsidR="00B275CF" w:rsidRPr="00AA2617" w14:paraId="529B63B6" w14:textId="77777777" w:rsidTr="00B275CF">
        <w:trPr>
          <w:trHeight w:val="300"/>
          <w:jc w:val="center"/>
        </w:trPr>
        <w:tc>
          <w:tcPr>
            <w:tcW w:w="3316" w:type="dxa"/>
            <w:gridSpan w:val="2"/>
            <w:noWrap/>
            <w:hideMark/>
          </w:tcPr>
          <w:p w14:paraId="4DBE2A12" w14:textId="3AF9CE19" w:rsidR="00B275CF" w:rsidRPr="00AA2617" w:rsidRDefault="00B275CF" w:rsidP="00AA2617">
            <w:pPr>
              <w:jc w:val="center"/>
              <w:rPr>
                <w:rFonts w:cs="Times New Roman"/>
                <w:b/>
                <w:bCs/>
                <w:sz w:val="22"/>
              </w:rPr>
            </w:pPr>
            <w:r w:rsidRPr="00AA2617">
              <w:rPr>
                <w:rFonts w:cs="Times New Roman"/>
                <w:b/>
                <w:bCs/>
                <w:sz w:val="22"/>
              </w:rPr>
              <w:t>Sri Lanka’s National LULC Classification</w:t>
            </w:r>
          </w:p>
        </w:tc>
        <w:tc>
          <w:tcPr>
            <w:tcW w:w="4611" w:type="dxa"/>
            <w:vMerge w:val="restart"/>
            <w:noWrap/>
            <w:hideMark/>
          </w:tcPr>
          <w:p w14:paraId="0552BFF9" w14:textId="765A7A36" w:rsidR="00B275CF" w:rsidRPr="00AA2617" w:rsidRDefault="00B275CF" w:rsidP="00AA2617">
            <w:pPr>
              <w:jc w:val="center"/>
              <w:rPr>
                <w:rFonts w:cs="Times New Roman"/>
                <w:b/>
                <w:bCs/>
                <w:sz w:val="22"/>
              </w:rPr>
            </w:pPr>
            <w:r w:rsidRPr="00AA2617">
              <w:rPr>
                <w:rFonts w:cs="Times New Roman"/>
                <w:b/>
                <w:bCs/>
                <w:sz w:val="22"/>
              </w:rPr>
              <w:t>DESCRIPTION</w:t>
            </w:r>
          </w:p>
        </w:tc>
      </w:tr>
      <w:tr w:rsidR="00B275CF" w:rsidRPr="00AA2617" w14:paraId="73168749" w14:textId="77777777" w:rsidTr="00B275CF">
        <w:trPr>
          <w:trHeight w:val="300"/>
          <w:jc w:val="center"/>
        </w:trPr>
        <w:tc>
          <w:tcPr>
            <w:tcW w:w="1316" w:type="dxa"/>
            <w:noWrap/>
            <w:hideMark/>
          </w:tcPr>
          <w:p w14:paraId="2E4D160F" w14:textId="77777777" w:rsidR="00B275CF" w:rsidRPr="00AA2617" w:rsidRDefault="00B275CF" w:rsidP="00AA2617">
            <w:pPr>
              <w:rPr>
                <w:rFonts w:cs="Times New Roman"/>
                <w:b/>
                <w:bCs/>
                <w:sz w:val="22"/>
              </w:rPr>
            </w:pPr>
            <w:r w:rsidRPr="00AA2617">
              <w:rPr>
                <w:rFonts w:cs="Times New Roman"/>
                <w:b/>
                <w:bCs/>
                <w:sz w:val="22"/>
              </w:rPr>
              <w:t>LEVEL 1</w:t>
            </w:r>
          </w:p>
        </w:tc>
        <w:tc>
          <w:tcPr>
            <w:tcW w:w="2000" w:type="dxa"/>
            <w:noWrap/>
            <w:hideMark/>
          </w:tcPr>
          <w:p w14:paraId="5E54083A" w14:textId="77777777" w:rsidR="00B275CF" w:rsidRPr="00AA2617" w:rsidRDefault="00B275CF" w:rsidP="00AA2617">
            <w:pPr>
              <w:rPr>
                <w:rFonts w:cs="Times New Roman"/>
                <w:b/>
                <w:bCs/>
                <w:sz w:val="22"/>
              </w:rPr>
            </w:pPr>
            <w:r w:rsidRPr="00AA2617">
              <w:rPr>
                <w:rFonts w:cs="Times New Roman"/>
                <w:b/>
                <w:bCs/>
                <w:sz w:val="22"/>
              </w:rPr>
              <w:t>LEVEL 2</w:t>
            </w:r>
          </w:p>
        </w:tc>
        <w:tc>
          <w:tcPr>
            <w:tcW w:w="4611" w:type="dxa"/>
            <w:vMerge/>
            <w:hideMark/>
          </w:tcPr>
          <w:p w14:paraId="37F953F4" w14:textId="51CBB580" w:rsidR="00B275CF" w:rsidRPr="00AA2617" w:rsidRDefault="00B275CF" w:rsidP="00AA2617">
            <w:pPr>
              <w:rPr>
                <w:rFonts w:cs="Times New Roman"/>
                <w:b/>
                <w:bCs/>
                <w:sz w:val="22"/>
              </w:rPr>
            </w:pPr>
          </w:p>
        </w:tc>
      </w:tr>
      <w:tr w:rsidR="00B275CF" w:rsidRPr="00AA2617" w14:paraId="28F60D02" w14:textId="77777777" w:rsidTr="00B275CF">
        <w:trPr>
          <w:trHeight w:val="645"/>
          <w:jc w:val="center"/>
        </w:trPr>
        <w:tc>
          <w:tcPr>
            <w:tcW w:w="1316" w:type="dxa"/>
            <w:vMerge w:val="restart"/>
            <w:noWrap/>
            <w:hideMark/>
          </w:tcPr>
          <w:p w14:paraId="4250FEF2" w14:textId="77777777" w:rsidR="00B275CF" w:rsidRPr="00AA2617" w:rsidRDefault="00B275CF" w:rsidP="00AA2617">
            <w:pPr>
              <w:rPr>
                <w:rFonts w:cs="Times New Roman"/>
                <w:sz w:val="22"/>
              </w:rPr>
            </w:pPr>
            <w:r w:rsidRPr="00AA2617">
              <w:rPr>
                <w:rFonts w:cs="Times New Roman"/>
                <w:sz w:val="22"/>
              </w:rPr>
              <w:lastRenderedPageBreak/>
              <w:t>Cultivation Area</w:t>
            </w:r>
          </w:p>
        </w:tc>
        <w:tc>
          <w:tcPr>
            <w:tcW w:w="2000" w:type="dxa"/>
            <w:hideMark/>
          </w:tcPr>
          <w:p w14:paraId="38515478" w14:textId="77777777" w:rsidR="00B275CF" w:rsidRPr="00AA2617" w:rsidRDefault="00B275CF" w:rsidP="00AA2617">
            <w:pPr>
              <w:rPr>
                <w:rFonts w:cs="Times New Roman"/>
                <w:sz w:val="22"/>
              </w:rPr>
            </w:pPr>
            <w:r w:rsidRPr="00AA2617">
              <w:rPr>
                <w:rFonts w:cs="Times New Roman"/>
                <w:sz w:val="22"/>
              </w:rPr>
              <w:t>Tea</w:t>
            </w:r>
          </w:p>
        </w:tc>
        <w:tc>
          <w:tcPr>
            <w:tcW w:w="4611" w:type="dxa"/>
            <w:hideMark/>
          </w:tcPr>
          <w:p w14:paraId="7643FAB6" w14:textId="629B1C74" w:rsidR="00B275CF" w:rsidRPr="00AA2617" w:rsidRDefault="00B275CF" w:rsidP="00AA2617">
            <w:pPr>
              <w:rPr>
                <w:rFonts w:cs="Times New Roman"/>
                <w:sz w:val="22"/>
              </w:rPr>
            </w:pPr>
            <w:r w:rsidRPr="00AA2617">
              <w:rPr>
                <w:rFonts w:cs="Times New Roman"/>
                <w:sz w:val="22"/>
              </w:rPr>
              <w:t>Land under men cultivation, both seeding and vegetative propagated tea, land under rehabilitation (Guatemala or Mana grass), partly inter-planted with shade trees</w:t>
            </w:r>
          </w:p>
        </w:tc>
      </w:tr>
      <w:tr w:rsidR="00B275CF" w:rsidRPr="00AA2617" w14:paraId="2BE9B258" w14:textId="77777777" w:rsidTr="00B275CF">
        <w:trPr>
          <w:trHeight w:val="300"/>
          <w:jc w:val="center"/>
        </w:trPr>
        <w:tc>
          <w:tcPr>
            <w:tcW w:w="1316" w:type="dxa"/>
            <w:vMerge/>
            <w:hideMark/>
          </w:tcPr>
          <w:p w14:paraId="025DC6FE" w14:textId="77777777" w:rsidR="00B275CF" w:rsidRPr="00AA2617" w:rsidRDefault="00B275CF" w:rsidP="00AA2617">
            <w:pPr>
              <w:rPr>
                <w:rFonts w:cs="Times New Roman"/>
                <w:sz w:val="22"/>
              </w:rPr>
            </w:pPr>
          </w:p>
        </w:tc>
        <w:tc>
          <w:tcPr>
            <w:tcW w:w="2000" w:type="dxa"/>
            <w:hideMark/>
          </w:tcPr>
          <w:p w14:paraId="62A7B9C4" w14:textId="77777777" w:rsidR="00B275CF" w:rsidRPr="00AA2617" w:rsidRDefault="00B275CF" w:rsidP="00AA2617">
            <w:pPr>
              <w:rPr>
                <w:rFonts w:cs="Times New Roman"/>
                <w:sz w:val="22"/>
              </w:rPr>
            </w:pPr>
            <w:r w:rsidRPr="00AA2617">
              <w:rPr>
                <w:rFonts w:cs="Times New Roman"/>
                <w:sz w:val="22"/>
              </w:rPr>
              <w:t>Rubber</w:t>
            </w:r>
          </w:p>
        </w:tc>
        <w:tc>
          <w:tcPr>
            <w:tcW w:w="4611" w:type="dxa"/>
            <w:hideMark/>
          </w:tcPr>
          <w:p w14:paraId="0F6835EE" w14:textId="46BAEA77" w:rsidR="00B275CF" w:rsidRPr="00AA2617" w:rsidRDefault="00B275CF" w:rsidP="00AA2617">
            <w:pPr>
              <w:rPr>
                <w:rFonts w:cs="Times New Roman"/>
                <w:sz w:val="22"/>
              </w:rPr>
            </w:pPr>
            <w:r w:rsidRPr="00AA2617">
              <w:rPr>
                <w:rFonts w:cs="Times New Roman"/>
                <w:sz w:val="22"/>
              </w:rPr>
              <w:t>Systematic, continues cultivation of rubber trees in plantations</w:t>
            </w:r>
          </w:p>
        </w:tc>
      </w:tr>
      <w:tr w:rsidR="00B275CF" w:rsidRPr="00AA2617" w14:paraId="4BF209F6" w14:textId="77777777" w:rsidTr="00B275CF">
        <w:trPr>
          <w:trHeight w:val="300"/>
          <w:jc w:val="center"/>
        </w:trPr>
        <w:tc>
          <w:tcPr>
            <w:tcW w:w="1316" w:type="dxa"/>
            <w:vMerge/>
            <w:hideMark/>
          </w:tcPr>
          <w:p w14:paraId="3F6BAD5D" w14:textId="77777777" w:rsidR="00B275CF" w:rsidRPr="00AA2617" w:rsidRDefault="00B275CF" w:rsidP="00AA2617">
            <w:pPr>
              <w:rPr>
                <w:rFonts w:cs="Times New Roman"/>
                <w:sz w:val="22"/>
              </w:rPr>
            </w:pPr>
          </w:p>
        </w:tc>
        <w:tc>
          <w:tcPr>
            <w:tcW w:w="2000" w:type="dxa"/>
            <w:hideMark/>
          </w:tcPr>
          <w:p w14:paraId="20E6A8FF" w14:textId="77777777" w:rsidR="00B275CF" w:rsidRPr="00AA2617" w:rsidRDefault="00B275CF" w:rsidP="00AA2617">
            <w:pPr>
              <w:rPr>
                <w:rFonts w:cs="Times New Roman"/>
                <w:sz w:val="22"/>
              </w:rPr>
            </w:pPr>
            <w:r w:rsidRPr="00AA2617">
              <w:rPr>
                <w:rFonts w:cs="Times New Roman"/>
                <w:sz w:val="22"/>
              </w:rPr>
              <w:t>Coconut</w:t>
            </w:r>
          </w:p>
        </w:tc>
        <w:tc>
          <w:tcPr>
            <w:tcW w:w="4611" w:type="dxa"/>
            <w:hideMark/>
          </w:tcPr>
          <w:p w14:paraId="03BB8536" w14:textId="21E38381" w:rsidR="00B275CF" w:rsidRPr="00AA2617" w:rsidRDefault="00B275CF" w:rsidP="00AA2617">
            <w:pPr>
              <w:rPr>
                <w:rFonts w:cs="Times New Roman"/>
                <w:sz w:val="22"/>
              </w:rPr>
            </w:pPr>
            <w:r w:rsidRPr="00AA2617">
              <w:rPr>
                <w:rFonts w:cs="Times New Roman"/>
                <w:sz w:val="22"/>
              </w:rPr>
              <w:t>Systematic, continues planting of coconut trees in plantations</w:t>
            </w:r>
          </w:p>
        </w:tc>
      </w:tr>
      <w:tr w:rsidR="00B275CF" w:rsidRPr="00AA2617" w14:paraId="38C657DE" w14:textId="77777777" w:rsidTr="00B275CF">
        <w:trPr>
          <w:trHeight w:val="600"/>
          <w:jc w:val="center"/>
        </w:trPr>
        <w:tc>
          <w:tcPr>
            <w:tcW w:w="1316" w:type="dxa"/>
            <w:vMerge/>
            <w:hideMark/>
          </w:tcPr>
          <w:p w14:paraId="1F74F5B1" w14:textId="77777777" w:rsidR="00B275CF" w:rsidRPr="00AA2617" w:rsidRDefault="00B275CF" w:rsidP="00AA2617">
            <w:pPr>
              <w:rPr>
                <w:rFonts w:cs="Times New Roman"/>
                <w:sz w:val="22"/>
              </w:rPr>
            </w:pPr>
          </w:p>
        </w:tc>
        <w:tc>
          <w:tcPr>
            <w:tcW w:w="2000" w:type="dxa"/>
            <w:hideMark/>
          </w:tcPr>
          <w:p w14:paraId="65023A2D" w14:textId="77777777" w:rsidR="00B275CF" w:rsidRPr="00AA2617" w:rsidRDefault="00B275CF" w:rsidP="00AA2617">
            <w:pPr>
              <w:rPr>
                <w:rFonts w:cs="Times New Roman"/>
                <w:sz w:val="22"/>
              </w:rPr>
            </w:pPr>
            <w:r w:rsidRPr="00AA2617">
              <w:rPr>
                <w:rFonts w:cs="Times New Roman"/>
                <w:sz w:val="22"/>
              </w:rPr>
              <w:t>Paddy</w:t>
            </w:r>
          </w:p>
        </w:tc>
        <w:tc>
          <w:tcPr>
            <w:tcW w:w="4611" w:type="dxa"/>
            <w:hideMark/>
          </w:tcPr>
          <w:p w14:paraId="153F4EFF" w14:textId="0ABAF673" w:rsidR="00B275CF" w:rsidRPr="00AA2617" w:rsidRDefault="00B275CF" w:rsidP="00AA2617">
            <w:pPr>
              <w:rPr>
                <w:rFonts w:cs="Times New Roman"/>
                <w:sz w:val="22"/>
              </w:rPr>
            </w:pPr>
            <w:r w:rsidRPr="00AA2617">
              <w:rPr>
                <w:rFonts w:cs="Times New Roman"/>
                <w:sz w:val="22"/>
              </w:rPr>
              <w:t>Asweddumized paddy area i.e. bunded and ridged land intended for cultivation of rain fed or irrigated wet rice</w:t>
            </w:r>
          </w:p>
        </w:tc>
      </w:tr>
      <w:tr w:rsidR="00B275CF" w:rsidRPr="00AA2617" w14:paraId="1B517532" w14:textId="77777777" w:rsidTr="00B275CF">
        <w:trPr>
          <w:trHeight w:val="300"/>
          <w:jc w:val="center"/>
        </w:trPr>
        <w:tc>
          <w:tcPr>
            <w:tcW w:w="1316" w:type="dxa"/>
            <w:vMerge/>
            <w:hideMark/>
          </w:tcPr>
          <w:p w14:paraId="2C25A136" w14:textId="77777777" w:rsidR="00B275CF" w:rsidRPr="00AA2617" w:rsidRDefault="00B275CF" w:rsidP="00AA2617">
            <w:pPr>
              <w:rPr>
                <w:rFonts w:cs="Times New Roman"/>
                <w:sz w:val="22"/>
              </w:rPr>
            </w:pPr>
          </w:p>
        </w:tc>
        <w:tc>
          <w:tcPr>
            <w:tcW w:w="2000" w:type="dxa"/>
            <w:hideMark/>
          </w:tcPr>
          <w:p w14:paraId="3AA66BFC" w14:textId="77777777" w:rsidR="00B275CF" w:rsidRPr="00AA2617" w:rsidRDefault="00B275CF" w:rsidP="00AA2617">
            <w:pPr>
              <w:rPr>
                <w:rFonts w:cs="Times New Roman"/>
                <w:sz w:val="22"/>
              </w:rPr>
            </w:pPr>
            <w:r w:rsidRPr="00AA2617">
              <w:rPr>
                <w:rFonts w:cs="Times New Roman"/>
                <w:sz w:val="22"/>
              </w:rPr>
              <w:t>Palmyrah</w:t>
            </w:r>
          </w:p>
        </w:tc>
        <w:tc>
          <w:tcPr>
            <w:tcW w:w="4611" w:type="dxa"/>
            <w:hideMark/>
          </w:tcPr>
          <w:p w14:paraId="3D450159" w14:textId="6449CEC0" w:rsidR="00B275CF" w:rsidRPr="00AA2617" w:rsidRDefault="00B275CF" w:rsidP="00AA2617">
            <w:pPr>
              <w:rPr>
                <w:rFonts w:cs="Times New Roman"/>
                <w:sz w:val="22"/>
              </w:rPr>
            </w:pPr>
            <w:r w:rsidRPr="00AA2617">
              <w:rPr>
                <w:rFonts w:cs="Times New Roman"/>
                <w:sz w:val="22"/>
              </w:rPr>
              <w:t>Systematic, continues planting of Palmyra trees plantation (may be possible)</w:t>
            </w:r>
          </w:p>
        </w:tc>
      </w:tr>
      <w:tr w:rsidR="00B275CF" w:rsidRPr="00AA2617" w14:paraId="2B9C54AE" w14:textId="77777777" w:rsidTr="00B275CF">
        <w:trPr>
          <w:trHeight w:val="600"/>
          <w:jc w:val="center"/>
        </w:trPr>
        <w:tc>
          <w:tcPr>
            <w:tcW w:w="1316" w:type="dxa"/>
            <w:vMerge/>
            <w:hideMark/>
          </w:tcPr>
          <w:p w14:paraId="1F09CC0B" w14:textId="77777777" w:rsidR="00B275CF" w:rsidRPr="00AA2617" w:rsidRDefault="00B275CF" w:rsidP="00AA2617">
            <w:pPr>
              <w:rPr>
                <w:rFonts w:cs="Times New Roman"/>
                <w:sz w:val="22"/>
              </w:rPr>
            </w:pPr>
          </w:p>
        </w:tc>
        <w:tc>
          <w:tcPr>
            <w:tcW w:w="2000" w:type="dxa"/>
            <w:hideMark/>
          </w:tcPr>
          <w:p w14:paraId="55E58368" w14:textId="77777777" w:rsidR="00B275CF" w:rsidRPr="00AA2617" w:rsidRDefault="00B275CF" w:rsidP="00AA2617">
            <w:pPr>
              <w:rPr>
                <w:rFonts w:cs="Times New Roman"/>
                <w:sz w:val="22"/>
              </w:rPr>
            </w:pPr>
            <w:r w:rsidRPr="00AA2617">
              <w:rPr>
                <w:rFonts w:cs="Times New Roman"/>
                <w:sz w:val="22"/>
              </w:rPr>
              <w:t>Other cultivation</w:t>
            </w:r>
          </w:p>
        </w:tc>
        <w:tc>
          <w:tcPr>
            <w:tcW w:w="4611" w:type="dxa"/>
            <w:hideMark/>
          </w:tcPr>
          <w:p w14:paraId="50280D8A" w14:textId="15F5DBBC" w:rsidR="00B275CF" w:rsidRPr="00AA2617" w:rsidRDefault="00B275CF" w:rsidP="00AA2617">
            <w:pPr>
              <w:rPr>
                <w:rFonts w:cs="Times New Roman"/>
                <w:sz w:val="22"/>
              </w:rPr>
            </w:pPr>
            <w:r w:rsidRPr="00AA2617">
              <w:rPr>
                <w:rFonts w:cs="Times New Roman"/>
                <w:sz w:val="22"/>
              </w:rPr>
              <w:t>Tobacco, vegetables, other cash crops (cashew &amp;corn), and rain fed highland crops in continues cultivation</w:t>
            </w:r>
          </w:p>
        </w:tc>
      </w:tr>
      <w:tr w:rsidR="00B275CF" w:rsidRPr="00AA2617" w14:paraId="4007B3EB" w14:textId="77777777" w:rsidTr="00B275CF">
        <w:trPr>
          <w:trHeight w:val="600"/>
          <w:jc w:val="center"/>
        </w:trPr>
        <w:tc>
          <w:tcPr>
            <w:tcW w:w="1316" w:type="dxa"/>
            <w:vMerge/>
            <w:hideMark/>
          </w:tcPr>
          <w:p w14:paraId="2769601E" w14:textId="77777777" w:rsidR="00B275CF" w:rsidRPr="00AA2617" w:rsidRDefault="00B275CF" w:rsidP="00AA2617">
            <w:pPr>
              <w:rPr>
                <w:rFonts w:cs="Times New Roman"/>
                <w:sz w:val="22"/>
              </w:rPr>
            </w:pPr>
          </w:p>
        </w:tc>
        <w:tc>
          <w:tcPr>
            <w:tcW w:w="2000" w:type="dxa"/>
            <w:hideMark/>
          </w:tcPr>
          <w:p w14:paraId="10992EA0" w14:textId="77777777" w:rsidR="00B275CF" w:rsidRPr="00AA2617" w:rsidRDefault="00B275CF" w:rsidP="00AA2617">
            <w:pPr>
              <w:rPr>
                <w:rFonts w:cs="Times New Roman"/>
                <w:sz w:val="22"/>
              </w:rPr>
            </w:pPr>
            <w:r w:rsidRPr="00AA2617">
              <w:rPr>
                <w:rFonts w:cs="Times New Roman"/>
                <w:sz w:val="22"/>
              </w:rPr>
              <w:t>Chena</w:t>
            </w:r>
          </w:p>
        </w:tc>
        <w:tc>
          <w:tcPr>
            <w:tcW w:w="4611" w:type="dxa"/>
            <w:hideMark/>
          </w:tcPr>
          <w:p w14:paraId="5BE6CB07" w14:textId="3122E49A" w:rsidR="00B275CF" w:rsidRPr="00AA2617" w:rsidRDefault="00B275CF" w:rsidP="00AA2617">
            <w:pPr>
              <w:rPr>
                <w:rFonts w:cs="Times New Roman"/>
                <w:sz w:val="22"/>
              </w:rPr>
            </w:pPr>
            <w:r w:rsidRPr="00AA2617">
              <w:rPr>
                <w:rFonts w:cs="Times New Roman"/>
                <w:sz w:val="22"/>
              </w:rPr>
              <w:t>Un irrigated rain fed upland cultivation based on slashing and burning of preferably forest but also scrubs or grassland (shifting cultivation of perennial crops)</w:t>
            </w:r>
          </w:p>
        </w:tc>
      </w:tr>
      <w:tr w:rsidR="00B275CF" w:rsidRPr="00AA2617" w14:paraId="6D7134E0" w14:textId="77777777" w:rsidTr="00B275CF">
        <w:trPr>
          <w:trHeight w:val="900"/>
          <w:jc w:val="center"/>
        </w:trPr>
        <w:tc>
          <w:tcPr>
            <w:tcW w:w="1316" w:type="dxa"/>
            <w:vMerge/>
            <w:hideMark/>
          </w:tcPr>
          <w:p w14:paraId="028E1930" w14:textId="77777777" w:rsidR="00B275CF" w:rsidRPr="00AA2617" w:rsidRDefault="00B275CF" w:rsidP="00AA2617">
            <w:pPr>
              <w:rPr>
                <w:rFonts w:cs="Times New Roman"/>
                <w:sz w:val="22"/>
              </w:rPr>
            </w:pPr>
          </w:p>
        </w:tc>
        <w:tc>
          <w:tcPr>
            <w:tcW w:w="2000" w:type="dxa"/>
            <w:hideMark/>
          </w:tcPr>
          <w:p w14:paraId="2068FF9C" w14:textId="77777777" w:rsidR="00B275CF" w:rsidRPr="00AA2617" w:rsidRDefault="00B275CF" w:rsidP="00AA2617">
            <w:pPr>
              <w:rPr>
                <w:rFonts w:cs="Times New Roman"/>
                <w:sz w:val="22"/>
              </w:rPr>
            </w:pPr>
            <w:r w:rsidRPr="00AA2617">
              <w:rPr>
                <w:rFonts w:cs="Times New Roman"/>
                <w:sz w:val="22"/>
              </w:rPr>
              <w:t>Sparsely used cropland</w:t>
            </w:r>
          </w:p>
        </w:tc>
        <w:tc>
          <w:tcPr>
            <w:tcW w:w="4611" w:type="dxa"/>
            <w:hideMark/>
          </w:tcPr>
          <w:p w14:paraId="0D400E4C" w14:textId="3C676CFD" w:rsidR="00B275CF" w:rsidRPr="00AA2617" w:rsidRDefault="00B275CF" w:rsidP="00AA2617">
            <w:pPr>
              <w:rPr>
                <w:rFonts w:cs="Times New Roman"/>
                <w:sz w:val="22"/>
              </w:rPr>
            </w:pPr>
            <w:r w:rsidRPr="00AA2617">
              <w:rPr>
                <w:rFonts w:cs="Times New Roman"/>
                <w:sz w:val="22"/>
              </w:rPr>
              <w:t>Chena (shifting cultivation), recently abandoned Chena, sparsely used rain fed cropland (permanent dry cropping), neglected or abandoned tea, rubber and coconut land under development</w:t>
            </w:r>
          </w:p>
        </w:tc>
      </w:tr>
      <w:tr w:rsidR="00B275CF" w:rsidRPr="00AA2617" w14:paraId="7756A91E" w14:textId="77777777" w:rsidTr="00B275CF">
        <w:trPr>
          <w:trHeight w:val="300"/>
          <w:jc w:val="center"/>
        </w:trPr>
        <w:tc>
          <w:tcPr>
            <w:tcW w:w="1316" w:type="dxa"/>
            <w:vMerge w:val="restart"/>
            <w:noWrap/>
            <w:hideMark/>
          </w:tcPr>
          <w:p w14:paraId="2B066937" w14:textId="77777777" w:rsidR="00B275CF" w:rsidRPr="00AA2617" w:rsidRDefault="00B275CF" w:rsidP="00AA2617">
            <w:pPr>
              <w:rPr>
                <w:rFonts w:cs="Times New Roman"/>
                <w:sz w:val="22"/>
              </w:rPr>
            </w:pPr>
            <w:r w:rsidRPr="00AA2617">
              <w:rPr>
                <w:rFonts w:cs="Times New Roman"/>
                <w:sz w:val="22"/>
              </w:rPr>
              <w:t>Forest area</w:t>
            </w:r>
          </w:p>
        </w:tc>
        <w:tc>
          <w:tcPr>
            <w:tcW w:w="2000" w:type="dxa"/>
            <w:hideMark/>
          </w:tcPr>
          <w:p w14:paraId="2FFF35ED" w14:textId="77777777" w:rsidR="00B275CF" w:rsidRPr="00AA2617" w:rsidRDefault="00B275CF" w:rsidP="00AA2617">
            <w:pPr>
              <w:rPr>
                <w:rFonts w:cs="Times New Roman"/>
                <w:sz w:val="22"/>
              </w:rPr>
            </w:pPr>
            <w:r w:rsidRPr="00AA2617">
              <w:rPr>
                <w:rFonts w:cs="Times New Roman"/>
                <w:sz w:val="22"/>
              </w:rPr>
              <w:t>Dense Forest</w:t>
            </w:r>
          </w:p>
        </w:tc>
        <w:tc>
          <w:tcPr>
            <w:tcW w:w="4611" w:type="dxa"/>
            <w:hideMark/>
          </w:tcPr>
          <w:p w14:paraId="4E8249D1" w14:textId="61653B74" w:rsidR="00B275CF" w:rsidRPr="00AA2617" w:rsidRDefault="00B275CF" w:rsidP="00AA2617">
            <w:pPr>
              <w:rPr>
                <w:rFonts w:cs="Times New Roman"/>
                <w:sz w:val="22"/>
              </w:rPr>
            </w:pPr>
            <w:r w:rsidRPr="00AA2617">
              <w:rPr>
                <w:rFonts w:cs="Times New Roman"/>
                <w:sz w:val="22"/>
              </w:rPr>
              <w:t>High growing, natural trees with more than approx. 75% crown coverage</w:t>
            </w:r>
          </w:p>
        </w:tc>
      </w:tr>
      <w:tr w:rsidR="00B275CF" w:rsidRPr="00AA2617" w14:paraId="12E6E214" w14:textId="77777777" w:rsidTr="00B275CF">
        <w:trPr>
          <w:trHeight w:val="300"/>
          <w:jc w:val="center"/>
        </w:trPr>
        <w:tc>
          <w:tcPr>
            <w:tcW w:w="1316" w:type="dxa"/>
            <w:vMerge/>
            <w:hideMark/>
          </w:tcPr>
          <w:p w14:paraId="52A2EE11" w14:textId="77777777" w:rsidR="00B275CF" w:rsidRPr="00AA2617" w:rsidRDefault="00B275CF" w:rsidP="00AA2617">
            <w:pPr>
              <w:rPr>
                <w:rFonts w:cs="Times New Roman"/>
                <w:sz w:val="22"/>
              </w:rPr>
            </w:pPr>
          </w:p>
        </w:tc>
        <w:tc>
          <w:tcPr>
            <w:tcW w:w="2000" w:type="dxa"/>
            <w:hideMark/>
          </w:tcPr>
          <w:p w14:paraId="4F93D9EB" w14:textId="77777777" w:rsidR="00B275CF" w:rsidRPr="00AA2617" w:rsidRDefault="00B275CF" w:rsidP="00AA2617">
            <w:pPr>
              <w:rPr>
                <w:rFonts w:cs="Times New Roman"/>
                <w:sz w:val="22"/>
              </w:rPr>
            </w:pPr>
            <w:r w:rsidRPr="00AA2617">
              <w:rPr>
                <w:rFonts w:cs="Times New Roman"/>
                <w:sz w:val="22"/>
              </w:rPr>
              <w:t>Open Forest</w:t>
            </w:r>
          </w:p>
        </w:tc>
        <w:tc>
          <w:tcPr>
            <w:tcW w:w="4611" w:type="dxa"/>
            <w:hideMark/>
          </w:tcPr>
          <w:p w14:paraId="25A3AB14" w14:textId="30D9B8BB" w:rsidR="00B275CF" w:rsidRPr="00AA2617" w:rsidRDefault="00B275CF" w:rsidP="00AA2617">
            <w:pPr>
              <w:rPr>
                <w:rFonts w:cs="Times New Roman"/>
                <w:sz w:val="22"/>
              </w:rPr>
            </w:pPr>
            <w:r w:rsidRPr="00AA2617">
              <w:rPr>
                <w:rFonts w:cs="Times New Roman"/>
                <w:sz w:val="22"/>
              </w:rPr>
              <w:t>Dense natural vegetation covers with between 45 and 75% trees crown coverage</w:t>
            </w:r>
          </w:p>
        </w:tc>
      </w:tr>
      <w:tr w:rsidR="00B275CF" w:rsidRPr="00AA2617" w14:paraId="534CA382" w14:textId="77777777" w:rsidTr="00B275CF">
        <w:trPr>
          <w:trHeight w:val="600"/>
          <w:jc w:val="center"/>
        </w:trPr>
        <w:tc>
          <w:tcPr>
            <w:tcW w:w="1316" w:type="dxa"/>
            <w:vMerge/>
            <w:hideMark/>
          </w:tcPr>
          <w:p w14:paraId="3E7BDB81" w14:textId="77777777" w:rsidR="00B275CF" w:rsidRPr="00AA2617" w:rsidRDefault="00B275CF" w:rsidP="00AA2617">
            <w:pPr>
              <w:rPr>
                <w:rFonts w:cs="Times New Roman"/>
                <w:sz w:val="22"/>
              </w:rPr>
            </w:pPr>
          </w:p>
        </w:tc>
        <w:tc>
          <w:tcPr>
            <w:tcW w:w="2000" w:type="dxa"/>
            <w:hideMark/>
          </w:tcPr>
          <w:p w14:paraId="30A0AD38" w14:textId="77777777" w:rsidR="00B275CF" w:rsidRPr="00AA2617" w:rsidRDefault="00B275CF" w:rsidP="00AA2617">
            <w:pPr>
              <w:rPr>
                <w:rFonts w:cs="Times New Roman"/>
                <w:sz w:val="22"/>
              </w:rPr>
            </w:pPr>
            <w:r w:rsidRPr="00AA2617">
              <w:rPr>
                <w:rFonts w:cs="Times New Roman"/>
                <w:sz w:val="22"/>
              </w:rPr>
              <w:t>Forest Plantation</w:t>
            </w:r>
          </w:p>
        </w:tc>
        <w:tc>
          <w:tcPr>
            <w:tcW w:w="4611" w:type="dxa"/>
            <w:hideMark/>
          </w:tcPr>
          <w:p w14:paraId="78E06341" w14:textId="6643A280" w:rsidR="00B275CF" w:rsidRPr="00AA2617" w:rsidRDefault="00B275CF" w:rsidP="00AA2617">
            <w:pPr>
              <w:rPr>
                <w:rFonts w:cs="Times New Roman"/>
                <w:sz w:val="22"/>
              </w:rPr>
            </w:pPr>
            <w:r w:rsidRPr="00AA2617">
              <w:rPr>
                <w:rFonts w:cs="Times New Roman"/>
                <w:sz w:val="22"/>
              </w:rPr>
              <w:t>Man-made, mostly mono-cultural forests of teak, eucalyptus, pines and other species</w:t>
            </w:r>
          </w:p>
        </w:tc>
      </w:tr>
      <w:tr w:rsidR="00B275CF" w:rsidRPr="00AA2617" w14:paraId="72F0771A" w14:textId="77777777" w:rsidTr="00B275CF">
        <w:trPr>
          <w:trHeight w:val="300"/>
          <w:jc w:val="center"/>
        </w:trPr>
        <w:tc>
          <w:tcPr>
            <w:tcW w:w="1316" w:type="dxa"/>
            <w:vMerge w:val="restart"/>
            <w:noWrap/>
            <w:hideMark/>
          </w:tcPr>
          <w:p w14:paraId="3E298579" w14:textId="77777777" w:rsidR="00B275CF" w:rsidRPr="00AA2617" w:rsidRDefault="00B275CF" w:rsidP="00AA2617">
            <w:pPr>
              <w:rPr>
                <w:rFonts w:cs="Times New Roman"/>
                <w:sz w:val="22"/>
              </w:rPr>
            </w:pPr>
            <w:r w:rsidRPr="00AA2617">
              <w:rPr>
                <w:rFonts w:cs="Times New Roman"/>
                <w:sz w:val="22"/>
              </w:rPr>
              <w:t>Boggy area</w:t>
            </w:r>
          </w:p>
        </w:tc>
        <w:tc>
          <w:tcPr>
            <w:tcW w:w="2000" w:type="dxa"/>
            <w:hideMark/>
          </w:tcPr>
          <w:p w14:paraId="59F2453A" w14:textId="77777777" w:rsidR="00B275CF" w:rsidRPr="00AA2617" w:rsidRDefault="00B275CF" w:rsidP="00AA2617">
            <w:pPr>
              <w:rPr>
                <w:rFonts w:cs="Times New Roman"/>
                <w:sz w:val="22"/>
              </w:rPr>
            </w:pPr>
            <w:r w:rsidRPr="00AA2617">
              <w:rPr>
                <w:rFonts w:cs="Times New Roman"/>
                <w:sz w:val="22"/>
              </w:rPr>
              <w:t>Mangroves</w:t>
            </w:r>
          </w:p>
        </w:tc>
        <w:tc>
          <w:tcPr>
            <w:tcW w:w="4611" w:type="dxa"/>
            <w:hideMark/>
          </w:tcPr>
          <w:p w14:paraId="1E31AE17" w14:textId="533000C5" w:rsidR="00B275CF" w:rsidRPr="00AA2617" w:rsidRDefault="00B275CF" w:rsidP="00AA2617">
            <w:pPr>
              <w:rPr>
                <w:rFonts w:cs="Times New Roman"/>
                <w:sz w:val="22"/>
              </w:rPr>
            </w:pPr>
            <w:r w:rsidRPr="00AA2617">
              <w:rPr>
                <w:rFonts w:cs="Times New Roman"/>
                <w:sz w:val="22"/>
              </w:rPr>
              <w:t>Salt-tolerant and woody vegetation along sea coasts, lagoons and river months</w:t>
            </w:r>
          </w:p>
        </w:tc>
      </w:tr>
      <w:tr w:rsidR="00B275CF" w:rsidRPr="00AA2617" w14:paraId="41173303" w14:textId="77777777" w:rsidTr="00B275CF">
        <w:trPr>
          <w:trHeight w:val="300"/>
          <w:jc w:val="center"/>
        </w:trPr>
        <w:tc>
          <w:tcPr>
            <w:tcW w:w="1316" w:type="dxa"/>
            <w:vMerge/>
            <w:hideMark/>
          </w:tcPr>
          <w:p w14:paraId="0E161CFB" w14:textId="77777777" w:rsidR="00B275CF" w:rsidRPr="00AA2617" w:rsidRDefault="00B275CF" w:rsidP="00AA2617">
            <w:pPr>
              <w:rPr>
                <w:rFonts w:cs="Times New Roman"/>
                <w:sz w:val="22"/>
              </w:rPr>
            </w:pPr>
          </w:p>
        </w:tc>
        <w:tc>
          <w:tcPr>
            <w:tcW w:w="2000" w:type="dxa"/>
            <w:hideMark/>
          </w:tcPr>
          <w:p w14:paraId="01627878" w14:textId="77777777" w:rsidR="00B275CF" w:rsidRPr="00AA2617" w:rsidRDefault="00B275CF" w:rsidP="00AA2617">
            <w:pPr>
              <w:rPr>
                <w:rFonts w:cs="Times New Roman"/>
                <w:sz w:val="22"/>
              </w:rPr>
            </w:pPr>
            <w:r w:rsidRPr="00AA2617">
              <w:rPr>
                <w:rFonts w:cs="Times New Roman"/>
                <w:sz w:val="22"/>
              </w:rPr>
              <w:t>Marsh</w:t>
            </w:r>
          </w:p>
        </w:tc>
        <w:tc>
          <w:tcPr>
            <w:tcW w:w="4611" w:type="dxa"/>
            <w:hideMark/>
          </w:tcPr>
          <w:p w14:paraId="51E108B0" w14:textId="0672D1A0" w:rsidR="00B275CF" w:rsidRPr="00AA2617" w:rsidRDefault="00B275CF" w:rsidP="00AA2617">
            <w:pPr>
              <w:rPr>
                <w:rFonts w:cs="Times New Roman"/>
                <w:sz w:val="22"/>
              </w:rPr>
            </w:pPr>
            <w:r w:rsidRPr="00AA2617">
              <w:rPr>
                <w:rFonts w:cs="Times New Roman"/>
                <w:sz w:val="22"/>
              </w:rPr>
              <w:t>Permanently wet and muddy, uncultivable and frequently inundated areas</w:t>
            </w:r>
          </w:p>
        </w:tc>
      </w:tr>
      <w:tr w:rsidR="00B275CF" w:rsidRPr="00AA2617" w14:paraId="24B67AB8" w14:textId="77777777" w:rsidTr="00B275CF">
        <w:trPr>
          <w:trHeight w:val="600"/>
          <w:jc w:val="center"/>
        </w:trPr>
        <w:tc>
          <w:tcPr>
            <w:tcW w:w="1316" w:type="dxa"/>
            <w:vMerge w:val="restart"/>
            <w:noWrap/>
            <w:hideMark/>
          </w:tcPr>
          <w:p w14:paraId="320CC339" w14:textId="77777777" w:rsidR="00B275CF" w:rsidRPr="00AA2617" w:rsidRDefault="00B275CF" w:rsidP="00AA2617">
            <w:pPr>
              <w:rPr>
                <w:rFonts w:cs="Times New Roman"/>
                <w:sz w:val="22"/>
              </w:rPr>
            </w:pPr>
            <w:r w:rsidRPr="00AA2617">
              <w:rPr>
                <w:rFonts w:cs="Times New Roman"/>
                <w:sz w:val="22"/>
              </w:rPr>
              <w:t>Bare area</w:t>
            </w:r>
          </w:p>
        </w:tc>
        <w:tc>
          <w:tcPr>
            <w:tcW w:w="2000" w:type="dxa"/>
            <w:hideMark/>
          </w:tcPr>
          <w:p w14:paraId="2EAA1FF9" w14:textId="77777777" w:rsidR="00B275CF" w:rsidRPr="00AA2617" w:rsidRDefault="00B275CF" w:rsidP="00AA2617">
            <w:pPr>
              <w:rPr>
                <w:rFonts w:cs="Times New Roman"/>
                <w:sz w:val="22"/>
              </w:rPr>
            </w:pPr>
            <w:r w:rsidRPr="00AA2617">
              <w:rPr>
                <w:rFonts w:cs="Times New Roman"/>
                <w:sz w:val="22"/>
              </w:rPr>
              <w:t>Grassland</w:t>
            </w:r>
          </w:p>
        </w:tc>
        <w:tc>
          <w:tcPr>
            <w:tcW w:w="4611" w:type="dxa"/>
            <w:hideMark/>
          </w:tcPr>
          <w:p w14:paraId="4BAF7208" w14:textId="2EB43F4E" w:rsidR="00B275CF" w:rsidRPr="00AA2617" w:rsidRDefault="00B275CF" w:rsidP="00AA2617">
            <w:pPr>
              <w:rPr>
                <w:rFonts w:cs="Times New Roman"/>
                <w:sz w:val="22"/>
              </w:rPr>
            </w:pPr>
            <w:r w:rsidRPr="00AA2617">
              <w:rPr>
                <w:rFonts w:cs="Times New Roman"/>
                <w:sz w:val="22"/>
              </w:rPr>
              <w:t>Open park country with less than approx. 50% scrub coverage (damana and savannah) villus and other temporary flooded land an patana (up-country grassland)</w:t>
            </w:r>
          </w:p>
        </w:tc>
      </w:tr>
      <w:tr w:rsidR="00B275CF" w:rsidRPr="00AA2617" w14:paraId="0B7A01E0" w14:textId="77777777" w:rsidTr="00B275CF">
        <w:trPr>
          <w:trHeight w:val="600"/>
          <w:jc w:val="center"/>
        </w:trPr>
        <w:tc>
          <w:tcPr>
            <w:tcW w:w="1316" w:type="dxa"/>
            <w:vMerge/>
            <w:hideMark/>
          </w:tcPr>
          <w:p w14:paraId="078EA835" w14:textId="77777777" w:rsidR="00B275CF" w:rsidRPr="00AA2617" w:rsidRDefault="00B275CF" w:rsidP="00AA2617">
            <w:pPr>
              <w:rPr>
                <w:rFonts w:cs="Times New Roman"/>
                <w:sz w:val="22"/>
              </w:rPr>
            </w:pPr>
          </w:p>
        </w:tc>
        <w:tc>
          <w:tcPr>
            <w:tcW w:w="2000" w:type="dxa"/>
            <w:hideMark/>
          </w:tcPr>
          <w:p w14:paraId="06D7B80C" w14:textId="77777777" w:rsidR="00B275CF" w:rsidRPr="00AA2617" w:rsidRDefault="00B275CF" w:rsidP="00AA2617">
            <w:pPr>
              <w:rPr>
                <w:rFonts w:cs="Times New Roman"/>
                <w:sz w:val="22"/>
              </w:rPr>
            </w:pPr>
            <w:r w:rsidRPr="00AA2617">
              <w:rPr>
                <w:rFonts w:cs="Times New Roman"/>
                <w:sz w:val="22"/>
              </w:rPr>
              <w:t>Scrubland</w:t>
            </w:r>
          </w:p>
        </w:tc>
        <w:tc>
          <w:tcPr>
            <w:tcW w:w="4611" w:type="dxa"/>
            <w:hideMark/>
          </w:tcPr>
          <w:p w14:paraId="01BEB031" w14:textId="55573678" w:rsidR="00B275CF" w:rsidRPr="00AA2617" w:rsidRDefault="00B275CF" w:rsidP="00AA2617">
            <w:pPr>
              <w:rPr>
                <w:rFonts w:cs="Times New Roman"/>
                <w:sz w:val="22"/>
              </w:rPr>
            </w:pPr>
            <w:r w:rsidRPr="00AA2617">
              <w:rPr>
                <w:rFonts w:cs="Times New Roman"/>
                <w:sz w:val="22"/>
              </w:rPr>
              <w:t>Low-growing vegetation with more than 50% area coverage, including trees with less than 45% crown closure</w:t>
            </w:r>
          </w:p>
        </w:tc>
      </w:tr>
      <w:tr w:rsidR="00B275CF" w:rsidRPr="00AA2617" w14:paraId="76C29CCB" w14:textId="77777777" w:rsidTr="00B275CF">
        <w:trPr>
          <w:trHeight w:val="300"/>
          <w:jc w:val="center"/>
        </w:trPr>
        <w:tc>
          <w:tcPr>
            <w:tcW w:w="1316" w:type="dxa"/>
            <w:vMerge/>
            <w:tcBorders>
              <w:bottom w:val="single" w:sz="4" w:space="0" w:color="auto"/>
            </w:tcBorders>
            <w:hideMark/>
          </w:tcPr>
          <w:p w14:paraId="62A69916" w14:textId="77777777" w:rsidR="00B275CF" w:rsidRPr="00AA2617" w:rsidRDefault="00B275CF" w:rsidP="00AA2617">
            <w:pPr>
              <w:rPr>
                <w:rFonts w:cs="Times New Roman"/>
                <w:sz w:val="22"/>
              </w:rPr>
            </w:pPr>
          </w:p>
        </w:tc>
        <w:tc>
          <w:tcPr>
            <w:tcW w:w="2000" w:type="dxa"/>
            <w:hideMark/>
          </w:tcPr>
          <w:p w14:paraId="2C4BBFFE" w14:textId="77777777" w:rsidR="00B275CF" w:rsidRPr="00AA2617" w:rsidRDefault="00B275CF" w:rsidP="00AA2617">
            <w:pPr>
              <w:rPr>
                <w:rFonts w:cs="Times New Roman"/>
                <w:sz w:val="22"/>
              </w:rPr>
            </w:pPr>
            <w:r w:rsidRPr="00AA2617">
              <w:rPr>
                <w:rFonts w:cs="Times New Roman"/>
                <w:sz w:val="22"/>
              </w:rPr>
              <w:t>Barren land</w:t>
            </w:r>
          </w:p>
        </w:tc>
        <w:tc>
          <w:tcPr>
            <w:tcW w:w="4611" w:type="dxa"/>
            <w:hideMark/>
          </w:tcPr>
          <w:p w14:paraId="3F552861" w14:textId="3831F064" w:rsidR="00B275CF" w:rsidRPr="00AA2617" w:rsidRDefault="00B275CF" w:rsidP="00AA2617">
            <w:pPr>
              <w:rPr>
                <w:rFonts w:cs="Times New Roman"/>
                <w:sz w:val="22"/>
              </w:rPr>
            </w:pPr>
            <w:r w:rsidRPr="00AA2617">
              <w:rPr>
                <w:rFonts w:cs="Times New Roman"/>
                <w:sz w:val="22"/>
              </w:rPr>
              <w:t>Rock outcrops, sand dunes, beached, earth slides and other unproductive land</w:t>
            </w:r>
          </w:p>
          <w:p w14:paraId="40FAF62B" w14:textId="77777777" w:rsidR="00B275CF" w:rsidRPr="00AA2617" w:rsidRDefault="00B275CF" w:rsidP="00AA2617">
            <w:pPr>
              <w:rPr>
                <w:rFonts w:cs="Times New Roman"/>
                <w:sz w:val="22"/>
              </w:rPr>
            </w:pPr>
          </w:p>
        </w:tc>
      </w:tr>
      <w:tr w:rsidR="00B275CF" w:rsidRPr="00AA2617" w14:paraId="46C1722F" w14:textId="77777777" w:rsidTr="00B275CF">
        <w:trPr>
          <w:trHeight w:val="300"/>
          <w:jc w:val="center"/>
        </w:trPr>
        <w:tc>
          <w:tcPr>
            <w:tcW w:w="1316" w:type="dxa"/>
            <w:vMerge w:val="restart"/>
            <w:tcBorders>
              <w:bottom w:val="single" w:sz="4" w:space="0" w:color="auto"/>
            </w:tcBorders>
            <w:noWrap/>
            <w:hideMark/>
          </w:tcPr>
          <w:p w14:paraId="23061B66" w14:textId="77777777" w:rsidR="00B275CF" w:rsidRPr="00AA2617" w:rsidRDefault="00B275CF" w:rsidP="00AA2617">
            <w:pPr>
              <w:rPr>
                <w:rFonts w:cs="Times New Roman"/>
                <w:sz w:val="22"/>
              </w:rPr>
            </w:pPr>
            <w:r w:rsidRPr="00AA2617">
              <w:rPr>
                <w:rFonts w:cs="Times New Roman"/>
                <w:sz w:val="22"/>
              </w:rPr>
              <w:lastRenderedPageBreak/>
              <w:t>Built up area</w:t>
            </w:r>
          </w:p>
        </w:tc>
        <w:tc>
          <w:tcPr>
            <w:tcW w:w="2000" w:type="dxa"/>
            <w:hideMark/>
          </w:tcPr>
          <w:p w14:paraId="3C55D113" w14:textId="77777777" w:rsidR="00B275CF" w:rsidRPr="00AA2617" w:rsidRDefault="00B275CF" w:rsidP="00AA2617">
            <w:pPr>
              <w:rPr>
                <w:rFonts w:cs="Times New Roman"/>
                <w:sz w:val="22"/>
              </w:rPr>
            </w:pPr>
            <w:r w:rsidRPr="00AA2617">
              <w:rPr>
                <w:rFonts w:cs="Times New Roman"/>
                <w:sz w:val="22"/>
              </w:rPr>
              <w:t>Aquatic Farms</w:t>
            </w:r>
          </w:p>
        </w:tc>
        <w:tc>
          <w:tcPr>
            <w:tcW w:w="4611" w:type="dxa"/>
            <w:hideMark/>
          </w:tcPr>
          <w:p w14:paraId="6F475E90" w14:textId="2461E566" w:rsidR="00B275CF" w:rsidRPr="00AA2617" w:rsidRDefault="00B275CF" w:rsidP="00AA2617">
            <w:pPr>
              <w:rPr>
                <w:rFonts w:cs="Times New Roman"/>
                <w:sz w:val="22"/>
              </w:rPr>
            </w:pPr>
            <w:r w:rsidRPr="00AA2617">
              <w:rPr>
                <w:rFonts w:cs="Times New Roman"/>
                <w:sz w:val="22"/>
              </w:rPr>
              <w:t>Pawn farming, fish breeding and aquatic ponds, etc.</w:t>
            </w:r>
          </w:p>
          <w:p w14:paraId="2003A443" w14:textId="77777777" w:rsidR="00B275CF" w:rsidRPr="00AA2617" w:rsidRDefault="00B275CF" w:rsidP="00AA2617">
            <w:pPr>
              <w:rPr>
                <w:rFonts w:cs="Times New Roman"/>
                <w:sz w:val="22"/>
              </w:rPr>
            </w:pPr>
          </w:p>
        </w:tc>
      </w:tr>
      <w:tr w:rsidR="00B275CF" w:rsidRPr="00AA2617" w14:paraId="30091714" w14:textId="77777777" w:rsidTr="00B275CF">
        <w:trPr>
          <w:trHeight w:val="600"/>
          <w:jc w:val="center"/>
        </w:trPr>
        <w:tc>
          <w:tcPr>
            <w:tcW w:w="1316" w:type="dxa"/>
            <w:vMerge/>
            <w:tcBorders>
              <w:bottom w:val="single" w:sz="4" w:space="0" w:color="auto"/>
            </w:tcBorders>
            <w:hideMark/>
          </w:tcPr>
          <w:p w14:paraId="064658BC" w14:textId="77777777" w:rsidR="00B275CF" w:rsidRPr="00AA2617" w:rsidRDefault="00B275CF" w:rsidP="00AA2617">
            <w:pPr>
              <w:rPr>
                <w:rFonts w:cs="Times New Roman"/>
                <w:sz w:val="22"/>
              </w:rPr>
            </w:pPr>
          </w:p>
        </w:tc>
        <w:tc>
          <w:tcPr>
            <w:tcW w:w="2000" w:type="dxa"/>
            <w:hideMark/>
          </w:tcPr>
          <w:p w14:paraId="53C6C7BD" w14:textId="77777777" w:rsidR="00B275CF" w:rsidRPr="00AA2617" w:rsidRDefault="00B275CF" w:rsidP="00AA2617">
            <w:pPr>
              <w:rPr>
                <w:rFonts w:cs="Times New Roman"/>
                <w:sz w:val="22"/>
              </w:rPr>
            </w:pPr>
            <w:r w:rsidRPr="00AA2617">
              <w:rPr>
                <w:rFonts w:cs="Times New Roman"/>
                <w:sz w:val="22"/>
              </w:rPr>
              <w:t>Built up area</w:t>
            </w:r>
          </w:p>
        </w:tc>
        <w:tc>
          <w:tcPr>
            <w:tcW w:w="4611" w:type="dxa"/>
            <w:hideMark/>
          </w:tcPr>
          <w:p w14:paraId="161EA0BC" w14:textId="4E4284D6" w:rsidR="00B275CF" w:rsidRPr="00AA2617" w:rsidRDefault="00B275CF" w:rsidP="00AA2617">
            <w:pPr>
              <w:rPr>
                <w:rFonts w:cs="Times New Roman"/>
                <w:sz w:val="22"/>
              </w:rPr>
            </w:pPr>
            <w:r w:rsidRPr="00AA2617">
              <w:rPr>
                <w:rFonts w:cs="Times New Roman"/>
                <w:sz w:val="22"/>
              </w:rPr>
              <w:t>Residential (including hotels), industrial, commercial, institutional, administrative, transportation, power plants and urban open spaces</w:t>
            </w:r>
          </w:p>
        </w:tc>
      </w:tr>
      <w:tr w:rsidR="00B275CF" w:rsidRPr="00AA2617" w14:paraId="04556F37" w14:textId="77777777" w:rsidTr="00B275CF">
        <w:trPr>
          <w:trHeight w:val="900"/>
          <w:jc w:val="center"/>
        </w:trPr>
        <w:tc>
          <w:tcPr>
            <w:tcW w:w="1316" w:type="dxa"/>
            <w:vMerge/>
            <w:tcBorders>
              <w:bottom w:val="single" w:sz="4" w:space="0" w:color="auto"/>
            </w:tcBorders>
            <w:hideMark/>
          </w:tcPr>
          <w:p w14:paraId="67C71861" w14:textId="77777777" w:rsidR="00B275CF" w:rsidRPr="00AA2617" w:rsidRDefault="00B275CF" w:rsidP="00AA2617">
            <w:pPr>
              <w:rPr>
                <w:rFonts w:cs="Times New Roman"/>
                <w:sz w:val="22"/>
              </w:rPr>
            </w:pPr>
          </w:p>
        </w:tc>
        <w:tc>
          <w:tcPr>
            <w:tcW w:w="2000" w:type="dxa"/>
            <w:hideMark/>
          </w:tcPr>
          <w:p w14:paraId="5BFF3154" w14:textId="77777777" w:rsidR="00B275CF" w:rsidRPr="00AA2617" w:rsidRDefault="00B275CF" w:rsidP="00AA2617">
            <w:pPr>
              <w:rPr>
                <w:rFonts w:cs="Times New Roman"/>
                <w:sz w:val="22"/>
              </w:rPr>
            </w:pPr>
            <w:r w:rsidRPr="00AA2617">
              <w:rPr>
                <w:rFonts w:cs="Times New Roman"/>
                <w:sz w:val="22"/>
              </w:rPr>
              <w:t>Homesteads/Garden</w:t>
            </w:r>
          </w:p>
        </w:tc>
        <w:tc>
          <w:tcPr>
            <w:tcW w:w="4611" w:type="dxa"/>
            <w:hideMark/>
          </w:tcPr>
          <w:p w14:paraId="6FBB6D1A" w14:textId="2EDBEA9D" w:rsidR="00B275CF" w:rsidRPr="00AA2617" w:rsidRDefault="00B275CF" w:rsidP="00AA2617">
            <w:pPr>
              <w:rPr>
                <w:rFonts w:cs="Times New Roman"/>
                <w:sz w:val="22"/>
              </w:rPr>
            </w:pPr>
            <w:r w:rsidRPr="00AA2617">
              <w:rPr>
                <w:rFonts w:cs="Times New Roman"/>
                <w:sz w:val="22"/>
              </w:rPr>
              <w:t>Family residential until surrounded by home gardens and open space, cultivation includes fruit trees, spices, vegetables and small holdings of coconut, rubber tea and other plantation crops</w:t>
            </w:r>
          </w:p>
        </w:tc>
      </w:tr>
      <w:tr w:rsidR="00B275CF" w:rsidRPr="00AA2617" w14:paraId="28AF1D54" w14:textId="77777777" w:rsidTr="00B275CF">
        <w:trPr>
          <w:trHeight w:val="300"/>
          <w:jc w:val="center"/>
        </w:trPr>
        <w:tc>
          <w:tcPr>
            <w:tcW w:w="1316" w:type="dxa"/>
            <w:vMerge/>
            <w:tcBorders>
              <w:bottom w:val="single" w:sz="4" w:space="0" w:color="auto"/>
            </w:tcBorders>
            <w:hideMark/>
          </w:tcPr>
          <w:p w14:paraId="5C9852B1" w14:textId="77777777" w:rsidR="00B275CF" w:rsidRPr="00AA2617" w:rsidRDefault="00B275CF" w:rsidP="00AA2617">
            <w:pPr>
              <w:rPr>
                <w:rFonts w:cs="Times New Roman"/>
                <w:sz w:val="22"/>
              </w:rPr>
            </w:pPr>
          </w:p>
        </w:tc>
        <w:tc>
          <w:tcPr>
            <w:tcW w:w="2000" w:type="dxa"/>
            <w:hideMark/>
          </w:tcPr>
          <w:p w14:paraId="5AA9359A" w14:textId="77777777" w:rsidR="00B275CF" w:rsidRPr="00AA2617" w:rsidRDefault="00B275CF" w:rsidP="00AA2617">
            <w:pPr>
              <w:rPr>
                <w:rFonts w:cs="Times New Roman"/>
                <w:sz w:val="22"/>
              </w:rPr>
            </w:pPr>
            <w:r w:rsidRPr="00AA2617">
              <w:rPr>
                <w:rFonts w:cs="Times New Roman"/>
                <w:sz w:val="22"/>
              </w:rPr>
              <w:t>Playground</w:t>
            </w:r>
          </w:p>
        </w:tc>
        <w:tc>
          <w:tcPr>
            <w:tcW w:w="4611" w:type="dxa"/>
            <w:hideMark/>
          </w:tcPr>
          <w:p w14:paraId="75B48068" w14:textId="17269EAD" w:rsidR="00B275CF" w:rsidRPr="00AA2617" w:rsidRDefault="00B275CF" w:rsidP="00AA2617">
            <w:pPr>
              <w:rPr>
                <w:rFonts w:cs="Times New Roman"/>
                <w:sz w:val="22"/>
              </w:rPr>
            </w:pPr>
            <w:r w:rsidRPr="00AA2617">
              <w:rPr>
                <w:rFonts w:cs="Times New Roman"/>
                <w:sz w:val="22"/>
              </w:rPr>
              <w:t>Flat &amp; geometric shape areas located near schools, universities, etc. in Urban areas</w:t>
            </w:r>
          </w:p>
        </w:tc>
      </w:tr>
      <w:tr w:rsidR="00B275CF" w:rsidRPr="00AA2617" w14:paraId="46A6D380" w14:textId="77777777" w:rsidTr="00B275CF">
        <w:trPr>
          <w:trHeight w:val="300"/>
          <w:jc w:val="center"/>
        </w:trPr>
        <w:tc>
          <w:tcPr>
            <w:tcW w:w="1316" w:type="dxa"/>
            <w:tcBorders>
              <w:top w:val="single" w:sz="4" w:space="0" w:color="auto"/>
            </w:tcBorders>
            <w:noWrap/>
            <w:hideMark/>
          </w:tcPr>
          <w:p w14:paraId="6104E99E" w14:textId="77777777" w:rsidR="00B275CF" w:rsidRPr="00AA2617" w:rsidRDefault="00B275CF" w:rsidP="00AA2617">
            <w:pPr>
              <w:ind w:left="563" w:hanging="563"/>
              <w:rPr>
                <w:rFonts w:cs="Times New Roman"/>
                <w:sz w:val="22"/>
              </w:rPr>
            </w:pPr>
            <w:r w:rsidRPr="00AA2617">
              <w:rPr>
                <w:rFonts w:cs="Times New Roman"/>
                <w:sz w:val="22"/>
              </w:rPr>
              <w:t>Rock area</w:t>
            </w:r>
          </w:p>
        </w:tc>
        <w:tc>
          <w:tcPr>
            <w:tcW w:w="2000" w:type="dxa"/>
            <w:hideMark/>
          </w:tcPr>
          <w:p w14:paraId="148344E4" w14:textId="77777777" w:rsidR="00B275CF" w:rsidRPr="00AA2617" w:rsidRDefault="00B275CF" w:rsidP="00AA2617">
            <w:pPr>
              <w:rPr>
                <w:rFonts w:cs="Times New Roman"/>
                <w:sz w:val="22"/>
              </w:rPr>
            </w:pPr>
            <w:r w:rsidRPr="00AA2617">
              <w:rPr>
                <w:rFonts w:cs="Times New Roman"/>
                <w:sz w:val="22"/>
              </w:rPr>
              <w:t>Rock</w:t>
            </w:r>
          </w:p>
        </w:tc>
        <w:tc>
          <w:tcPr>
            <w:tcW w:w="4611" w:type="dxa"/>
            <w:hideMark/>
          </w:tcPr>
          <w:p w14:paraId="337C67CC" w14:textId="4560B542" w:rsidR="00B275CF" w:rsidRPr="00AA2617" w:rsidRDefault="00B275CF" w:rsidP="00AA2617">
            <w:pPr>
              <w:rPr>
                <w:rFonts w:cs="Times New Roman"/>
                <w:sz w:val="22"/>
              </w:rPr>
            </w:pPr>
            <w:r w:rsidRPr="00AA2617">
              <w:rPr>
                <w:rFonts w:cs="Times New Roman"/>
                <w:sz w:val="22"/>
              </w:rPr>
              <w:t>Areas cover with large stones (rocky surfaces)</w:t>
            </w:r>
          </w:p>
        </w:tc>
      </w:tr>
      <w:tr w:rsidR="00B275CF" w:rsidRPr="00AA2617" w14:paraId="15756247" w14:textId="77777777" w:rsidTr="00B275CF">
        <w:trPr>
          <w:trHeight w:val="300"/>
          <w:jc w:val="center"/>
        </w:trPr>
        <w:tc>
          <w:tcPr>
            <w:tcW w:w="1316" w:type="dxa"/>
            <w:noWrap/>
            <w:hideMark/>
          </w:tcPr>
          <w:p w14:paraId="090CBFE7" w14:textId="77777777" w:rsidR="00B275CF" w:rsidRPr="00AA2617" w:rsidRDefault="00B275CF" w:rsidP="00AA2617">
            <w:pPr>
              <w:rPr>
                <w:rFonts w:cs="Times New Roman"/>
                <w:sz w:val="22"/>
              </w:rPr>
            </w:pPr>
            <w:r w:rsidRPr="00AA2617">
              <w:rPr>
                <w:rFonts w:cs="Times New Roman"/>
                <w:sz w:val="22"/>
              </w:rPr>
              <w:t>Sand area</w:t>
            </w:r>
          </w:p>
        </w:tc>
        <w:tc>
          <w:tcPr>
            <w:tcW w:w="2000" w:type="dxa"/>
            <w:hideMark/>
          </w:tcPr>
          <w:p w14:paraId="492AB1B2" w14:textId="77777777" w:rsidR="00B275CF" w:rsidRPr="00AA2617" w:rsidRDefault="00B275CF" w:rsidP="00AA2617">
            <w:pPr>
              <w:rPr>
                <w:rFonts w:cs="Times New Roman"/>
                <w:sz w:val="22"/>
              </w:rPr>
            </w:pPr>
            <w:r w:rsidRPr="00AA2617">
              <w:rPr>
                <w:rFonts w:cs="Times New Roman"/>
                <w:sz w:val="22"/>
              </w:rPr>
              <w:t>Sand</w:t>
            </w:r>
          </w:p>
        </w:tc>
        <w:tc>
          <w:tcPr>
            <w:tcW w:w="4611" w:type="dxa"/>
            <w:hideMark/>
          </w:tcPr>
          <w:p w14:paraId="5DFEDD1C" w14:textId="392C0AB5" w:rsidR="00B275CF" w:rsidRPr="00AA2617" w:rsidRDefault="00B275CF" w:rsidP="00AA2617">
            <w:pPr>
              <w:rPr>
                <w:rFonts w:cs="Times New Roman"/>
                <w:sz w:val="22"/>
              </w:rPr>
            </w:pPr>
            <w:r w:rsidRPr="00AA2617">
              <w:rPr>
                <w:rFonts w:cs="Times New Roman"/>
                <w:sz w:val="22"/>
              </w:rPr>
              <w:t>Areas between sea water and vegetation boundary specially along the shore line</w:t>
            </w:r>
          </w:p>
        </w:tc>
      </w:tr>
      <w:tr w:rsidR="00B275CF" w:rsidRPr="00AA2617" w14:paraId="7F281F38" w14:textId="77777777" w:rsidTr="00B275CF">
        <w:trPr>
          <w:trHeight w:val="300"/>
          <w:jc w:val="center"/>
        </w:trPr>
        <w:tc>
          <w:tcPr>
            <w:tcW w:w="1316" w:type="dxa"/>
            <w:noWrap/>
            <w:hideMark/>
          </w:tcPr>
          <w:p w14:paraId="5347EEDF" w14:textId="77777777" w:rsidR="00B275CF" w:rsidRPr="00AA2617" w:rsidRDefault="00B275CF" w:rsidP="00AA2617">
            <w:pPr>
              <w:rPr>
                <w:rFonts w:cs="Times New Roman"/>
                <w:sz w:val="22"/>
              </w:rPr>
            </w:pPr>
            <w:r w:rsidRPr="00AA2617">
              <w:rPr>
                <w:rFonts w:cs="Times New Roman"/>
                <w:sz w:val="22"/>
              </w:rPr>
              <w:t>Unclassified areas</w:t>
            </w:r>
          </w:p>
        </w:tc>
        <w:tc>
          <w:tcPr>
            <w:tcW w:w="2000" w:type="dxa"/>
            <w:hideMark/>
          </w:tcPr>
          <w:p w14:paraId="09A3B9E1" w14:textId="77777777" w:rsidR="00B275CF" w:rsidRPr="00AA2617" w:rsidRDefault="00B275CF" w:rsidP="00AA2617">
            <w:pPr>
              <w:rPr>
                <w:rFonts w:cs="Times New Roman"/>
                <w:sz w:val="22"/>
              </w:rPr>
            </w:pPr>
            <w:r w:rsidRPr="00AA2617">
              <w:rPr>
                <w:rFonts w:cs="Times New Roman"/>
                <w:sz w:val="22"/>
              </w:rPr>
              <w:t>same</w:t>
            </w:r>
          </w:p>
        </w:tc>
        <w:tc>
          <w:tcPr>
            <w:tcW w:w="4611" w:type="dxa"/>
            <w:hideMark/>
          </w:tcPr>
          <w:p w14:paraId="5967D375" w14:textId="41A3C9C6" w:rsidR="00B275CF" w:rsidRPr="00AA2617" w:rsidRDefault="00B275CF" w:rsidP="00AA2617">
            <w:pPr>
              <w:rPr>
                <w:rFonts w:cs="Times New Roman"/>
                <w:sz w:val="22"/>
              </w:rPr>
            </w:pPr>
            <w:r w:rsidRPr="00AA2617">
              <w:rPr>
                <w:rFonts w:cs="Times New Roman"/>
                <w:sz w:val="22"/>
              </w:rPr>
              <w:t>Unidentifiable areas (confirmed after field verification)</w:t>
            </w:r>
          </w:p>
        </w:tc>
      </w:tr>
    </w:tbl>
    <w:p w14:paraId="1C86F51D" w14:textId="11842A3E" w:rsidR="00396A69" w:rsidRPr="00AA2617" w:rsidRDefault="00160174" w:rsidP="00AA2617">
      <w:pPr>
        <w:pStyle w:val="Heading3"/>
        <w:rPr>
          <w:b/>
          <w:szCs w:val="22"/>
          <w:lang w:val="en-GB"/>
        </w:rPr>
      </w:pPr>
      <w:bookmarkStart w:id="17" w:name="_Toc9249172"/>
      <w:r w:rsidRPr="00AA2617">
        <w:rPr>
          <w:b/>
          <w:szCs w:val="22"/>
          <w:lang w:val="en-GB"/>
        </w:rPr>
        <w:t>AFOLU p</w:t>
      </w:r>
      <w:r w:rsidR="00396A69" w:rsidRPr="00AA2617">
        <w:rPr>
          <w:b/>
          <w:szCs w:val="22"/>
          <w:lang w:val="en-GB"/>
        </w:rPr>
        <w:t xml:space="preserve">riorities in </w:t>
      </w:r>
      <w:r w:rsidR="004679C0" w:rsidRPr="00AA2617">
        <w:rPr>
          <w:b/>
          <w:szCs w:val="22"/>
          <w:lang w:val="en-GB"/>
        </w:rPr>
        <w:t>Sri Lanka</w:t>
      </w:r>
      <w:r w:rsidR="00396A69" w:rsidRPr="00AA2617">
        <w:rPr>
          <w:b/>
          <w:szCs w:val="22"/>
          <w:lang w:val="en-GB"/>
        </w:rPr>
        <w:t>’s Nationally Determined Contribution</w:t>
      </w:r>
      <w:bookmarkEnd w:id="17"/>
    </w:p>
    <w:p w14:paraId="00762631" w14:textId="6AD0B2EE" w:rsidR="009F46DC" w:rsidRPr="00AA2617" w:rsidRDefault="003D59AB" w:rsidP="00AA2617">
      <w:pPr>
        <w:pStyle w:val="NumberedParagraph"/>
        <w:ind w:left="360"/>
        <w:rPr>
          <w:sz w:val="22"/>
          <w:lang w:val="en-GB"/>
        </w:rPr>
      </w:pPr>
      <w:r w:rsidRPr="00AA2617">
        <w:rPr>
          <w:sz w:val="22"/>
          <w:lang w:val="en-GB"/>
        </w:rPr>
        <w:t xml:space="preserve">Sri Lanka’s </w:t>
      </w:r>
      <w:r w:rsidR="00160174" w:rsidRPr="00AA2617">
        <w:rPr>
          <w:sz w:val="22"/>
          <w:lang w:val="en-GB"/>
        </w:rPr>
        <w:t xml:space="preserve">NDC indicates the national priorities for mitigating and adapting to climate change, as well as the anticipated benefits of addressing those priorities.  </w:t>
      </w:r>
      <w:r w:rsidR="00094038" w:rsidRPr="00AA2617">
        <w:rPr>
          <w:iCs/>
        </w:rPr>
        <w:t>Sri Lanka’s NDCs comprise of following four areas;</w:t>
      </w:r>
    </w:p>
    <w:p w14:paraId="72BD6A68" w14:textId="77777777" w:rsidR="00575E1A" w:rsidRPr="00AA2617" w:rsidRDefault="00575E1A" w:rsidP="00AA2617">
      <w:pPr>
        <w:pStyle w:val="GEFQuestion"/>
        <w:numPr>
          <w:ilvl w:val="1"/>
          <w:numId w:val="2"/>
        </w:numPr>
        <w:spacing w:before="120"/>
        <w:jc w:val="both"/>
        <w:rPr>
          <w:szCs w:val="22"/>
        </w:rPr>
      </w:pPr>
      <w:r w:rsidRPr="00AA2617">
        <w:rPr>
          <w:b/>
          <w:szCs w:val="22"/>
        </w:rPr>
        <w:t>Mitigation</w:t>
      </w:r>
      <w:r w:rsidRPr="00AA2617">
        <w:rPr>
          <w:szCs w:val="22"/>
        </w:rPr>
        <w:t xml:space="preserve"> - Reducing the GHG emissions against the Business-As-Usual (BAU) scenarios in the sectors of energy (electricity generation), transportation, industry, waste and </w:t>
      </w:r>
      <w:r w:rsidRPr="00AA2617">
        <w:rPr>
          <w:b/>
          <w:szCs w:val="22"/>
        </w:rPr>
        <w:t>forestry</w:t>
      </w:r>
      <w:r w:rsidRPr="00AA2617">
        <w:rPr>
          <w:szCs w:val="22"/>
        </w:rPr>
        <w:t>. The key contributors to GHG are Carbon Dioxide (CO</w:t>
      </w:r>
      <w:r w:rsidRPr="00AA2617">
        <w:rPr>
          <w:szCs w:val="22"/>
          <w:vertAlign w:val="subscript"/>
        </w:rPr>
        <w:t>2</w:t>
      </w:r>
      <w:r w:rsidRPr="00AA2617">
        <w:rPr>
          <w:szCs w:val="22"/>
        </w:rPr>
        <w:t>), Methane (CH</w:t>
      </w:r>
      <w:r w:rsidRPr="00AA2617">
        <w:rPr>
          <w:szCs w:val="22"/>
          <w:vertAlign w:val="subscript"/>
        </w:rPr>
        <w:t>4</w:t>
      </w:r>
      <w:r w:rsidRPr="00AA2617">
        <w:rPr>
          <w:szCs w:val="22"/>
        </w:rPr>
        <w:t>) and Nitrous Oxide (N</w:t>
      </w:r>
      <w:r w:rsidRPr="00AA2617">
        <w:rPr>
          <w:szCs w:val="22"/>
          <w:vertAlign w:val="subscript"/>
        </w:rPr>
        <w:t>2</w:t>
      </w:r>
      <w:r w:rsidRPr="00AA2617">
        <w:rPr>
          <w:szCs w:val="22"/>
        </w:rPr>
        <w:t xml:space="preserve">O).  </w:t>
      </w:r>
    </w:p>
    <w:p w14:paraId="67A80985" w14:textId="77777777" w:rsidR="00575E1A" w:rsidRPr="00AA2617" w:rsidRDefault="00575E1A" w:rsidP="00AA2617">
      <w:pPr>
        <w:pStyle w:val="GEFQuestion"/>
        <w:numPr>
          <w:ilvl w:val="1"/>
          <w:numId w:val="2"/>
        </w:numPr>
        <w:spacing w:before="120"/>
        <w:jc w:val="both"/>
        <w:rPr>
          <w:szCs w:val="22"/>
        </w:rPr>
      </w:pPr>
      <w:r w:rsidRPr="00AA2617">
        <w:rPr>
          <w:b/>
          <w:szCs w:val="22"/>
        </w:rPr>
        <w:t>Adaptation</w:t>
      </w:r>
      <w:r w:rsidRPr="00AA2617">
        <w:rPr>
          <w:szCs w:val="22"/>
        </w:rPr>
        <w:t xml:space="preserve"> - Building resilience in most vulnerable communities, sectors and areas to adverse effects of climate change. Adaptation will focus on human health, food security (</w:t>
      </w:r>
      <w:r w:rsidRPr="00AA2617">
        <w:rPr>
          <w:b/>
          <w:szCs w:val="22"/>
        </w:rPr>
        <w:t>agriculture, livestock and fisheries</w:t>
      </w:r>
      <w:r w:rsidRPr="00AA2617">
        <w:rPr>
          <w:szCs w:val="22"/>
        </w:rPr>
        <w:t xml:space="preserve">), water and irrigation, coastal and marine, biodiversity, urban infrastructure and human settlement, tourism and recreation. Adaptation initiatives that derive mitigation co-benefits will be prioritized.  </w:t>
      </w:r>
    </w:p>
    <w:p w14:paraId="34822954" w14:textId="77777777" w:rsidR="00575E1A" w:rsidRPr="00AA2617" w:rsidRDefault="00575E1A" w:rsidP="00AA2617">
      <w:pPr>
        <w:pStyle w:val="GEFQuestion"/>
        <w:numPr>
          <w:ilvl w:val="1"/>
          <w:numId w:val="2"/>
        </w:numPr>
        <w:spacing w:before="120"/>
        <w:jc w:val="both"/>
        <w:rPr>
          <w:szCs w:val="22"/>
        </w:rPr>
      </w:pPr>
      <w:r w:rsidRPr="00AA2617">
        <w:rPr>
          <w:b/>
          <w:szCs w:val="22"/>
        </w:rPr>
        <w:t>Loss and Damage</w:t>
      </w:r>
      <w:r w:rsidRPr="00AA2617">
        <w:rPr>
          <w:szCs w:val="22"/>
        </w:rPr>
        <w:t xml:space="preserve"> - In order to address issues related to losses and damages resulting from extreme weather events, a local mechanism will be developed in accordance with the Warsaw International Mechanism for Loss and Damage.  </w:t>
      </w:r>
    </w:p>
    <w:p w14:paraId="00785895" w14:textId="77777777" w:rsidR="00575E1A" w:rsidRPr="00AA2617" w:rsidRDefault="00575E1A" w:rsidP="00AA2617">
      <w:pPr>
        <w:pStyle w:val="GEFQuestion"/>
        <w:numPr>
          <w:ilvl w:val="1"/>
          <w:numId w:val="2"/>
        </w:numPr>
        <w:spacing w:before="120"/>
        <w:jc w:val="both"/>
        <w:rPr>
          <w:szCs w:val="22"/>
        </w:rPr>
      </w:pPr>
      <w:r w:rsidRPr="00AA2617">
        <w:rPr>
          <w:b/>
          <w:szCs w:val="22"/>
        </w:rPr>
        <w:t>Means of Implementation</w:t>
      </w:r>
      <w:r w:rsidRPr="00AA2617">
        <w:rPr>
          <w:szCs w:val="22"/>
        </w:rPr>
        <w:t xml:space="preserve">- External support for Finance, Technology Development and Transfer, and Capacity Building for the above sectors are considered in the implementation process of the NDCs of Sri Lanka.  </w:t>
      </w:r>
    </w:p>
    <w:p w14:paraId="2B7540B9" w14:textId="5941ECDD" w:rsidR="004410CD" w:rsidRPr="00AA2617" w:rsidRDefault="004410CD" w:rsidP="00AA2617">
      <w:pPr>
        <w:pStyle w:val="NumberedParagraph"/>
        <w:rPr>
          <w:rFonts w:eastAsia="Arial Unicode MS"/>
          <w:lang w:eastAsia="en-GB" w:bidi="hi-IN"/>
        </w:rPr>
      </w:pPr>
      <w:r w:rsidRPr="00AA2617">
        <w:rPr>
          <w:rFonts w:eastAsia="Arial Unicode MS"/>
          <w:lang w:eastAsia="en-GB" w:bidi="hi-IN"/>
        </w:rPr>
        <w:t>Sector Vulnerability Profiles and National Climate Change Adaptation Strategy (NCCAS) for Sri Lanka</w:t>
      </w:r>
      <w:r w:rsidR="00775A41" w:rsidRPr="00AA2617">
        <w:rPr>
          <w:rFonts w:eastAsia="Arial Unicode MS"/>
          <w:lang w:eastAsia="en-GB" w:bidi="hi-IN"/>
        </w:rPr>
        <w:t xml:space="preserve"> (</w:t>
      </w:r>
      <w:r w:rsidRPr="00AA2617">
        <w:rPr>
          <w:rFonts w:eastAsia="Arial Unicode MS"/>
          <w:lang w:eastAsia="en-GB" w:bidi="hi-IN"/>
        </w:rPr>
        <w:t>2011 – 2016</w:t>
      </w:r>
      <w:r w:rsidR="00775A41" w:rsidRPr="00AA2617">
        <w:rPr>
          <w:rFonts w:eastAsia="Arial Unicode MS"/>
          <w:lang w:eastAsia="en-GB" w:bidi="hi-IN"/>
        </w:rPr>
        <w:t>)</w:t>
      </w:r>
      <w:r w:rsidRPr="00AA2617">
        <w:rPr>
          <w:rFonts w:eastAsia="Arial Unicode MS"/>
          <w:lang w:eastAsia="en-GB" w:bidi="hi-IN"/>
        </w:rPr>
        <w:t xml:space="preserve">, developed by the Ministry of Environment in 2010 have identified the following five key sectors as the most vulnerable sectors in the Sri Lankan context: </w:t>
      </w:r>
    </w:p>
    <w:p w14:paraId="4C40CA6E" w14:textId="29B0E90B" w:rsidR="004410CD" w:rsidRPr="00AA2617" w:rsidRDefault="004410CD" w:rsidP="00AA2617">
      <w:pPr>
        <w:pStyle w:val="NumberedParagraph"/>
        <w:numPr>
          <w:ilvl w:val="0"/>
          <w:numId w:val="34"/>
        </w:numPr>
        <w:ind w:left="1080"/>
        <w:contextualSpacing/>
        <w:rPr>
          <w:rFonts w:eastAsia="Arial Unicode MS"/>
          <w:lang w:eastAsia="en-GB" w:bidi="hi-IN"/>
        </w:rPr>
      </w:pPr>
      <w:r w:rsidRPr="00AA2617">
        <w:rPr>
          <w:rFonts w:eastAsia="Arial Unicode MS"/>
          <w:lang w:eastAsia="en-GB" w:bidi="hi-IN"/>
        </w:rPr>
        <w:t xml:space="preserve">Agriculture and Fisheries </w:t>
      </w:r>
    </w:p>
    <w:p w14:paraId="6CA2B3E7" w14:textId="415FE3A5" w:rsidR="004410CD" w:rsidRPr="00AA2617" w:rsidRDefault="004410CD" w:rsidP="00AA2617">
      <w:pPr>
        <w:pStyle w:val="NumberedParagraph"/>
        <w:numPr>
          <w:ilvl w:val="0"/>
          <w:numId w:val="34"/>
        </w:numPr>
        <w:ind w:left="1080"/>
        <w:contextualSpacing/>
        <w:rPr>
          <w:rFonts w:eastAsia="Arial Unicode MS"/>
          <w:lang w:eastAsia="en-GB" w:bidi="hi-IN"/>
        </w:rPr>
      </w:pPr>
      <w:r w:rsidRPr="00AA2617">
        <w:rPr>
          <w:rFonts w:eastAsia="Arial Unicode MS"/>
          <w:lang w:eastAsia="en-GB" w:bidi="hi-IN"/>
        </w:rPr>
        <w:t xml:space="preserve">Water </w:t>
      </w:r>
    </w:p>
    <w:p w14:paraId="38DC8BDF" w14:textId="05F11571" w:rsidR="004410CD" w:rsidRPr="00AA2617" w:rsidRDefault="004410CD" w:rsidP="00AA2617">
      <w:pPr>
        <w:pStyle w:val="NumberedParagraph"/>
        <w:numPr>
          <w:ilvl w:val="0"/>
          <w:numId w:val="34"/>
        </w:numPr>
        <w:ind w:left="1080"/>
        <w:contextualSpacing/>
        <w:rPr>
          <w:rFonts w:eastAsia="Arial Unicode MS"/>
          <w:lang w:eastAsia="en-GB" w:bidi="hi-IN"/>
        </w:rPr>
      </w:pPr>
      <w:r w:rsidRPr="00AA2617">
        <w:rPr>
          <w:rFonts w:eastAsia="Arial Unicode MS"/>
          <w:lang w:eastAsia="en-GB" w:bidi="hi-IN"/>
        </w:rPr>
        <w:t xml:space="preserve">Health </w:t>
      </w:r>
    </w:p>
    <w:p w14:paraId="7FEEB3AA" w14:textId="2B87D18E" w:rsidR="004410CD" w:rsidRPr="00AA2617" w:rsidRDefault="004410CD" w:rsidP="00AA2617">
      <w:pPr>
        <w:pStyle w:val="NumberedParagraph"/>
        <w:numPr>
          <w:ilvl w:val="0"/>
          <w:numId w:val="34"/>
        </w:numPr>
        <w:ind w:left="1080"/>
        <w:contextualSpacing/>
        <w:rPr>
          <w:rFonts w:eastAsia="Arial Unicode MS"/>
          <w:lang w:eastAsia="en-GB" w:bidi="hi-IN"/>
        </w:rPr>
      </w:pPr>
      <w:r w:rsidRPr="00AA2617">
        <w:rPr>
          <w:rFonts w:eastAsia="Arial Unicode MS"/>
          <w:lang w:eastAsia="en-GB" w:bidi="hi-IN"/>
        </w:rPr>
        <w:t xml:space="preserve">Urban Development, Human Settlements &amp; Economic Infrastructure </w:t>
      </w:r>
    </w:p>
    <w:p w14:paraId="036F6FCE" w14:textId="665F7F8A" w:rsidR="004410CD" w:rsidRPr="00AA2617" w:rsidRDefault="004410CD" w:rsidP="00AA2617">
      <w:pPr>
        <w:pStyle w:val="NumberedParagraph"/>
        <w:numPr>
          <w:ilvl w:val="0"/>
          <w:numId w:val="34"/>
        </w:numPr>
        <w:ind w:left="1080"/>
        <w:contextualSpacing/>
        <w:rPr>
          <w:rFonts w:eastAsia="Arial Unicode MS"/>
          <w:lang w:eastAsia="en-GB" w:bidi="hi-IN"/>
        </w:rPr>
      </w:pPr>
      <w:r w:rsidRPr="00AA2617">
        <w:rPr>
          <w:rFonts w:eastAsia="Arial Unicode MS"/>
          <w:lang w:eastAsia="en-GB" w:bidi="hi-IN"/>
        </w:rPr>
        <w:t xml:space="preserve">Biodiversity and Ecosystem Services </w:t>
      </w:r>
    </w:p>
    <w:p w14:paraId="4030B915" w14:textId="2C1040B1" w:rsidR="00575E1A" w:rsidRPr="00AA2617" w:rsidRDefault="00575E1A" w:rsidP="00AA2617">
      <w:pPr>
        <w:pStyle w:val="NumberedParagraph"/>
        <w:ind w:left="360"/>
        <w:rPr>
          <w:iCs/>
          <w:sz w:val="22"/>
        </w:rPr>
      </w:pPr>
      <w:r w:rsidRPr="00AA2617">
        <w:rPr>
          <w:b/>
          <w:bCs/>
          <w:sz w:val="22"/>
        </w:rPr>
        <w:lastRenderedPageBreak/>
        <w:t>Sri Lanka’s Agriculture sector NDC</w:t>
      </w:r>
      <w:r w:rsidRPr="00AA2617">
        <w:rPr>
          <w:sz w:val="22"/>
        </w:rPr>
        <w:t xml:space="preserve">: </w:t>
      </w:r>
      <w:r w:rsidRPr="00AA2617">
        <w:rPr>
          <w:iCs/>
          <w:sz w:val="22"/>
        </w:rPr>
        <w:t xml:space="preserve">The following NDC priorities have been identified for the agriculture sectors in Sri Lanka’s NDC;  </w:t>
      </w:r>
    </w:p>
    <w:p w14:paraId="28394182" w14:textId="77777777" w:rsidR="00575E1A" w:rsidRPr="00AA2617" w:rsidRDefault="00575E1A" w:rsidP="00AA2617">
      <w:pPr>
        <w:pStyle w:val="GEFQuestion"/>
        <w:numPr>
          <w:ilvl w:val="0"/>
          <w:numId w:val="33"/>
        </w:numPr>
        <w:spacing w:before="120"/>
        <w:ind w:left="720"/>
        <w:contextualSpacing/>
        <w:jc w:val="both"/>
        <w:rPr>
          <w:iCs/>
          <w:szCs w:val="22"/>
        </w:rPr>
      </w:pPr>
      <w:r w:rsidRPr="00AA2617">
        <w:rPr>
          <w:iCs/>
          <w:szCs w:val="22"/>
        </w:rPr>
        <w:t xml:space="preserve">Promote/introduce/develop Integrated Pest Management (IPM) practices to minimize pest damages to improve environmental impacts and health </w:t>
      </w:r>
    </w:p>
    <w:p w14:paraId="3792DAC4" w14:textId="77777777" w:rsidR="00575E1A" w:rsidRPr="00AA2617" w:rsidRDefault="00575E1A" w:rsidP="00AA2617">
      <w:pPr>
        <w:pStyle w:val="GEFQuestion"/>
        <w:numPr>
          <w:ilvl w:val="0"/>
          <w:numId w:val="32"/>
        </w:numPr>
        <w:spacing w:before="120"/>
        <w:ind w:left="1080"/>
        <w:contextualSpacing/>
        <w:jc w:val="both"/>
        <w:rPr>
          <w:iCs/>
          <w:szCs w:val="22"/>
        </w:rPr>
      </w:pPr>
      <w:r w:rsidRPr="00AA2617">
        <w:rPr>
          <w:iCs/>
          <w:szCs w:val="22"/>
        </w:rPr>
        <w:t xml:space="preserve">Introduce environmentally friendly bio-degradable pesticides for IPM. </w:t>
      </w:r>
    </w:p>
    <w:p w14:paraId="17DF5012" w14:textId="77777777" w:rsidR="00575E1A" w:rsidRPr="00AA2617" w:rsidRDefault="00575E1A" w:rsidP="00AA2617">
      <w:pPr>
        <w:pStyle w:val="GEFQuestion"/>
        <w:numPr>
          <w:ilvl w:val="0"/>
          <w:numId w:val="32"/>
        </w:numPr>
        <w:spacing w:before="120"/>
        <w:ind w:left="1080"/>
        <w:contextualSpacing/>
        <w:jc w:val="both"/>
        <w:rPr>
          <w:iCs/>
          <w:szCs w:val="22"/>
        </w:rPr>
      </w:pPr>
      <w:r w:rsidRPr="00AA2617">
        <w:rPr>
          <w:iCs/>
          <w:szCs w:val="22"/>
        </w:rPr>
        <w:t xml:space="preserve">Introduce /promote/develop suitable bio pesticides and bio control agents for IPM. </w:t>
      </w:r>
    </w:p>
    <w:p w14:paraId="6D0F8539" w14:textId="77777777" w:rsidR="00575E1A" w:rsidRPr="00AA2617" w:rsidRDefault="00575E1A" w:rsidP="00AA2617">
      <w:pPr>
        <w:pStyle w:val="GEFQuestion"/>
        <w:numPr>
          <w:ilvl w:val="0"/>
          <w:numId w:val="32"/>
        </w:numPr>
        <w:spacing w:before="120"/>
        <w:ind w:left="1080"/>
        <w:contextualSpacing/>
        <w:jc w:val="both"/>
        <w:rPr>
          <w:iCs/>
          <w:szCs w:val="22"/>
        </w:rPr>
      </w:pPr>
      <w:r w:rsidRPr="00AA2617">
        <w:rPr>
          <w:iCs/>
          <w:szCs w:val="22"/>
        </w:rPr>
        <w:t xml:space="preserve">Introduce/promote/develop post-harvest management with environmentally friendly technology packages. </w:t>
      </w:r>
    </w:p>
    <w:p w14:paraId="0776CEE0" w14:textId="77777777" w:rsidR="00575E1A" w:rsidRPr="00AA2617" w:rsidRDefault="00575E1A" w:rsidP="00AA2617">
      <w:pPr>
        <w:pStyle w:val="GEFQuestion"/>
        <w:numPr>
          <w:ilvl w:val="0"/>
          <w:numId w:val="33"/>
        </w:numPr>
        <w:spacing w:before="120"/>
        <w:ind w:left="720"/>
        <w:contextualSpacing/>
        <w:jc w:val="both"/>
        <w:rPr>
          <w:iCs/>
          <w:szCs w:val="22"/>
        </w:rPr>
      </w:pPr>
      <w:r w:rsidRPr="00AA2617">
        <w:rPr>
          <w:iCs/>
          <w:szCs w:val="22"/>
        </w:rPr>
        <w:t xml:space="preserve">Develop/introduce varieties resistant/tolerance to biotic and abiotic stresses arising from climate change  </w:t>
      </w:r>
    </w:p>
    <w:p w14:paraId="73EB21E4" w14:textId="77777777" w:rsidR="00575E1A" w:rsidRPr="00AA2617" w:rsidRDefault="00575E1A" w:rsidP="00AA2617">
      <w:pPr>
        <w:pStyle w:val="GEFQuestion"/>
        <w:numPr>
          <w:ilvl w:val="0"/>
          <w:numId w:val="32"/>
        </w:numPr>
        <w:spacing w:before="120"/>
        <w:ind w:left="1080"/>
        <w:contextualSpacing/>
        <w:jc w:val="both"/>
        <w:rPr>
          <w:iCs/>
          <w:szCs w:val="22"/>
        </w:rPr>
      </w:pPr>
      <w:r w:rsidRPr="00AA2617">
        <w:rPr>
          <w:iCs/>
          <w:szCs w:val="22"/>
        </w:rPr>
        <w:t xml:space="preserve">Introduce/promote/develop heat, draught, flood and salt tolerant varieties </w:t>
      </w:r>
    </w:p>
    <w:p w14:paraId="1E8022B6" w14:textId="77777777" w:rsidR="00575E1A" w:rsidRPr="00AA2617" w:rsidRDefault="00575E1A" w:rsidP="00AA2617">
      <w:pPr>
        <w:pStyle w:val="GEFQuestion"/>
        <w:numPr>
          <w:ilvl w:val="0"/>
          <w:numId w:val="32"/>
        </w:numPr>
        <w:spacing w:before="120"/>
        <w:ind w:left="1080"/>
        <w:contextualSpacing/>
        <w:jc w:val="both"/>
        <w:rPr>
          <w:iCs/>
          <w:szCs w:val="22"/>
        </w:rPr>
      </w:pPr>
      <w:r w:rsidRPr="00AA2617">
        <w:rPr>
          <w:iCs/>
          <w:szCs w:val="22"/>
        </w:rPr>
        <w:t xml:space="preserve">Develop and promote mature varieties </w:t>
      </w:r>
    </w:p>
    <w:p w14:paraId="34C075C3" w14:textId="77777777" w:rsidR="00575E1A" w:rsidRPr="00AA2617" w:rsidRDefault="00575E1A" w:rsidP="00AA2617">
      <w:pPr>
        <w:pStyle w:val="GEFQuestion"/>
        <w:numPr>
          <w:ilvl w:val="0"/>
          <w:numId w:val="33"/>
        </w:numPr>
        <w:spacing w:before="120"/>
        <w:ind w:left="720"/>
        <w:contextualSpacing/>
        <w:jc w:val="both"/>
        <w:rPr>
          <w:iCs/>
          <w:szCs w:val="22"/>
        </w:rPr>
      </w:pPr>
      <w:r w:rsidRPr="00AA2617">
        <w:rPr>
          <w:iCs/>
          <w:szCs w:val="22"/>
        </w:rPr>
        <w:t xml:space="preserve">Re-demarcating Agro-Ecological Regions (AERS) maps of Sri Lanka with current climate and future climate, and recommend appropriate crops for different areas to reduce vulnerability to climate change impacts. </w:t>
      </w:r>
    </w:p>
    <w:p w14:paraId="567284EB" w14:textId="77777777" w:rsidR="00575E1A" w:rsidRPr="00AA2617" w:rsidRDefault="00575E1A" w:rsidP="00AA2617">
      <w:pPr>
        <w:pStyle w:val="GEFQuestion"/>
        <w:numPr>
          <w:ilvl w:val="0"/>
          <w:numId w:val="33"/>
        </w:numPr>
        <w:spacing w:before="120"/>
        <w:ind w:left="720"/>
        <w:contextualSpacing/>
        <w:jc w:val="both"/>
        <w:rPr>
          <w:iCs/>
          <w:szCs w:val="22"/>
        </w:rPr>
      </w:pPr>
      <w:r w:rsidRPr="00AA2617">
        <w:rPr>
          <w:iCs/>
          <w:szCs w:val="22"/>
        </w:rPr>
        <w:t>Introduce suitable land and water management practices for central highlands and other marginal areas to minimize land degradation and to improve land and water productivity.</w:t>
      </w:r>
    </w:p>
    <w:p w14:paraId="02E5C779" w14:textId="4EE10001" w:rsidR="00575E1A" w:rsidRPr="00AA2617" w:rsidRDefault="00D05D28" w:rsidP="00AA2617">
      <w:pPr>
        <w:pStyle w:val="NumberedParagraph"/>
        <w:ind w:left="360"/>
        <w:rPr>
          <w:sz w:val="22"/>
        </w:rPr>
      </w:pPr>
      <w:r w:rsidRPr="00AA2617">
        <w:rPr>
          <w:b/>
          <w:bCs/>
          <w:sz w:val="22"/>
        </w:rPr>
        <w:t>Sri Lanka’s Livestock sector NDC</w:t>
      </w:r>
      <w:r w:rsidRPr="00AA2617">
        <w:rPr>
          <w:sz w:val="22"/>
        </w:rPr>
        <w:t>: Livestock is an integral part of agricultural economy in Sri Lanka and it ensures food security, helps in reducing malnutrition and poverty. There are approximately 560,000 families directly engaged in livestock sector, i.e. dairy, poultry, goat, swine and other livestock. Dairy industry is earmarked as the priority area for investment and development in the livestock sector. The development programs launched by the Ministry of Rural Economic Affairs enabled the country to reach 42% self-sufficiency in local milk production in 2015. A major driving factor of livestock dynamics in Sri Lanka appears to be climatic variability. The rising temperature and uncertainties in rainfall associated with global warming are likely to increase the frequency and magnitude of climate variability and extremes.</w:t>
      </w:r>
    </w:p>
    <w:p w14:paraId="7D4A92E2" w14:textId="58E7914E" w:rsidR="00575E1A" w:rsidRPr="00AA2617" w:rsidRDefault="00575E1A" w:rsidP="00AA2617">
      <w:pPr>
        <w:pStyle w:val="NumberedParagraph"/>
        <w:ind w:left="360"/>
        <w:rPr>
          <w:sz w:val="22"/>
        </w:rPr>
      </w:pPr>
      <w:r w:rsidRPr="00AA2617">
        <w:rPr>
          <w:sz w:val="22"/>
        </w:rPr>
        <w:t>Furthermore, changes in climate would also increase the risk of unexpected changes in nature and environment. The key risks from climate change to livestock are increased incidence of drought, flood and heat. In this context, Sri Lanka identified the following NDCs for the livestock sector in order to build resilience in the livestock sector to meet adverse impacts of climate change.</w:t>
      </w:r>
    </w:p>
    <w:p w14:paraId="5B5D67B9" w14:textId="77777777" w:rsidR="002B6008" w:rsidRPr="00AA2617" w:rsidRDefault="002B6008" w:rsidP="00AA2617">
      <w:pPr>
        <w:pStyle w:val="GEFQuestion"/>
        <w:numPr>
          <w:ilvl w:val="0"/>
          <w:numId w:val="33"/>
        </w:numPr>
        <w:spacing w:before="120"/>
        <w:ind w:left="720"/>
        <w:contextualSpacing/>
        <w:jc w:val="both"/>
        <w:rPr>
          <w:iCs/>
          <w:szCs w:val="22"/>
        </w:rPr>
      </w:pPr>
      <w:bookmarkStart w:id="18" w:name="_Hlk498074679"/>
      <w:r w:rsidRPr="00AA2617">
        <w:rPr>
          <w:iCs/>
          <w:szCs w:val="22"/>
        </w:rPr>
        <w:t xml:space="preserve">Identification of vulnerability in the livestock sector, with relation to the following variables: </w:t>
      </w:r>
    </w:p>
    <w:p w14:paraId="2960F7FB" w14:textId="77777777" w:rsidR="002B6008" w:rsidRPr="00AA2617" w:rsidRDefault="002B6008" w:rsidP="00AA2617">
      <w:pPr>
        <w:pStyle w:val="GEFQuestion"/>
        <w:numPr>
          <w:ilvl w:val="1"/>
          <w:numId w:val="33"/>
        </w:numPr>
        <w:spacing w:before="120"/>
        <w:contextualSpacing/>
        <w:jc w:val="both"/>
        <w:rPr>
          <w:iCs/>
          <w:szCs w:val="22"/>
        </w:rPr>
      </w:pPr>
      <w:r w:rsidRPr="00AA2617">
        <w:rPr>
          <w:iCs/>
          <w:szCs w:val="22"/>
        </w:rPr>
        <w:t>livestock species; agro-climate areas; farming communities; production systems; processing pathways</w:t>
      </w:r>
    </w:p>
    <w:p w14:paraId="08160E83" w14:textId="77777777" w:rsidR="002B6008" w:rsidRPr="00AA2617" w:rsidRDefault="002B6008" w:rsidP="00AA2617">
      <w:pPr>
        <w:pStyle w:val="GEFQuestion"/>
        <w:numPr>
          <w:ilvl w:val="0"/>
          <w:numId w:val="33"/>
        </w:numPr>
        <w:spacing w:before="120"/>
        <w:ind w:left="720"/>
        <w:contextualSpacing/>
        <w:jc w:val="both"/>
        <w:rPr>
          <w:iCs/>
          <w:szCs w:val="22"/>
        </w:rPr>
      </w:pPr>
      <w:r w:rsidRPr="00AA2617">
        <w:rPr>
          <w:iCs/>
          <w:szCs w:val="22"/>
        </w:rPr>
        <w:t xml:space="preserve">Introduction of adoptive measures to avoid or minimize the adverse effects of technological innovations on animal production systems and traditional knowledge and practices, through collection and dissemination of information, capacity building and technical skills development </w:t>
      </w:r>
    </w:p>
    <w:p w14:paraId="51375F27" w14:textId="77777777" w:rsidR="002B6008" w:rsidRPr="00AA2617" w:rsidRDefault="002B6008" w:rsidP="00AA2617">
      <w:pPr>
        <w:pStyle w:val="GEFQuestion"/>
        <w:numPr>
          <w:ilvl w:val="0"/>
          <w:numId w:val="33"/>
        </w:numPr>
        <w:spacing w:before="120"/>
        <w:ind w:left="720"/>
        <w:contextualSpacing/>
        <w:jc w:val="both"/>
        <w:rPr>
          <w:iCs/>
          <w:szCs w:val="22"/>
        </w:rPr>
      </w:pPr>
      <w:r w:rsidRPr="00AA2617">
        <w:rPr>
          <w:iCs/>
          <w:szCs w:val="22"/>
        </w:rPr>
        <w:t xml:space="preserve">Introduction of alternative measures to minimize adverse effects of climate change </w:t>
      </w:r>
    </w:p>
    <w:p w14:paraId="544A3169" w14:textId="77777777" w:rsidR="002B6008" w:rsidRPr="00AA2617" w:rsidRDefault="002B6008" w:rsidP="00AA2617">
      <w:pPr>
        <w:pStyle w:val="GEFQuestion"/>
        <w:numPr>
          <w:ilvl w:val="0"/>
          <w:numId w:val="33"/>
        </w:numPr>
        <w:spacing w:before="120"/>
        <w:ind w:left="720"/>
        <w:contextualSpacing/>
        <w:jc w:val="both"/>
        <w:rPr>
          <w:iCs/>
          <w:szCs w:val="22"/>
        </w:rPr>
      </w:pPr>
      <w:r w:rsidRPr="00AA2617">
        <w:rPr>
          <w:iCs/>
          <w:szCs w:val="22"/>
        </w:rPr>
        <w:t xml:space="preserve">Identification of potential clean and renewable energy sources for livestock related activities </w:t>
      </w:r>
    </w:p>
    <w:p w14:paraId="3D56659B" w14:textId="77777777" w:rsidR="002B6008" w:rsidRPr="00AA2617" w:rsidRDefault="002B6008" w:rsidP="00AA2617">
      <w:pPr>
        <w:pStyle w:val="GEFQuestion"/>
        <w:numPr>
          <w:ilvl w:val="0"/>
          <w:numId w:val="33"/>
        </w:numPr>
        <w:spacing w:before="120"/>
        <w:ind w:left="720"/>
        <w:contextualSpacing/>
        <w:jc w:val="both"/>
        <w:rPr>
          <w:iCs/>
          <w:szCs w:val="22"/>
        </w:rPr>
      </w:pPr>
      <w:r w:rsidRPr="00AA2617">
        <w:rPr>
          <w:iCs/>
          <w:szCs w:val="22"/>
        </w:rPr>
        <w:t xml:space="preserve">Adaptation of integrated waste management systems </w:t>
      </w:r>
    </w:p>
    <w:p w14:paraId="3684CAB1" w14:textId="77777777" w:rsidR="002B6008" w:rsidRPr="00AA2617" w:rsidRDefault="002B6008" w:rsidP="00AA2617">
      <w:pPr>
        <w:pStyle w:val="GEFQuestion"/>
        <w:numPr>
          <w:ilvl w:val="0"/>
          <w:numId w:val="33"/>
        </w:numPr>
        <w:spacing w:before="120"/>
        <w:ind w:left="720"/>
        <w:contextualSpacing/>
        <w:jc w:val="both"/>
        <w:rPr>
          <w:iCs/>
          <w:szCs w:val="22"/>
        </w:rPr>
      </w:pPr>
      <w:r w:rsidRPr="00AA2617">
        <w:rPr>
          <w:iCs/>
          <w:szCs w:val="22"/>
        </w:rPr>
        <w:t>Promotion of responsible consumption and sustainable production through promotion of green livestock procedures &amp; processing techniques, and consumption of green livestock products</w:t>
      </w:r>
    </w:p>
    <w:p w14:paraId="1F60CAE9" w14:textId="77777777" w:rsidR="002B6008" w:rsidRPr="00AA2617" w:rsidRDefault="002B6008" w:rsidP="00AA2617">
      <w:pPr>
        <w:pStyle w:val="GEFQuestion"/>
        <w:numPr>
          <w:ilvl w:val="0"/>
          <w:numId w:val="33"/>
        </w:numPr>
        <w:spacing w:before="120"/>
        <w:ind w:left="720"/>
        <w:contextualSpacing/>
        <w:jc w:val="both"/>
        <w:rPr>
          <w:iCs/>
          <w:szCs w:val="22"/>
        </w:rPr>
      </w:pPr>
      <w:r w:rsidRPr="00AA2617">
        <w:rPr>
          <w:iCs/>
          <w:szCs w:val="22"/>
        </w:rPr>
        <w:t>Enhancement of education, awareness, knowledge exchange and capacity building on emerging green technologies in livestock and agriculture sectors</w:t>
      </w:r>
    </w:p>
    <w:bookmarkEnd w:id="18"/>
    <w:p w14:paraId="1EB710EC" w14:textId="77777777" w:rsidR="00F53A42" w:rsidRPr="00AA2617" w:rsidRDefault="00F53A42" w:rsidP="00AA2617">
      <w:pPr>
        <w:pStyle w:val="NumberedParagraph"/>
        <w:ind w:left="360"/>
        <w:rPr>
          <w:sz w:val="22"/>
        </w:rPr>
      </w:pPr>
      <w:r w:rsidRPr="00AA2617">
        <w:rPr>
          <w:sz w:val="22"/>
        </w:rPr>
        <w:t>Figure 2 depicts some of the ways in which climate change affects various sub-sectors and stakeholders, giving a sense of the breadth of issues the project—largely via the MRV Technical Working Group (see Activity 1.1.2.1)—will consider in establishing a nationally appropriate M&amp;R system for CCA.</w:t>
      </w:r>
    </w:p>
    <w:p w14:paraId="7010E1A8" w14:textId="09F87017" w:rsidR="00F53A42" w:rsidRPr="00AA2617" w:rsidRDefault="00F53A42" w:rsidP="00AA2617">
      <w:pPr>
        <w:pStyle w:val="NumberedParagraph"/>
        <w:keepNext/>
        <w:numPr>
          <w:ilvl w:val="0"/>
          <w:numId w:val="0"/>
        </w:numPr>
        <w:spacing w:before="240"/>
        <w:jc w:val="center"/>
        <w:rPr>
          <w:sz w:val="22"/>
          <w:lang w:val="en-GB"/>
        </w:rPr>
      </w:pPr>
      <w:r w:rsidRPr="00AA2617">
        <w:rPr>
          <w:sz w:val="22"/>
          <w:lang w:val="en-GB"/>
        </w:rPr>
        <w:lastRenderedPageBreak/>
        <w:t xml:space="preserve">Figure </w:t>
      </w:r>
      <w:r w:rsidR="006266E0" w:rsidRPr="00AA2617">
        <w:rPr>
          <w:sz w:val="22"/>
          <w:lang w:val="en-GB"/>
        </w:rPr>
        <w:t>2</w:t>
      </w:r>
      <w:r w:rsidRPr="00AA2617">
        <w:rPr>
          <w:sz w:val="22"/>
          <w:lang w:val="en-GB"/>
        </w:rPr>
        <w:t>.  Climate-change Effects in the AFOLU Sector</w:t>
      </w:r>
      <w:r w:rsidRPr="00AA2617">
        <w:rPr>
          <w:rStyle w:val="FootnoteReference"/>
          <w:sz w:val="22"/>
          <w:lang w:val="en-GB"/>
        </w:rPr>
        <w:footnoteReference w:id="21"/>
      </w:r>
    </w:p>
    <w:p w14:paraId="52ADE583" w14:textId="77777777" w:rsidR="00F53A42" w:rsidRPr="00AA2617" w:rsidRDefault="00F53A42" w:rsidP="00AA2617">
      <w:pPr>
        <w:pStyle w:val="NumberedParagraph"/>
        <w:numPr>
          <w:ilvl w:val="0"/>
          <w:numId w:val="0"/>
        </w:numPr>
        <w:jc w:val="center"/>
        <w:rPr>
          <w:sz w:val="22"/>
          <w:lang w:val="en-GB"/>
        </w:rPr>
      </w:pPr>
      <w:r w:rsidRPr="00AA2617">
        <w:rPr>
          <w:noProof/>
          <w:sz w:val="22"/>
        </w:rPr>
        <w:drawing>
          <wp:inline distT="0" distB="0" distL="0" distR="0" wp14:anchorId="71BFB2DE" wp14:editId="7DAC5F0C">
            <wp:extent cx="4460796" cy="41148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460796" cy="4114800"/>
                    </a:xfrm>
                    <a:prstGeom prst="rect">
                      <a:avLst/>
                    </a:prstGeom>
                  </pic:spPr>
                </pic:pic>
              </a:graphicData>
            </a:graphic>
          </wp:inline>
        </w:drawing>
      </w:r>
    </w:p>
    <w:p w14:paraId="744AB99D" w14:textId="77777777" w:rsidR="00F53A42" w:rsidRPr="00AA2617" w:rsidRDefault="00F53A42" w:rsidP="00AA2617">
      <w:pPr>
        <w:pStyle w:val="NumberedParagraph"/>
        <w:numPr>
          <w:ilvl w:val="0"/>
          <w:numId w:val="0"/>
        </w:numPr>
        <w:ind w:left="360"/>
        <w:rPr>
          <w:sz w:val="22"/>
          <w:lang w:val="en-GB"/>
        </w:rPr>
      </w:pPr>
    </w:p>
    <w:p w14:paraId="3559FD94" w14:textId="11848490" w:rsidR="000C0A3D" w:rsidRPr="00AA2617" w:rsidRDefault="000C0A3D" w:rsidP="00AA2617">
      <w:pPr>
        <w:pStyle w:val="NumberedParagraph"/>
        <w:ind w:left="360"/>
        <w:rPr>
          <w:sz w:val="22"/>
        </w:rPr>
      </w:pPr>
      <w:r w:rsidRPr="00AA2617">
        <w:rPr>
          <w:b/>
          <w:bCs/>
          <w:sz w:val="22"/>
        </w:rPr>
        <w:t>Sri Lanka’s Forestry sector NDC</w:t>
      </w:r>
      <w:r w:rsidRPr="00AA2617">
        <w:rPr>
          <w:sz w:val="22"/>
        </w:rPr>
        <w:t>: Proposed NDC priorities in this sector directly or indirectly influence in reduction of GHG emission by increasing the forest cover in the country to a healthy level, managing deforestation and enriching usage by introducing perennial crops during the period 2020-2030.  The NDC of forestry sector of Sri Lanka are increasing the forest cover of Sri Lanka from 29.7% to 32% by 2030; identify land for reforestation/afforestation by conducting land use planning at national scale; improving quality of growing stock of natural forests and forest plantations by forest boundary demarcation and development of plantation management plans for sustainable forest management practices for productive and protective purposes; restoring degraded forests and hilltops (shrubs, grasslands and state lands); improving river basin management for major rivers of Sri Lanka through catchment-level multi-hazard prioritization; preparation of catchment management plans; demarcation and protection of riverine vegetation; afforestation of underutilized private lands and marginal tea lands, including piloting of Payment for Ecosystem Services (PES) mechanism; urban forestry (roadside planting, urban parks and other state lands); establishing a functional National Forest Monitoring System (NFMS); and promoting investment of private and public-sector companies in environmental conservation projects through Corporate Social Responsibility (CSR) programs.</w:t>
      </w:r>
    </w:p>
    <w:p w14:paraId="5861F566" w14:textId="1B23B3DE" w:rsidR="000C0A3D" w:rsidRPr="00AA2617" w:rsidRDefault="000C0A3D" w:rsidP="00AA2617">
      <w:pPr>
        <w:pStyle w:val="NumberedParagraph"/>
        <w:ind w:left="360"/>
        <w:rPr>
          <w:sz w:val="22"/>
        </w:rPr>
      </w:pPr>
      <w:r w:rsidRPr="00AA2617">
        <w:rPr>
          <w:sz w:val="22"/>
        </w:rPr>
        <w:t>The implementation of the above actions requires improved institutional coordination and a robust system for capturing precise data and information that is accurate and credible in reporting on GHG estimates (e.g. by sources and sinks).  This requires that Sri Lanka have systems in place to track progress in achieving NDCs across priorities covering both mitigation and adaptation actions, as well as a wide range of sectors (e.g. AFOLU, energy, transport) and related sub-sectors (e.g. livestock, field crops, water and forestry).</w:t>
      </w:r>
    </w:p>
    <w:p w14:paraId="390A0A3C" w14:textId="198EACDB" w:rsidR="00E970A4" w:rsidRPr="00AA2617" w:rsidRDefault="00E970A4" w:rsidP="00AA2617">
      <w:pPr>
        <w:pStyle w:val="NumberedParagraph"/>
        <w:ind w:left="360"/>
      </w:pPr>
      <w:r w:rsidRPr="00AA2617">
        <w:rPr>
          <w:i/>
          <w:sz w:val="22"/>
        </w:rPr>
        <w:lastRenderedPageBreak/>
        <w:t>Implementation challenges for forestry sector NDC</w:t>
      </w:r>
      <w:r w:rsidRPr="00AA2617">
        <w:rPr>
          <w:sz w:val="22"/>
        </w:rPr>
        <w:t>: The rate of reforestation and afforestation at the moment is not adequate for reaching the primary target of 32% of land area under forests. For instance, the extent deforested and area reforested 1</w:t>
      </w:r>
      <w:r w:rsidR="004916D4" w:rsidRPr="00AA2617">
        <w:rPr>
          <w:sz w:val="22"/>
        </w:rPr>
        <w:t>,</w:t>
      </w:r>
      <w:r w:rsidRPr="00AA2617">
        <w:rPr>
          <w:sz w:val="22"/>
        </w:rPr>
        <w:t>241 ha and 956 ha respectively in 2017. The stakeholder workshop conducted on 25 Feb</w:t>
      </w:r>
      <w:r w:rsidR="004916D4" w:rsidRPr="00AA2617">
        <w:rPr>
          <w:sz w:val="22"/>
        </w:rPr>
        <w:t>ruary</w:t>
      </w:r>
      <w:r w:rsidRPr="00AA2617">
        <w:rPr>
          <w:sz w:val="22"/>
        </w:rPr>
        <w:t xml:space="preserve"> 2019 revealed that there is a mismatch between goal setting in NDC and the targets of DFC. DFC, while mandated to carry out the bulk of NDCs in forestry sector has only partial control of the forest  cover. DWC and LRC are in charge of nearly 50% of the forested areas in the country</w:t>
      </w:r>
    </w:p>
    <w:p w14:paraId="1BC0AE83" w14:textId="77777777" w:rsidR="004A31FB" w:rsidRPr="00AA2617" w:rsidRDefault="003B36A9" w:rsidP="00AA2617">
      <w:pPr>
        <w:pStyle w:val="Heading2"/>
        <w:rPr>
          <w:b/>
          <w:lang w:val="en-GB"/>
        </w:rPr>
      </w:pPr>
      <w:bookmarkStart w:id="19" w:name="_Toc9249173"/>
      <w:r w:rsidRPr="00AA2617">
        <w:rPr>
          <w:b/>
          <w:lang w:val="en-GB"/>
        </w:rPr>
        <w:t>Status of MRV for Climate Change in the AFOLU S</w:t>
      </w:r>
      <w:r w:rsidR="004A31FB" w:rsidRPr="00AA2617">
        <w:rPr>
          <w:b/>
          <w:lang w:val="en-GB"/>
        </w:rPr>
        <w:t>ector</w:t>
      </w:r>
      <w:bookmarkEnd w:id="19"/>
    </w:p>
    <w:p w14:paraId="49F3A571" w14:textId="08FEDD03" w:rsidR="00216558" w:rsidRPr="00AA2617" w:rsidRDefault="00DF2AB6" w:rsidP="00AA2617">
      <w:pPr>
        <w:pStyle w:val="NumberedParagraph"/>
        <w:ind w:left="360"/>
        <w:rPr>
          <w:color w:val="0070C0"/>
          <w:sz w:val="22"/>
          <w:lang w:val="en-GB"/>
        </w:rPr>
      </w:pPr>
      <w:r w:rsidRPr="00AA2617">
        <w:rPr>
          <w:sz w:val="22"/>
          <w:lang w:val="en-GB"/>
        </w:rPr>
        <w:t>Sri Lanka’s</w:t>
      </w:r>
      <w:r w:rsidR="001864E3" w:rsidRPr="00AA2617">
        <w:rPr>
          <w:sz w:val="22"/>
          <w:lang w:val="en-GB"/>
        </w:rPr>
        <w:t xml:space="preserve"> MRV capacities are currently under-developed for the AFOLU sector.</w:t>
      </w:r>
      <w:r w:rsidRPr="00AA2617">
        <w:rPr>
          <w:sz w:val="22"/>
          <w:lang w:val="en-GB"/>
        </w:rPr>
        <w:t xml:space="preserve"> Second National Communication and</w:t>
      </w:r>
      <w:r w:rsidR="0079013F" w:rsidRPr="00AA2617">
        <w:rPr>
          <w:sz w:val="22"/>
          <w:lang w:val="en-GB"/>
        </w:rPr>
        <w:t xml:space="preserve"> FRL are two most recent AFOLU MRV reports.  As noted above, AFOLU reporti</w:t>
      </w:r>
      <w:r w:rsidR="0039563E" w:rsidRPr="00AA2617">
        <w:rPr>
          <w:sz w:val="22"/>
          <w:lang w:val="en-GB"/>
        </w:rPr>
        <w:t xml:space="preserve">ng </w:t>
      </w:r>
      <w:r w:rsidRPr="00AA2617">
        <w:rPr>
          <w:sz w:val="22"/>
          <w:lang w:val="en-GB"/>
        </w:rPr>
        <w:t xml:space="preserve">in both reports are </w:t>
      </w:r>
      <w:r w:rsidR="0079013F" w:rsidRPr="00AA2617">
        <w:rPr>
          <w:sz w:val="22"/>
          <w:lang w:val="en-GB"/>
        </w:rPr>
        <w:t>Tier 1</w:t>
      </w:r>
      <w:r w:rsidR="0039563E" w:rsidRPr="00AA2617">
        <w:rPr>
          <w:sz w:val="22"/>
          <w:lang w:val="en-GB"/>
        </w:rPr>
        <w:t xml:space="preserve"> defaults</w:t>
      </w:r>
      <w:r w:rsidRPr="00AA2617">
        <w:rPr>
          <w:sz w:val="22"/>
          <w:lang w:val="en-GB"/>
        </w:rPr>
        <w:t xml:space="preserve">. </w:t>
      </w:r>
      <w:r w:rsidR="00540EDE" w:rsidRPr="00AA2617">
        <w:rPr>
          <w:sz w:val="22"/>
          <w:lang w:val="en-GB"/>
        </w:rPr>
        <w:t xml:space="preserve">Tier 1 enables a </w:t>
      </w:r>
      <w:r w:rsidR="00E02923" w:rsidRPr="00AA2617">
        <w:rPr>
          <w:sz w:val="22"/>
          <w:lang w:val="en-GB"/>
        </w:rPr>
        <w:t>foundational</w:t>
      </w:r>
      <w:r w:rsidR="00540EDE" w:rsidRPr="00AA2617">
        <w:rPr>
          <w:sz w:val="22"/>
          <w:lang w:val="en-GB"/>
        </w:rPr>
        <w:t xml:space="preserve"> basis for planning, but </w:t>
      </w:r>
      <w:r w:rsidR="00E02923" w:rsidRPr="00AA2617">
        <w:rPr>
          <w:sz w:val="22"/>
          <w:lang w:val="en-GB"/>
        </w:rPr>
        <w:t>does not reflect best practices</w:t>
      </w:r>
      <w:r w:rsidRPr="00AA2617">
        <w:rPr>
          <w:sz w:val="22"/>
          <w:lang w:val="en-GB"/>
        </w:rPr>
        <w:t>.</w:t>
      </w:r>
    </w:p>
    <w:p w14:paraId="562F1EB7" w14:textId="77777777" w:rsidR="00E970A4" w:rsidRPr="00AA2617" w:rsidRDefault="00E970A4" w:rsidP="00AA2617">
      <w:pPr>
        <w:pStyle w:val="NumberedParagraph"/>
        <w:ind w:left="360"/>
        <w:rPr>
          <w:lang w:val="en-GB"/>
        </w:rPr>
      </w:pPr>
      <w:r w:rsidRPr="00AA2617">
        <w:rPr>
          <w:sz w:val="22"/>
          <w:lang w:val="en-GB"/>
        </w:rPr>
        <w:t>There are several challenges associated with regular and comprehensive reporting of anthropogenic emissions inventories by sources and removals prepared using good practices methodology. Major challenges are l</w:t>
      </w:r>
      <w:r w:rsidRPr="00AA2617">
        <w:rPr>
          <w:lang w:val="en-GB"/>
        </w:rPr>
        <w:t xml:space="preserve">ack of activity data and local emission factors, reliance on outdated IPCC methodologies for measurement and monitoring of emissions from the agriculture sectors, harmonization of land use land cover with IPCC land use classes, insufficient financial support for regular inventory preparation. </w:t>
      </w:r>
      <w:r w:rsidRPr="00AA2617">
        <w:rPr>
          <w:sz w:val="22"/>
          <w:lang w:val="en-GB"/>
        </w:rPr>
        <w:t xml:space="preserve">This also results in </w:t>
      </w:r>
      <w:r w:rsidRPr="00AA2617">
        <w:rPr>
          <w:lang w:val="en-GB"/>
        </w:rPr>
        <w:t>limiting experience with measuring, reporting and verification (MRV) systems for emissions from the agriculture and land-use sectors. This is also resulting in of lack of harmonized indicator and monitoring systems for adaptation based on national priorities.</w:t>
      </w:r>
    </w:p>
    <w:p w14:paraId="526FF1DD" w14:textId="77777777" w:rsidR="00E970A4" w:rsidRPr="00AA2617" w:rsidRDefault="00E970A4" w:rsidP="00AA2617">
      <w:pPr>
        <w:pStyle w:val="NumberedParagraph"/>
        <w:ind w:left="360"/>
        <w:rPr>
          <w:lang w:val="en-GB"/>
        </w:rPr>
      </w:pPr>
      <w:r w:rsidRPr="00AA2617">
        <w:rPr>
          <w:lang w:val="en-GB"/>
        </w:rPr>
        <w:t>NCs to the UNFCCC are dependent on a sound MRV framework. While Sri Lanka was able to submit first and second NCs, the delay in BUR and TNC is mainly due to lapses in the MRV framework. For the past communications, Sri Lanka has adopted revised IPCC (1999) and IPCC (2006) guidelines. The activity data has been sourced through consultation and Tier 1 EFs (and Tier 2 equivalent National factors in SNC) have been used.  Tier 2 comparable estimates from literature reviews have been discussed in the FRL and literature cited under Sri Lanka REDD documentation</w:t>
      </w:r>
      <w:r w:rsidRPr="00AA2617">
        <w:rPr>
          <w:rStyle w:val="FootnoteReference"/>
          <w:lang w:val="en-GB"/>
        </w:rPr>
        <w:footnoteReference w:id="22"/>
      </w:r>
      <w:r w:rsidRPr="00AA2617">
        <w:rPr>
          <w:lang w:val="en-GB"/>
        </w:rPr>
        <w:t xml:space="preserve">. </w:t>
      </w:r>
    </w:p>
    <w:p w14:paraId="349432A1" w14:textId="32C67E6B" w:rsidR="00E970A4" w:rsidRPr="00AA2617" w:rsidRDefault="00E970A4" w:rsidP="00AA2617">
      <w:pPr>
        <w:pStyle w:val="NumberedParagraph"/>
        <w:ind w:left="360"/>
        <w:rPr>
          <w:sz w:val="22"/>
          <w:lang w:val="en-GB"/>
        </w:rPr>
      </w:pPr>
      <w:r w:rsidRPr="00AA2617">
        <w:rPr>
          <w:sz w:val="22"/>
          <w:lang w:val="en-GB"/>
        </w:rPr>
        <w:t xml:space="preserve">CCS </w:t>
      </w:r>
      <w:r w:rsidR="00ED7A0D" w:rsidRPr="00AA2617">
        <w:rPr>
          <w:sz w:val="22"/>
          <w:lang w:val="en-GB"/>
        </w:rPr>
        <w:t xml:space="preserve">identified the lack of data sharing agreements between government institutions and the lack of technical and expertise within the CCS to manage the technical coordination process for MRV as the </w:t>
      </w:r>
      <w:r w:rsidRPr="00AA2617">
        <w:rPr>
          <w:sz w:val="22"/>
          <w:lang w:val="en-GB"/>
        </w:rPr>
        <w:t>most severe challenge</w:t>
      </w:r>
      <w:r w:rsidR="00ED7A0D" w:rsidRPr="00AA2617">
        <w:rPr>
          <w:sz w:val="22"/>
          <w:lang w:val="en-GB"/>
        </w:rPr>
        <w:t>s</w:t>
      </w:r>
      <w:r w:rsidRPr="00AA2617">
        <w:rPr>
          <w:sz w:val="22"/>
          <w:lang w:val="en-GB"/>
        </w:rPr>
        <w:t xml:space="preserve">. Activity data from agriculture is mainly available for annual crops under the DoA planning framework. Plantation and perennials, tree species data from home gardens are assessed by DCS occasionally on representative sample basis. Livestock and Fisheries activity data are less organised but regional offices maintain records of activity in terms of boats operated by landing site. Livestock Census and GPS data on fishing fleets are available for secondary processing in order to match the format for AFOLU MRV. </w:t>
      </w:r>
      <w:r w:rsidR="00B64007" w:rsidRPr="00AA2617">
        <w:rPr>
          <w:sz w:val="22"/>
          <w:lang w:val="en-GB"/>
        </w:rPr>
        <w:t>Forest</w:t>
      </w:r>
      <w:r w:rsidR="008336B5" w:rsidRPr="00AA2617">
        <w:rPr>
          <w:sz w:val="22"/>
          <w:lang w:val="en-GB"/>
        </w:rPr>
        <w:t xml:space="preserve"> cover map was also generated during 2010 and it has </w:t>
      </w:r>
      <w:r w:rsidR="009B5F4B" w:rsidRPr="00AA2617">
        <w:rPr>
          <w:sz w:val="22"/>
          <w:lang w:val="en-GB"/>
        </w:rPr>
        <w:t xml:space="preserve">been </w:t>
      </w:r>
      <w:r w:rsidR="008336B5" w:rsidRPr="00AA2617">
        <w:rPr>
          <w:sz w:val="22"/>
          <w:lang w:val="en-GB"/>
        </w:rPr>
        <w:t xml:space="preserve">used since then for GHG estimation from forestry sector. This needs to be updated. </w:t>
      </w:r>
      <w:r w:rsidRPr="00AA2617">
        <w:rPr>
          <w:sz w:val="22"/>
          <w:lang w:val="en-GB"/>
        </w:rPr>
        <w:t xml:space="preserve">Data processing, except for mapping, is not under the mandates of any of the key ministries involved. The universities and the research institutes are the parties which perform data processing and analysis using statistical methods. Findings from forecasting and meta-analysis are important inputs to verification and validation process, but there is no direct mechanism to solicit studies for relevant estimations, forecasts and meta-analyses. </w:t>
      </w:r>
    </w:p>
    <w:p w14:paraId="0B9BD5E2" w14:textId="77777777" w:rsidR="00DA0BB8" w:rsidRPr="00AA2617" w:rsidRDefault="001A3FBB" w:rsidP="00AA2617">
      <w:pPr>
        <w:pStyle w:val="Heading3"/>
        <w:rPr>
          <w:b/>
          <w:lang w:val="en-GB"/>
        </w:rPr>
      </w:pPr>
      <w:bookmarkStart w:id="20" w:name="_Toc9249174"/>
      <w:r w:rsidRPr="00AA2617">
        <w:rPr>
          <w:b/>
          <w:lang w:val="en-GB"/>
        </w:rPr>
        <w:t>G</w:t>
      </w:r>
      <w:r w:rsidR="00DA0BB8" w:rsidRPr="00AA2617">
        <w:rPr>
          <w:b/>
          <w:lang w:val="en-GB"/>
        </w:rPr>
        <w:t>aps and barriers</w:t>
      </w:r>
      <w:r w:rsidRPr="00AA2617">
        <w:rPr>
          <w:b/>
          <w:lang w:val="en-GB"/>
        </w:rPr>
        <w:t xml:space="preserve"> identified in previous reports</w:t>
      </w:r>
      <w:bookmarkEnd w:id="20"/>
    </w:p>
    <w:p w14:paraId="74690921" w14:textId="598333C7" w:rsidR="00DA0BB8" w:rsidRPr="00AA2617" w:rsidRDefault="006266E0" w:rsidP="00AA2617">
      <w:pPr>
        <w:pStyle w:val="NumberedParagraph"/>
        <w:ind w:left="360"/>
        <w:rPr>
          <w:sz w:val="22"/>
          <w:lang w:val="en-GB"/>
        </w:rPr>
      </w:pPr>
      <w:r w:rsidRPr="00AA2617">
        <w:rPr>
          <w:sz w:val="22"/>
          <w:lang w:val="en-GB"/>
        </w:rPr>
        <w:t>Sri Lanka</w:t>
      </w:r>
      <w:r w:rsidR="00DA0BB8" w:rsidRPr="00AA2617">
        <w:rPr>
          <w:sz w:val="22"/>
          <w:lang w:val="en-GB"/>
        </w:rPr>
        <w:t xml:space="preserve">’s previous climate-related reports have identified numerous priorities and gaps relevant to MRV in the AFOLU sector. In summary, various reports indicate the following thematic barriers to strengthened climate-related MRV in </w:t>
      </w:r>
      <w:r w:rsidR="00775A41" w:rsidRPr="00AA2617">
        <w:rPr>
          <w:sz w:val="22"/>
          <w:lang w:val="en-GB"/>
        </w:rPr>
        <w:t>Sri Lanka</w:t>
      </w:r>
      <w:r w:rsidR="00DA0BB8" w:rsidRPr="00AA2617">
        <w:rPr>
          <w:sz w:val="22"/>
          <w:lang w:val="en-GB"/>
        </w:rPr>
        <w:t>’s AFOLU sector.</w:t>
      </w:r>
    </w:p>
    <w:p w14:paraId="0E88077A" w14:textId="04DAC1F4" w:rsidR="00775A41" w:rsidRPr="00AA2617" w:rsidRDefault="00775A41" w:rsidP="00AA2617">
      <w:pPr>
        <w:pStyle w:val="NumberedParagraph"/>
        <w:ind w:left="360"/>
      </w:pPr>
      <w:r w:rsidRPr="00AA2617">
        <w:t xml:space="preserve">Food sector which includes agriculture (Rice, Fruits &amp; Vegetables, Other Field Crops, Sugar Cane, Tea, Coconut, Export Agricultural Crops etc.), Livestock (Dairy, Poultry etc.) and Fishery is one of the most vulnerable sectors to climate change impacts in Sri Lanka. Changing climate and weather patterns suggest high potential of negative impacts on food production, food security and natural resources in the </w:t>
      </w:r>
      <w:r w:rsidRPr="00AA2617">
        <w:lastRenderedPageBreak/>
        <w:t>country. The impending vagaries of climate change such as intense, uncertain, highly variable rainfall pattern and temperature, sea level rise, combined with deterioration and dwindling of natural resources emphasize the necessity of sustainable climate change adaptation technologies to increase the productivity, stability and resilience of the food sector.</w:t>
      </w:r>
    </w:p>
    <w:p w14:paraId="531E30E2" w14:textId="147C9361" w:rsidR="006D638C" w:rsidRPr="00AA2617" w:rsidRDefault="00775A41" w:rsidP="00AA2617">
      <w:pPr>
        <w:pStyle w:val="NumberedParagraph"/>
        <w:ind w:left="360"/>
      </w:pPr>
      <w:r w:rsidRPr="00AA2617">
        <w:t xml:space="preserve">With a view to utilize technological approaches that can be quickly harnessed for developing adaptation technologies to reduce vulnerability to climate change, </w:t>
      </w:r>
      <w:r w:rsidR="00ED7A0D" w:rsidRPr="00AA2617">
        <w:t>Nine (</w:t>
      </w:r>
      <w:r w:rsidRPr="00AA2617">
        <w:t>9</w:t>
      </w:r>
      <w:r w:rsidR="00ED7A0D" w:rsidRPr="00AA2617">
        <w:t>)</w:t>
      </w:r>
      <w:r w:rsidRPr="00AA2617">
        <w:t xml:space="preserve"> adaptation options were identified as priority technologies for consideration. The identification of technologies was guided by factors such as the adequacy of information available on the proposed technology, the probability of success or failure of the technology, cost, potential risks and the level of confidence of the sector specialists in the choice of the proposed technology. The technologies thus identified fall under the broad categories of crop/livestock/fishery management, sustainable water use and management, capacity building of stakeholder organization and sustainable land management.</w:t>
      </w:r>
      <w:r w:rsidR="006D638C" w:rsidRPr="00AA2617">
        <w:t xml:space="preserve"> The adaptation technology options identified are as follows; </w:t>
      </w:r>
    </w:p>
    <w:p w14:paraId="484630C8" w14:textId="15AC38B0" w:rsidR="006D638C" w:rsidRPr="00AA2617" w:rsidRDefault="006D638C" w:rsidP="00AA2617">
      <w:pPr>
        <w:pStyle w:val="NumberedParagraph"/>
        <w:numPr>
          <w:ilvl w:val="0"/>
          <w:numId w:val="35"/>
        </w:numPr>
        <w:ind w:left="1080"/>
        <w:contextualSpacing/>
        <w:rPr>
          <w:rFonts w:eastAsia="Arial Unicode MS"/>
          <w:szCs w:val="21"/>
          <w:lang w:eastAsia="en-GB" w:bidi="hi-IN"/>
        </w:rPr>
      </w:pPr>
      <w:r w:rsidRPr="00AA2617">
        <w:rPr>
          <w:rFonts w:eastAsia="Arial Unicode MS"/>
          <w:szCs w:val="21"/>
          <w:lang w:eastAsia="en-GB" w:bidi="hi-IN"/>
        </w:rPr>
        <w:t xml:space="preserve">Sustainable Land Management </w:t>
      </w:r>
    </w:p>
    <w:p w14:paraId="47CA4AF6" w14:textId="5BC28B6C" w:rsidR="006D638C" w:rsidRPr="00AA2617" w:rsidRDefault="006D638C" w:rsidP="00AA2617">
      <w:pPr>
        <w:pStyle w:val="NumberedParagraph"/>
        <w:numPr>
          <w:ilvl w:val="0"/>
          <w:numId w:val="35"/>
        </w:numPr>
        <w:ind w:left="1080"/>
        <w:contextualSpacing/>
        <w:rPr>
          <w:rFonts w:eastAsia="Arial Unicode MS"/>
          <w:szCs w:val="21"/>
          <w:lang w:eastAsia="en-GB" w:bidi="hi-IN"/>
        </w:rPr>
      </w:pPr>
      <w:r w:rsidRPr="00AA2617">
        <w:rPr>
          <w:rFonts w:eastAsia="Arial Unicode MS"/>
          <w:szCs w:val="21"/>
          <w:lang w:eastAsia="en-GB" w:bidi="hi-IN"/>
        </w:rPr>
        <w:t xml:space="preserve">Crop Diversification &amp; Precision Farming </w:t>
      </w:r>
    </w:p>
    <w:p w14:paraId="36AAA532" w14:textId="0D30BD53" w:rsidR="006D638C" w:rsidRPr="00AA2617" w:rsidRDefault="006D638C" w:rsidP="00AA2617">
      <w:pPr>
        <w:pStyle w:val="NumberedParagraph"/>
        <w:numPr>
          <w:ilvl w:val="0"/>
          <w:numId w:val="35"/>
        </w:numPr>
        <w:ind w:left="1080"/>
        <w:contextualSpacing/>
        <w:rPr>
          <w:rFonts w:eastAsia="Arial Unicode MS"/>
          <w:szCs w:val="21"/>
          <w:lang w:eastAsia="en-GB" w:bidi="hi-IN"/>
        </w:rPr>
      </w:pPr>
      <w:r w:rsidRPr="00AA2617">
        <w:rPr>
          <w:rFonts w:eastAsia="Arial Unicode MS"/>
          <w:szCs w:val="21"/>
          <w:lang w:eastAsia="en-GB" w:bidi="hi-IN"/>
        </w:rPr>
        <w:t xml:space="preserve">Ecological Pest and Disease Control </w:t>
      </w:r>
    </w:p>
    <w:p w14:paraId="4B90433C" w14:textId="1DF53BD2" w:rsidR="006D638C" w:rsidRPr="00AA2617" w:rsidRDefault="006D638C" w:rsidP="00AA2617">
      <w:pPr>
        <w:pStyle w:val="NumberedParagraph"/>
        <w:numPr>
          <w:ilvl w:val="0"/>
          <w:numId w:val="35"/>
        </w:numPr>
        <w:ind w:left="1080"/>
        <w:contextualSpacing/>
        <w:rPr>
          <w:rFonts w:eastAsia="Arial Unicode MS"/>
          <w:szCs w:val="21"/>
          <w:lang w:eastAsia="en-GB" w:bidi="hi-IN"/>
        </w:rPr>
      </w:pPr>
      <w:r w:rsidRPr="00AA2617">
        <w:rPr>
          <w:rFonts w:eastAsia="Arial Unicode MS"/>
          <w:szCs w:val="21"/>
          <w:lang w:eastAsia="en-GB" w:bidi="hi-IN"/>
        </w:rPr>
        <w:t xml:space="preserve">Rain Water Harvesting </w:t>
      </w:r>
    </w:p>
    <w:p w14:paraId="06DCD560" w14:textId="54166D64" w:rsidR="006D638C" w:rsidRPr="00AA2617" w:rsidRDefault="006D638C" w:rsidP="00AA2617">
      <w:pPr>
        <w:pStyle w:val="NumberedParagraph"/>
        <w:numPr>
          <w:ilvl w:val="0"/>
          <w:numId w:val="35"/>
        </w:numPr>
        <w:ind w:left="1080"/>
        <w:contextualSpacing/>
        <w:rPr>
          <w:rFonts w:eastAsia="Arial Unicode MS"/>
          <w:szCs w:val="21"/>
          <w:lang w:eastAsia="en-GB" w:bidi="hi-IN"/>
        </w:rPr>
      </w:pPr>
      <w:r w:rsidRPr="00AA2617">
        <w:rPr>
          <w:rFonts w:eastAsia="Arial Unicode MS"/>
          <w:szCs w:val="21"/>
          <w:lang w:eastAsia="en-GB" w:bidi="hi-IN"/>
        </w:rPr>
        <w:t xml:space="preserve">Solar-powered Drip Irrigation </w:t>
      </w:r>
    </w:p>
    <w:p w14:paraId="60F26990" w14:textId="2A45A2C8" w:rsidR="006D638C" w:rsidRPr="00AA2617" w:rsidRDefault="006D638C" w:rsidP="00AA2617">
      <w:pPr>
        <w:pStyle w:val="NumberedParagraph"/>
        <w:numPr>
          <w:ilvl w:val="0"/>
          <w:numId w:val="35"/>
        </w:numPr>
        <w:ind w:left="1080"/>
        <w:contextualSpacing/>
        <w:rPr>
          <w:rFonts w:eastAsia="Arial Unicode MS"/>
          <w:szCs w:val="21"/>
          <w:lang w:eastAsia="en-GB" w:bidi="hi-IN"/>
        </w:rPr>
      </w:pPr>
      <w:r w:rsidRPr="00AA2617">
        <w:rPr>
          <w:rFonts w:eastAsia="Arial Unicode MS"/>
          <w:szCs w:val="21"/>
          <w:lang w:eastAsia="en-GB" w:bidi="hi-IN"/>
        </w:rPr>
        <w:t xml:space="preserve">Development of Appropriate Breeds </w:t>
      </w:r>
    </w:p>
    <w:p w14:paraId="4EC8A12A" w14:textId="35210A16" w:rsidR="006D638C" w:rsidRPr="00AA2617" w:rsidRDefault="006D638C" w:rsidP="00AA2617">
      <w:pPr>
        <w:pStyle w:val="NumberedParagraph"/>
        <w:numPr>
          <w:ilvl w:val="0"/>
          <w:numId w:val="35"/>
        </w:numPr>
        <w:ind w:left="1080"/>
        <w:contextualSpacing/>
        <w:rPr>
          <w:rFonts w:eastAsia="Arial Unicode MS"/>
          <w:szCs w:val="21"/>
          <w:lang w:eastAsia="en-GB" w:bidi="hi-IN"/>
        </w:rPr>
      </w:pPr>
      <w:r w:rsidRPr="00AA2617">
        <w:rPr>
          <w:rFonts w:eastAsia="Arial Unicode MS"/>
          <w:szCs w:val="21"/>
          <w:lang w:eastAsia="en-GB" w:bidi="hi-IN"/>
        </w:rPr>
        <w:t xml:space="preserve">Development of Appropriate Varieties </w:t>
      </w:r>
    </w:p>
    <w:p w14:paraId="01DB98A9" w14:textId="7FFBD38F" w:rsidR="006D638C" w:rsidRPr="00AA2617" w:rsidRDefault="006D638C" w:rsidP="00AA2617">
      <w:pPr>
        <w:pStyle w:val="NumberedParagraph"/>
        <w:numPr>
          <w:ilvl w:val="0"/>
          <w:numId w:val="35"/>
        </w:numPr>
        <w:ind w:left="1080"/>
        <w:contextualSpacing/>
        <w:rPr>
          <w:rFonts w:eastAsia="Arial Unicode MS"/>
          <w:szCs w:val="21"/>
          <w:lang w:eastAsia="en-GB" w:bidi="hi-IN"/>
        </w:rPr>
      </w:pPr>
      <w:r w:rsidRPr="00AA2617">
        <w:rPr>
          <w:rFonts w:eastAsia="Arial Unicode MS"/>
          <w:szCs w:val="21"/>
          <w:lang w:eastAsia="en-GB" w:bidi="hi-IN"/>
        </w:rPr>
        <w:t xml:space="preserve">Responsive Agricultural Extension </w:t>
      </w:r>
    </w:p>
    <w:p w14:paraId="430589CD" w14:textId="2798F51A" w:rsidR="006D638C" w:rsidRPr="00AA2617" w:rsidRDefault="006D638C" w:rsidP="00AA2617">
      <w:pPr>
        <w:pStyle w:val="NumberedParagraph"/>
        <w:numPr>
          <w:ilvl w:val="0"/>
          <w:numId w:val="35"/>
        </w:numPr>
        <w:ind w:left="1080"/>
        <w:contextualSpacing/>
        <w:rPr>
          <w:rFonts w:eastAsia="Arial Unicode MS"/>
          <w:szCs w:val="21"/>
          <w:lang w:eastAsia="en-GB" w:bidi="hi-IN"/>
        </w:rPr>
      </w:pPr>
      <w:r w:rsidRPr="00AA2617">
        <w:rPr>
          <w:rFonts w:eastAsia="Arial Unicode MS"/>
          <w:szCs w:val="21"/>
          <w:lang w:eastAsia="en-GB" w:bidi="hi-IN"/>
        </w:rPr>
        <w:t>Sustainable Culture-Based Fisheries</w:t>
      </w:r>
    </w:p>
    <w:p w14:paraId="31FFBC9D" w14:textId="77777777" w:rsidR="004916D4" w:rsidRPr="00AA2617" w:rsidRDefault="004916D4" w:rsidP="00AA2617">
      <w:pPr>
        <w:pStyle w:val="NumberedParagraph"/>
        <w:numPr>
          <w:ilvl w:val="0"/>
          <w:numId w:val="0"/>
        </w:numPr>
        <w:ind w:left="1080"/>
        <w:contextualSpacing/>
        <w:rPr>
          <w:rFonts w:eastAsia="Arial Unicode MS"/>
          <w:szCs w:val="21"/>
          <w:lang w:eastAsia="en-GB" w:bidi="hi-IN"/>
        </w:rPr>
      </w:pPr>
    </w:p>
    <w:p w14:paraId="50E11F7C" w14:textId="57D3DB64" w:rsidR="006D638C" w:rsidRPr="00AA2617" w:rsidRDefault="006D638C" w:rsidP="00AA2617">
      <w:pPr>
        <w:pStyle w:val="NumberedParagraph"/>
        <w:ind w:left="360"/>
        <w:rPr>
          <w:szCs w:val="21"/>
          <w:lang w:val="en-GB"/>
        </w:rPr>
      </w:pPr>
      <w:r w:rsidRPr="00AA2617">
        <w:rPr>
          <w:szCs w:val="21"/>
        </w:rPr>
        <w:t xml:space="preserve">All the technologies identified are currently available in Sri Lanka. Of the proposed technologies, </w:t>
      </w:r>
      <w:r w:rsidRPr="00AA2617">
        <w:rPr>
          <w:b/>
          <w:bCs/>
          <w:i/>
          <w:iCs/>
          <w:szCs w:val="21"/>
        </w:rPr>
        <w:t>Rain Water Harvesting, Solar-powered Drip Irrigation, Responsive Agricultural Extension and Sustainable Culture-Based Fisheries</w:t>
      </w:r>
      <w:r w:rsidRPr="00AA2617">
        <w:rPr>
          <w:szCs w:val="21"/>
        </w:rPr>
        <w:t xml:space="preserve"> are proposed for short term implementation while the other technologies are to be implemented on long term basis.</w:t>
      </w:r>
    </w:p>
    <w:p w14:paraId="28AE1C71" w14:textId="6E587B2E" w:rsidR="0020031D" w:rsidRPr="00AA2617" w:rsidRDefault="001F0301" w:rsidP="00AA2617">
      <w:pPr>
        <w:pStyle w:val="NumberedParagraph"/>
        <w:ind w:left="360"/>
        <w:rPr>
          <w:szCs w:val="21"/>
        </w:rPr>
      </w:pPr>
      <w:r w:rsidRPr="00AA2617">
        <w:rPr>
          <w:szCs w:val="21"/>
        </w:rPr>
        <w:t xml:space="preserve">The technology prioritization (mentioned in paragraph 39) resulted in outlining three most important and technologies to be </w:t>
      </w:r>
      <w:r w:rsidR="0020031D" w:rsidRPr="00AA2617">
        <w:rPr>
          <w:szCs w:val="21"/>
        </w:rPr>
        <w:t>introduced in Sri Lanka. (1) Culture-based fisheries Crop diversification and precision farming, (2) Crop diversification and precision farming and (3) Sustainable land management</w:t>
      </w:r>
      <w:r w:rsidR="0020031D" w:rsidRPr="00AA2617">
        <w:rPr>
          <w:rStyle w:val="FootnoteReference"/>
          <w:szCs w:val="21"/>
          <w:lang w:val="en-GB"/>
        </w:rPr>
        <w:footnoteReference w:id="23"/>
      </w:r>
      <w:r w:rsidR="0020031D" w:rsidRPr="00AA2617">
        <w:rPr>
          <w:szCs w:val="21"/>
        </w:rPr>
        <w:t xml:space="preserve">. </w:t>
      </w:r>
    </w:p>
    <w:p w14:paraId="659E65A2" w14:textId="77777777" w:rsidR="00CF4708" w:rsidRPr="00AA2617" w:rsidRDefault="002009E6" w:rsidP="00AA2617">
      <w:pPr>
        <w:pStyle w:val="NumberedParagraph"/>
        <w:ind w:left="360"/>
        <w:rPr>
          <w:szCs w:val="21"/>
        </w:rPr>
      </w:pPr>
      <w:r w:rsidRPr="00AA2617">
        <w:rPr>
          <w:szCs w:val="21"/>
        </w:rPr>
        <w:t xml:space="preserve">Based on Second National Communication, the total aggregate emission was 20,798 GgCO2eq which comprised 61.4% from the energy sector (including transport), 25.0% from the agriculture sector, 10.8% from the waste sector, 2.6% from the industry sector and 0.2% from the land use change and forestry sector. Total removals from land use change and forestry was estimated to be 6,254 GgCO2eq. </w:t>
      </w:r>
    </w:p>
    <w:p w14:paraId="74BAA9A5" w14:textId="4B4911BA" w:rsidR="00E970A4" w:rsidRPr="00AA2617" w:rsidRDefault="00E970A4" w:rsidP="00AA2617">
      <w:pPr>
        <w:pStyle w:val="NumberedParagraph"/>
        <w:ind w:left="360"/>
        <w:rPr>
          <w:szCs w:val="21"/>
        </w:rPr>
      </w:pPr>
      <w:r w:rsidRPr="00AA2617">
        <w:rPr>
          <w:szCs w:val="21"/>
        </w:rPr>
        <w:t>Forest Reference Level (FRL) reported emission level is 4</w:t>
      </w:r>
      <w:r w:rsidR="004916D4" w:rsidRPr="00AA2617">
        <w:rPr>
          <w:szCs w:val="21"/>
        </w:rPr>
        <w:t>,</w:t>
      </w:r>
      <w:r w:rsidRPr="00AA2617">
        <w:rPr>
          <w:szCs w:val="21"/>
        </w:rPr>
        <w:t>529 GgCO2eq and removal level is 79 GgCO2eq on annual basis. FRL used Tier-1 approach and global emission factors to estimate emission and removal which needs to be updated. This is a major area in forestry sector where national species specific emission factors needs be generated. There is also a major challenge associated with activity data in forestry sector. Although Sri Lanka has its nationally classified</w:t>
      </w:r>
      <w:r w:rsidRPr="00AA2617">
        <w:rPr>
          <w:sz w:val="22"/>
        </w:rPr>
        <w:t xml:space="preserve"> </w:t>
      </w:r>
      <w:r w:rsidRPr="00AA2617">
        <w:rPr>
          <w:szCs w:val="21"/>
        </w:rPr>
        <w:t>forest cover maps but accuracy of these maps and activity data needs to improved. This needs adoption of improved methodology and technology, both at office and field level. Most of the gaps areas are identified in NDC (paragraph-31)</w:t>
      </w:r>
      <w:r w:rsidR="004916D4" w:rsidRPr="00AA2617">
        <w:rPr>
          <w:szCs w:val="21"/>
        </w:rPr>
        <w:t>.</w:t>
      </w:r>
      <w:r w:rsidRPr="00AA2617">
        <w:rPr>
          <w:szCs w:val="21"/>
        </w:rPr>
        <w:t xml:space="preserve">  </w:t>
      </w:r>
    </w:p>
    <w:p w14:paraId="3454D534" w14:textId="77777777" w:rsidR="00E970A4" w:rsidRPr="00AA2617" w:rsidRDefault="00E970A4" w:rsidP="00AA2617">
      <w:pPr>
        <w:pStyle w:val="NumberedParagraph"/>
        <w:ind w:left="360"/>
        <w:rPr>
          <w:szCs w:val="21"/>
        </w:rPr>
      </w:pPr>
      <w:r w:rsidRPr="00AA2617">
        <w:rPr>
          <w:szCs w:val="21"/>
        </w:rPr>
        <w:t xml:space="preserve">Other land use sectors are also major concerns. With respect to water, several authorities are directly involved: Mahaweli authority, Irrigation Department, Water resources Board and the provincial and local administrative councils. All the UNFCCC reporting  so far, and the training and sensitization efforts have  been focused around divisions under Ministerial portfolio of Environment which does not have complete jurisdiction over the water and waste sectors.  There are other crucial concerns such wetland restoration which is also under number of central agencies as well as local administrative agencies. A good example is the wetland restoration work around Colombo which was prioritized to </w:t>
      </w:r>
      <w:r w:rsidRPr="00AA2617">
        <w:rPr>
          <w:szCs w:val="21"/>
        </w:rPr>
        <w:lastRenderedPageBreak/>
        <w:t>control flash floods. Ministry of Disaster Management and Ministry of Western Development and Megapolis are other agencies in charge of land-use related critical decision making.</w:t>
      </w:r>
    </w:p>
    <w:p w14:paraId="066803C9" w14:textId="0A2EA870" w:rsidR="00E970A4" w:rsidRPr="00AA2617" w:rsidRDefault="00E970A4" w:rsidP="00AA2617">
      <w:pPr>
        <w:pStyle w:val="NumberedParagraph"/>
        <w:ind w:left="360"/>
        <w:rPr>
          <w:szCs w:val="21"/>
          <w:lang w:val="en-GB"/>
        </w:rPr>
      </w:pPr>
      <w:r w:rsidRPr="00AA2617">
        <w:rPr>
          <w:szCs w:val="21"/>
          <w:lang w:val="en-GB"/>
        </w:rPr>
        <w:t>MRV of AFOLU sectors is burdened with extensive c</w:t>
      </w:r>
      <w:r w:rsidR="004916D4" w:rsidRPr="00AA2617">
        <w:rPr>
          <w:szCs w:val="21"/>
          <w:lang w:val="en-GB"/>
        </w:rPr>
        <w:t>o</w:t>
      </w:r>
      <w:r w:rsidRPr="00AA2617">
        <w:rPr>
          <w:szCs w:val="21"/>
          <w:lang w:val="en-GB"/>
        </w:rPr>
        <w:t>ordination needs and efficient protocols for</w:t>
      </w:r>
      <w:r w:rsidR="009A4597" w:rsidRPr="00AA2617">
        <w:rPr>
          <w:szCs w:val="21"/>
          <w:lang w:val="en-GB"/>
        </w:rPr>
        <w:t xml:space="preserve"> d</w:t>
      </w:r>
      <w:r w:rsidRPr="00AA2617">
        <w:rPr>
          <w:szCs w:val="21"/>
          <w:lang w:val="en-GB"/>
        </w:rPr>
        <w:t>ata sharing, data access and transparency. The current institutional linkages of CCS are not conducive to efficient MRV practices. The CCS proposes establishing a climate unit/cell within each key stakeholder institutions at regional level to procure and report to CCS. For agriculture, it is proposed to install the climate cell at Provincial Dept. of Agrarian Development, Provincial Dept. of Agriculture, and Provincial Dept. of Animal Production and Health. For forestry sector, CCS proposes climate cells at Forest Department, State Timber Corporation (nationally and provincially). For other land use sectors, climate cells are recommended at UDA, RDA, and LUPPD, both at National and at Provincial level.</w:t>
      </w:r>
    </w:p>
    <w:p w14:paraId="27850241" w14:textId="1F2E41AC" w:rsidR="00E970A4" w:rsidRPr="00AA2617" w:rsidRDefault="004916D4" w:rsidP="00AA2617">
      <w:pPr>
        <w:pStyle w:val="NumberedParagraph"/>
        <w:ind w:left="360"/>
        <w:rPr>
          <w:szCs w:val="21"/>
          <w:lang w:val="en-GB"/>
        </w:rPr>
      </w:pPr>
      <w:r w:rsidRPr="00AA2617">
        <w:rPr>
          <w:szCs w:val="21"/>
          <w:lang w:val="en-GB"/>
        </w:rPr>
        <w:t>O</w:t>
      </w:r>
      <w:r w:rsidR="00E970A4" w:rsidRPr="00AA2617">
        <w:rPr>
          <w:szCs w:val="21"/>
          <w:lang w:val="en-GB"/>
        </w:rPr>
        <w:t xml:space="preserve">perations and CC communications to UNFCCC </w:t>
      </w:r>
      <w:r w:rsidRPr="00AA2617">
        <w:rPr>
          <w:szCs w:val="21"/>
          <w:lang w:val="en-GB"/>
        </w:rPr>
        <w:t xml:space="preserve">have </w:t>
      </w:r>
      <w:r w:rsidR="00E970A4" w:rsidRPr="00AA2617">
        <w:rPr>
          <w:szCs w:val="21"/>
          <w:lang w:val="en-GB"/>
        </w:rPr>
        <w:t xml:space="preserve">been so far conducted under project funding through international agencies. While there is a very significant in–kind contribution by state agencies in facilitating the UNFCCC reporting obligations, the capacity development of MRV is hindered by the lack of resources. The annual budgets of the line ministries are not sufficient to conduct programming related to MRV recommended by UNFCCC and IPCC guidelines. The institutional processes are needed in place of consultancy-driven framework for sustainability and local ownership. The budgeted cost of programming on CC related work with a substantive MRV component were recorded as approx. LKR 498 million for 2016 (annual performance report, 2016 MMDE). </w:t>
      </w:r>
    </w:p>
    <w:p w14:paraId="1687C3B9" w14:textId="716C3DD6" w:rsidR="00E970A4" w:rsidRPr="00AA2617" w:rsidRDefault="00E970A4" w:rsidP="00AA2617">
      <w:pPr>
        <w:pStyle w:val="NumberedParagraph"/>
        <w:ind w:left="360"/>
        <w:rPr>
          <w:szCs w:val="21"/>
          <w:lang w:val="en-GB"/>
        </w:rPr>
      </w:pPr>
      <w:r w:rsidRPr="00AA2617">
        <w:rPr>
          <w:szCs w:val="21"/>
          <w:lang w:val="en-GB"/>
        </w:rPr>
        <w:t xml:space="preserve">Current institutional arrangements do not fully facilitate meeting Sri Lanka’s MRV commitments under the Paris Agreement. Sri Lanka’s commitments under multi-lateral environmental agreements (MEAs) are generally not institutionalized beyond the nationally designated authority (NDA). For example, obligations for data-collection and reporting for national communications are generally not reflected in the mandates, performance criteria, or budgets of line agencies.  </w:t>
      </w:r>
    </w:p>
    <w:p w14:paraId="4088C83E" w14:textId="284966CD" w:rsidR="00DA0BB8" w:rsidRPr="00AA2617" w:rsidRDefault="00DA0BB8" w:rsidP="00AA2617">
      <w:pPr>
        <w:pStyle w:val="NumberedParagraph"/>
        <w:ind w:left="360"/>
        <w:rPr>
          <w:szCs w:val="21"/>
          <w:lang w:val="en-GB"/>
        </w:rPr>
      </w:pPr>
      <w:r w:rsidRPr="00AA2617">
        <w:rPr>
          <w:szCs w:val="21"/>
          <w:lang w:val="en-GB"/>
        </w:rPr>
        <w:t>Technical and budgetary challenges have impeded intention to provide guidance to supporting agencies on ETF-compliant data-collection and data-sharing.</w:t>
      </w:r>
      <w:r w:rsidR="003912A9" w:rsidRPr="00AA2617">
        <w:rPr>
          <w:szCs w:val="21"/>
          <w:lang w:val="en-GB"/>
        </w:rPr>
        <w:t xml:space="preserve"> </w:t>
      </w:r>
      <w:r w:rsidRPr="00AA2617">
        <w:rPr>
          <w:szCs w:val="21"/>
          <w:lang w:val="en-GB"/>
        </w:rPr>
        <w:t xml:space="preserve">Drafting of those guidelines has stalled due to uncertainties about how to (i) overcome certain technical and operational challenges and (ii) provide contributing agencies with adequate funding and technical assistance. Although relevant information exists, stakeholders have limited awareness of its availability and means of access. Agencies that maintain the relevant information are sometimes uncertain of constraints on sharing the data.  Therefore, there is limited, </w:t>
      </w:r>
      <w:r w:rsidRPr="00AA2617">
        <w:rPr>
          <w:i/>
          <w:szCs w:val="21"/>
          <w:lang w:val="en-GB"/>
        </w:rPr>
        <w:t>ad hoc</w:t>
      </w:r>
      <w:r w:rsidRPr="00AA2617">
        <w:rPr>
          <w:szCs w:val="21"/>
          <w:lang w:val="en-GB"/>
        </w:rPr>
        <w:t xml:space="preserve"> coordination and information-sharing between agencies.</w:t>
      </w:r>
    </w:p>
    <w:p w14:paraId="5A76C578" w14:textId="5AA92112" w:rsidR="001A3FBB" w:rsidRPr="00AA2617" w:rsidRDefault="001F23D7" w:rsidP="00AA2617">
      <w:pPr>
        <w:pStyle w:val="NumberedParagraph"/>
        <w:ind w:left="360"/>
        <w:rPr>
          <w:sz w:val="22"/>
          <w:lang w:val="en-GB"/>
        </w:rPr>
      </w:pPr>
      <w:r w:rsidRPr="00AA2617">
        <w:rPr>
          <w:sz w:val="22"/>
          <w:lang w:val="en-GB"/>
        </w:rPr>
        <w:t>F</w:t>
      </w:r>
      <w:r w:rsidR="00DA0BB8" w:rsidRPr="00AA2617">
        <w:rPr>
          <w:sz w:val="22"/>
          <w:lang w:val="en-GB"/>
        </w:rPr>
        <w:t xml:space="preserve">unding is not reliably sufficient to conduct regular MRV or to maintain staffing. </w:t>
      </w:r>
      <w:r w:rsidR="001A3FBB" w:rsidRPr="00AA2617">
        <w:rPr>
          <w:sz w:val="22"/>
          <w:lang w:val="en-GB"/>
        </w:rPr>
        <w:t xml:space="preserve">There are significant uncertainties about the sources, preconditions, amounts, and reliability of potential long-term funding sources. In general, MRV outputs are public goods that are not easily linked to market-based funding sources.  </w:t>
      </w:r>
      <w:r w:rsidR="00530854" w:rsidRPr="00AA2617">
        <w:rPr>
          <w:sz w:val="22"/>
          <w:lang w:val="en-GB"/>
        </w:rPr>
        <w:t xml:space="preserve">A </w:t>
      </w:r>
      <w:r w:rsidR="003912A9" w:rsidRPr="00AA2617">
        <w:rPr>
          <w:sz w:val="22"/>
          <w:lang w:val="en-GB"/>
        </w:rPr>
        <w:t>single window m</w:t>
      </w:r>
      <w:r w:rsidR="001A3FBB" w:rsidRPr="00AA2617">
        <w:rPr>
          <w:sz w:val="22"/>
          <w:lang w:val="en-GB"/>
        </w:rPr>
        <w:t>echanism</w:t>
      </w:r>
      <w:r w:rsidR="003912A9" w:rsidRPr="00AA2617">
        <w:rPr>
          <w:sz w:val="22"/>
          <w:lang w:val="en-GB"/>
        </w:rPr>
        <w:t xml:space="preserve"> should be in place for MRV related activity data.</w:t>
      </w:r>
    </w:p>
    <w:p w14:paraId="54FA702C" w14:textId="77777777" w:rsidR="00530854" w:rsidRPr="00AA2617" w:rsidRDefault="00530854" w:rsidP="00AA2617">
      <w:pPr>
        <w:pStyle w:val="NumberedParagraph"/>
        <w:ind w:left="360"/>
        <w:rPr>
          <w:sz w:val="22"/>
          <w:lang w:val="en-GB"/>
        </w:rPr>
      </w:pPr>
      <w:r w:rsidRPr="00AA2617">
        <w:rPr>
          <w:sz w:val="22"/>
          <w:lang w:val="en-GB"/>
        </w:rPr>
        <w:t>Most MRV activities are conducted with project-based funding, which supports relevant cadre positions for the duration of a project.  Breaks between projects and insufficient funding for full period of task result in employee turnover, which increases costs for capacity development and technical assistance.  These challenges are compounded by contextual factors.  Thus, data-collection—the foundation of MRV—poses a substantial technical and budgetary challenge.  Measurement is a precondition for reporting, which is a precondition for verification.  At present, insufficient measurement is the primary constraint on AFOLU MRV in Sri Lanka.  Thus, cost-efficient options (e.g., proxy measures; improving existing data and systems based on assessments of accuracy and quality) are important for the financial sustainability of these systems.</w:t>
      </w:r>
    </w:p>
    <w:p w14:paraId="3B109CF4" w14:textId="007F1CAA" w:rsidR="00DA0BB8" w:rsidRPr="00AA2617" w:rsidRDefault="003912A9" w:rsidP="00AA2617">
      <w:pPr>
        <w:pStyle w:val="NumberedParagraph"/>
        <w:ind w:left="360"/>
        <w:rPr>
          <w:sz w:val="22"/>
          <w:lang w:val="en-GB"/>
        </w:rPr>
      </w:pPr>
      <w:r w:rsidRPr="00AA2617">
        <w:rPr>
          <w:sz w:val="22"/>
          <w:lang w:val="en-GB"/>
        </w:rPr>
        <w:t>Sri Lanka</w:t>
      </w:r>
      <w:r w:rsidR="00DA0BB8" w:rsidRPr="00AA2617">
        <w:rPr>
          <w:sz w:val="22"/>
          <w:lang w:val="en-GB"/>
        </w:rPr>
        <w:t xml:space="preserve"> has insufficient capacities for (i) country-specific ETF reporting and (ii) reporting on climate-</w:t>
      </w:r>
      <w:r w:rsidR="007B7B5F" w:rsidRPr="00AA2617">
        <w:rPr>
          <w:sz w:val="22"/>
          <w:lang w:val="en-GB"/>
        </w:rPr>
        <w:t xml:space="preserve">related </w:t>
      </w:r>
      <w:r w:rsidR="00DA0BB8" w:rsidRPr="00AA2617">
        <w:rPr>
          <w:sz w:val="22"/>
          <w:lang w:val="en-GB"/>
        </w:rPr>
        <w:t xml:space="preserve">adaptation with adequate quality to guide national policies.  These shortfalls in capacity relate to funding (as above), human resources, technology, and technical training.  For example, </w:t>
      </w:r>
      <w:r w:rsidRPr="00AA2617">
        <w:rPr>
          <w:sz w:val="22"/>
          <w:lang w:val="en-GB"/>
        </w:rPr>
        <w:t>Climate Change Secretariat (CCS)</w:t>
      </w:r>
      <w:r w:rsidR="00DA0BB8" w:rsidRPr="00AA2617">
        <w:rPr>
          <w:sz w:val="22"/>
          <w:lang w:val="en-GB"/>
        </w:rPr>
        <w:t xml:space="preserve"> hires consultants according to project-based funding.  This arrangement often means that a given topic is addressed by different consultants for different reports.  Therefore, </w:t>
      </w:r>
      <w:r w:rsidRPr="00AA2617">
        <w:rPr>
          <w:sz w:val="22"/>
          <w:lang w:val="en-GB"/>
        </w:rPr>
        <w:t>CCS</w:t>
      </w:r>
      <w:r w:rsidR="00DA0BB8" w:rsidRPr="00AA2617">
        <w:rPr>
          <w:sz w:val="22"/>
          <w:lang w:val="en-GB"/>
        </w:rPr>
        <w:t xml:space="preserve"> faces the added challenge of coordinating knowledge-management and knowledge-retention to ensure consistency and continuity across reports.  These capacity-related shortcomings also extend laterally to other supporting institutions</w:t>
      </w:r>
      <w:r w:rsidR="00530854" w:rsidRPr="00AA2617">
        <w:rPr>
          <w:sz w:val="22"/>
          <w:lang w:val="en-GB"/>
        </w:rPr>
        <w:t>.</w:t>
      </w:r>
      <w:r w:rsidR="001F23D7" w:rsidRPr="00AA2617">
        <w:rPr>
          <w:sz w:val="22"/>
          <w:lang w:val="en-GB"/>
        </w:rPr>
        <w:t xml:space="preserve"> </w:t>
      </w:r>
    </w:p>
    <w:p w14:paraId="07620EC4" w14:textId="68B962CD" w:rsidR="00DA0BB8" w:rsidRPr="00AA2617" w:rsidRDefault="00DA0BB8" w:rsidP="00AA2617">
      <w:pPr>
        <w:keepNext/>
        <w:keepLines/>
        <w:spacing w:before="240"/>
        <w:jc w:val="center"/>
        <w:rPr>
          <w:sz w:val="22"/>
          <w:lang w:val="en-GB"/>
        </w:rPr>
      </w:pPr>
      <w:r w:rsidRPr="00AA2617">
        <w:rPr>
          <w:sz w:val="22"/>
          <w:lang w:val="en-GB"/>
        </w:rPr>
        <w:lastRenderedPageBreak/>
        <w:t xml:space="preserve">Table </w:t>
      </w:r>
      <w:r w:rsidR="00BE79EE" w:rsidRPr="00AA2617">
        <w:rPr>
          <w:sz w:val="22"/>
          <w:lang w:val="en-GB"/>
        </w:rPr>
        <w:t>4</w:t>
      </w:r>
      <w:r w:rsidRPr="00AA2617">
        <w:rPr>
          <w:sz w:val="22"/>
          <w:lang w:val="en-GB"/>
        </w:rPr>
        <w:t>.  Previously Identified Barriers and Needs Related to AFOLU MRV</w:t>
      </w:r>
      <w:r w:rsidRPr="00AA2617">
        <w:rPr>
          <w:rStyle w:val="FootnoteReference"/>
          <w:sz w:val="22"/>
          <w:lang w:val="en-GB"/>
        </w:rPr>
        <w:footnoteReference w:id="24"/>
      </w:r>
      <w:r w:rsidRPr="00AA2617">
        <w:rPr>
          <w:sz w:val="22"/>
          <w:vertAlign w:val="superscript"/>
          <w:lang w:val="en-GB"/>
        </w:rPr>
        <w:t xml:space="preserve">, </w:t>
      </w:r>
    </w:p>
    <w:tbl>
      <w:tblPr>
        <w:tblStyle w:val="TableGrid"/>
        <w:tblW w:w="0" w:type="auto"/>
        <w:tblLook w:val="04A0" w:firstRow="1" w:lastRow="0" w:firstColumn="1" w:lastColumn="0" w:noHBand="0" w:noVBand="1"/>
      </w:tblPr>
      <w:tblGrid>
        <w:gridCol w:w="9016"/>
      </w:tblGrid>
      <w:tr w:rsidR="00DA0BB8" w:rsidRPr="00AA2617" w14:paraId="1B22C423" w14:textId="77777777" w:rsidTr="00A666CE">
        <w:tc>
          <w:tcPr>
            <w:tcW w:w="9016" w:type="dxa"/>
            <w:shd w:val="clear" w:color="auto" w:fill="B4C6E7" w:themeFill="accent1" w:themeFillTint="66"/>
          </w:tcPr>
          <w:p w14:paraId="50670474" w14:textId="7A6A6A1A" w:rsidR="00DA0BB8" w:rsidRPr="00AA2617" w:rsidRDefault="00DA0BB8" w:rsidP="00AA2617">
            <w:pPr>
              <w:keepNext/>
              <w:jc w:val="center"/>
              <w:rPr>
                <w:sz w:val="20"/>
                <w:szCs w:val="20"/>
                <w:lang w:val="en-GB"/>
              </w:rPr>
            </w:pPr>
            <w:r w:rsidRPr="00AA2617">
              <w:rPr>
                <w:sz w:val="20"/>
                <w:szCs w:val="20"/>
                <w:lang w:val="en-GB"/>
              </w:rPr>
              <w:t xml:space="preserve">National Capacity </w:t>
            </w:r>
            <w:r w:rsidR="00DE35C2" w:rsidRPr="00AA2617">
              <w:rPr>
                <w:sz w:val="20"/>
                <w:szCs w:val="20"/>
                <w:lang w:val="en-GB"/>
              </w:rPr>
              <w:t xml:space="preserve">Needs </w:t>
            </w:r>
            <w:r w:rsidRPr="00AA2617">
              <w:rPr>
                <w:sz w:val="20"/>
                <w:szCs w:val="20"/>
                <w:lang w:val="en-GB"/>
              </w:rPr>
              <w:t>Self-assessment (200</w:t>
            </w:r>
            <w:r w:rsidR="00DE35C2" w:rsidRPr="00AA2617">
              <w:rPr>
                <w:sz w:val="20"/>
                <w:szCs w:val="20"/>
                <w:lang w:val="en-GB"/>
              </w:rPr>
              <w:t>7</w:t>
            </w:r>
            <w:r w:rsidRPr="00AA2617">
              <w:rPr>
                <w:sz w:val="20"/>
                <w:szCs w:val="20"/>
                <w:lang w:val="en-GB"/>
              </w:rPr>
              <w:t>)</w:t>
            </w:r>
          </w:p>
        </w:tc>
      </w:tr>
      <w:tr w:rsidR="00DA0BB8" w:rsidRPr="00AA2617" w14:paraId="238A261F" w14:textId="77777777" w:rsidTr="00A666CE">
        <w:tc>
          <w:tcPr>
            <w:tcW w:w="9016" w:type="dxa"/>
          </w:tcPr>
          <w:p w14:paraId="5795EEA1" w14:textId="5A76A2F9" w:rsidR="007E0EA1" w:rsidRPr="00AA2617" w:rsidRDefault="00B24D69" w:rsidP="00AA2617">
            <w:pPr>
              <w:autoSpaceDE w:val="0"/>
              <w:autoSpaceDN w:val="0"/>
              <w:adjustRightInd w:val="0"/>
              <w:jc w:val="left"/>
              <w:rPr>
                <w:rFonts w:cs="Times New Roman"/>
                <w:b/>
                <w:bCs/>
                <w:color w:val="000000"/>
                <w:sz w:val="22"/>
                <w:lang w:val="en-GB"/>
              </w:rPr>
            </w:pPr>
            <w:r w:rsidRPr="00AA2617">
              <w:rPr>
                <w:rFonts w:cs="Times New Roman"/>
                <w:b/>
                <w:bCs/>
                <w:color w:val="000000"/>
                <w:sz w:val="22"/>
                <w:lang w:val="en-GB"/>
              </w:rPr>
              <w:t>R</w:t>
            </w:r>
            <w:r w:rsidR="007E0EA1" w:rsidRPr="00AA2617">
              <w:rPr>
                <w:rFonts w:cs="Times New Roman"/>
                <w:b/>
                <w:bCs/>
                <w:color w:val="000000"/>
                <w:sz w:val="22"/>
                <w:lang w:val="en-GB"/>
              </w:rPr>
              <w:t>ecommendations for Capacity Intervention</w:t>
            </w:r>
            <w:r w:rsidR="00BA1C4C" w:rsidRPr="00AA2617">
              <w:rPr>
                <w:rFonts w:cs="Times New Roman"/>
                <w:b/>
                <w:bCs/>
                <w:color w:val="000000"/>
                <w:sz w:val="22"/>
                <w:lang w:val="en-GB"/>
              </w:rPr>
              <w:t xml:space="preserve"> in National Capacity Needs Self Assessment Report of Sri Lanka</w:t>
            </w:r>
          </w:p>
          <w:p w14:paraId="2DF07C78" w14:textId="0CBDD68B" w:rsidR="007E0EA1" w:rsidRPr="00AA2617" w:rsidRDefault="007E0EA1" w:rsidP="00AA2617">
            <w:pPr>
              <w:autoSpaceDE w:val="0"/>
              <w:autoSpaceDN w:val="0"/>
              <w:adjustRightInd w:val="0"/>
              <w:jc w:val="left"/>
              <w:rPr>
                <w:rFonts w:cs="Times New Roman"/>
                <w:b/>
                <w:bCs/>
                <w:color w:val="000000"/>
                <w:sz w:val="22"/>
                <w:lang w:val="en-GB"/>
              </w:rPr>
            </w:pPr>
            <w:r w:rsidRPr="00AA2617">
              <w:rPr>
                <w:rFonts w:cs="Times New Roman"/>
                <w:b/>
                <w:bCs/>
                <w:color w:val="000000"/>
                <w:sz w:val="22"/>
                <w:lang w:val="en-GB"/>
              </w:rPr>
              <w:t>I. Cross cutting capacity development</w:t>
            </w:r>
            <w:r w:rsidR="001D2927" w:rsidRPr="00AA2617">
              <w:rPr>
                <w:rFonts w:cs="Times New Roman"/>
                <w:b/>
                <w:bCs/>
                <w:color w:val="000000"/>
                <w:sz w:val="22"/>
                <w:lang w:val="en-GB"/>
              </w:rPr>
              <w:t>:</w:t>
            </w:r>
          </w:p>
          <w:p w14:paraId="25C5C51E" w14:textId="4C00D52D" w:rsidR="007E0EA1"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Formulate and institute national policies, as required, through a wide consultative process. For</w:t>
            </w:r>
            <w:r w:rsidR="00B24D69" w:rsidRPr="00AA2617">
              <w:rPr>
                <w:rFonts w:cs="Times New Roman"/>
                <w:color w:val="000000"/>
                <w:sz w:val="22"/>
                <w:lang w:val="en-GB"/>
              </w:rPr>
              <w:t xml:space="preserve"> example,</w:t>
            </w:r>
            <w:r w:rsidRPr="00AA2617">
              <w:rPr>
                <w:rFonts w:cs="Times New Roman"/>
                <w:color w:val="000000"/>
                <w:sz w:val="22"/>
                <w:lang w:val="en-GB"/>
              </w:rPr>
              <w:t xml:space="preserve"> development of policy for</w:t>
            </w:r>
            <w:r w:rsidR="00B24D69" w:rsidRPr="00AA2617">
              <w:rPr>
                <w:rFonts w:cs="Times New Roman"/>
                <w:color w:val="000000"/>
                <w:sz w:val="22"/>
                <w:lang w:val="en-GB"/>
              </w:rPr>
              <w:t>;</w:t>
            </w:r>
          </w:p>
          <w:p w14:paraId="3D732668" w14:textId="6853A180" w:rsidR="00B24D69" w:rsidRPr="00AA2617" w:rsidRDefault="007E0EA1" w:rsidP="00AA2617">
            <w:pPr>
              <w:pStyle w:val="ListParagraph"/>
              <w:numPr>
                <w:ilvl w:val="0"/>
                <w:numId w:val="37"/>
              </w:numPr>
              <w:autoSpaceDE w:val="0"/>
              <w:autoSpaceDN w:val="0"/>
              <w:adjustRightInd w:val="0"/>
              <w:jc w:val="left"/>
              <w:rPr>
                <w:rFonts w:cs="Times New Roman"/>
                <w:color w:val="000000"/>
                <w:sz w:val="22"/>
                <w:lang w:val="en-GB"/>
              </w:rPr>
            </w:pPr>
            <w:r w:rsidRPr="00AA2617">
              <w:rPr>
                <w:rFonts w:cs="Times New Roman"/>
                <w:color w:val="000000"/>
                <w:sz w:val="22"/>
                <w:lang w:val="en-GB"/>
              </w:rPr>
              <w:t>Access to genetic resources &amp; benefit sharing, including traditional knowledge</w:t>
            </w:r>
            <w:r w:rsidR="00B24D69" w:rsidRPr="00AA2617">
              <w:rPr>
                <w:rFonts w:cs="Times New Roman"/>
                <w:color w:val="000000"/>
                <w:sz w:val="22"/>
                <w:lang w:val="en-GB"/>
              </w:rPr>
              <w:t xml:space="preserve"> </w:t>
            </w:r>
            <w:r w:rsidRPr="00AA2617">
              <w:rPr>
                <w:rFonts w:cs="Times New Roman"/>
                <w:color w:val="000000"/>
                <w:sz w:val="22"/>
                <w:lang w:val="en-GB"/>
              </w:rPr>
              <w:t xml:space="preserve">associated with genetic resources and benefit sharing with TK holders; </w:t>
            </w:r>
          </w:p>
          <w:p w14:paraId="461F9453" w14:textId="41D38688" w:rsidR="00B24D69" w:rsidRPr="00AA2617" w:rsidRDefault="007E0EA1" w:rsidP="00AA2617">
            <w:pPr>
              <w:pStyle w:val="ListParagraph"/>
              <w:numPr>
                <w:ilvl w:val="0"/>
                <w:numId w:val="37"/>
              </w:numPr>
              <w:autoSpaceDE w:val="0"/>
              <w:autoSpaceDN w:val="0"/>
              <w:adjustRightInd w:val="0"/>
              <w:jc w:val="left"/>
              <w:rPr>
                <w:rFonts w:cs="Times New Roman"/>
                <w:color w:val="000000"/>
                <w:sz w:val="22"/>
                <w:lang w:val="en-GB"/>
              </w:rPr>
            </w:pPr>
            <w:r w:rsidRPr="00AA2617">
              <w:rPr>
                <w:rFonts w:cs="Times New Roman"/>
                <w:color w:val="000000"/>
                <w:sz w:val="22"/>
                <w:lang w:val="en-GB"/>
              </w:rPr>
              <w:t xml:space="preserve">Biotechnology using genetic resources within ABS regime; </w:t>
            </w:r>
          </w:p>
          <w:p w14:paraId="01F0DC4D" w14:textId="6156A248" w:rsidR="00B24D69" w:rsidRPr="00AA2617" w:rsidRDefault="007E0EA1" w:rsidP="00AA2617">
            <w:pPr>
              <w:pStyle w:val="ListParagraph"/>
              <w:numPr>
                <w:ilvl w:val="0"/>
                <w:numId w:val="37"/>
              </w:numPr>
              <w:autoSpaceDE w:val="0"/>
              <w:autoSpaceDN w:val="0"/>
              <w:adjustRightInd w:val="0"/>
              <w:jc w:val="left"/>
              <w:rPr>
                <w:rFonts w:cs="Times New Roman"/>
                <w:color w:val="000000"/>
                <w:sz w:val="22"/>
                <w:lang w:val="en-GB"/>
              </w:rPr>
            </w:pPr>
            <w:r w:rsidRPr="00AA2617">
              <w:rPr>
                <w:rFonts w:cs="Times New Roman"/>
                <w:color w:val="000000"/>
                <w:sz w:val="22"/>
                <w:lang w:val="en-GB"/>
              </w:rPr>
              <w:t>data &amp; information</w:t>
            </w:r>
            <w:r w:rsidR="00B24D69" w:rsidRPr="00AA2617">
              <w:rPr>
                <w:rFonts w:cs="Times New Roman"/>
                <w:color w:val="000000"/>
                <w:sz w:val="22"/>
                <w:lang w:val="en-GB"/>
              </w:rPr>
              <w:t xml:space="preserve"> </w:t>
            </w:r>
            <w:r w:rsidRPr="00AA2617">
              <w:rPr>
                <w:rFonts w:cs="Times New Roman"/>
                <w:color w:val="000000"/>
                <w:sz w:val="22"/>
                <w:lang w:val="en-GB"/>
              </w:rPr>
              <w:t xml:space="preserve">management; </w:t>
            </w:r>
          </w:p>
          <w:p w14:paraId="05CE319F" w14:textId="026117BF" w:rsidR="00B24D69" w:rsidRPr="00AA2617" w:rsidRDefault="007E0EA1" w:rsidP="00AA2617">
            <w:pPr>
              <w:pStyle w:val="ListParagraph"/>
              <w:numPr>
                <w:ilvl w:val="0"/>
                <w:numId w:val="37"/>
              </w:numPr>
              <w:autoSpaceDE w:val="0"/>
              <w:autoSpaceDN w:val="0"/>
              <w:adjustRightInd w:val="0"/>
              <w:jc w:val="left"/>
              <w:rPr>
                <w:rFonts w:cs="Times New Roman"/>
                <w:color w:val="000000"/>
                <w:sz w:val="22"/>
                <w:lang w:val="en-GB"/>
              </w:rPr>
            </w:pPr>
            <w:r w:rsidRPr="00AA2617">
              <w:rPr>
                <w:rFonts w:cs="Times New Roman"/>
                <w:color w:val="000000"/>
                <w:sz w:val="22"/>
                <w:lang w:val="en-GB"/>
              </w:rPr>
              <w:t xml:space="preserve">on national network of protected areas; </w:t>
            </w:r>
          </w:p>
          <w:p w14:paraId="3E33DA47" w14:textId="2E0876A4" w:rsidR="00B24D69" w:rsidRPr="00AA2617" w:rsidRDefault="007E0EA1" w:rsidP="00AA2617">
            <w:pPr>
              <w:pStyle w:val="ListParagraph"/>
              <w:numPr>
                <w:ilvl w:val="0"/>
                <w:numId w:val="37"/>
              </w:numPr>
              <w:autoSpaceDE w:val="0"/>
              <w:autoSpaceDN w:val="0"/>
              <w:adjustRightInd w:val="0"/>
              <w:jc w:val="left"/>
              <w:rPr>
                <w:rFonts w:cs="Times New Roman"/>
                <w:color w:val="000000"/>
                <w:sz w:val="22"/>
                <w:lang w:val="en-GB"/>
              </w:rPr>
            </w:pPr>
            <w:r w:rsidRPr="00AA2617">
              <w:rPr>
                <w:rFonts w:cs="Times New Roman"/>
                <w:color w:val="000000"/>
                <w:sz w:val="22"/>
                <w:lang w:val="en-GB"/>
              </w:rPr>
              <w:t>on conservation &amp;</w:t>
            </w:r>
            <w:r w:rsidR="00B24D69" w:rsidRPr="00AA2617">
              <w:rPr>
                <w:rFonts w:cs="Times New Roman"/>
                <w:color w:val="000000"/>
                <w:sz w:val="22"/>
                <w:lang w:val="en-GB"/>
              </w:rPr>
              <w:t xml:space="preserve"> </w:t>
            </w:r>
            <w:r w:rsidRPr="00AA2617">
              <w:rPr>
                <w:rFonts w:cs="Times New Roman"/>
                <w:color w:val="000000"/>
                <w:sz w:val="22"/>
                <w:lang w:val="en-GB"/>
              </w:rPr>
              <w:t xml:space="preserve">sustainable use of livestock biodiversity, in livestock development policy; </w:t>
            </w:r>
          </w:p>
          <w:p w14:paraId="329BFA45" w14:textId="6B083B44" w:rsidR="00B24D69" w:rsidRPr="00AA2617" w:rsidRDefault="007E0EA1" w:rsidP="00AA2617">
            <w:pPr>
              <w:pStyle w:val="ListParagraph"/>
              <w:numPr>
                <w:ilvl w:val="0"/>
                <w:numId w:val="37"/>
              </w:numPr>
              <w:autoSpaceDE w:val="0"/>
              <w:autoSpaceDN w:val="0"/>
              <w:adjustRightInd w:val="0"/>
              <w:jc w:val="left"/>
              <w:rPr>
                <w:rFonts w:cs="Times New Roman"/>
                <w:color w:val="000000"/>
                <w:sz w:val="22"/>
                <w:lang w:val="en-GB"/>
              </w:rPr>
            </w:pPr>
            <w:r w:rsidRPr="00AA2617">
              <w:rPr>
                <w:rFonts w:cs="Times New Roman"/>
                <w:color w:val="000000"/>
                <w:sz w:val="22"/>
                <w:lang w:val="en-GB"/>
              </w:rPr>
              <w:t>on</w:t>
            </w:r>
            <w:r w:rsidR="00B24D69" w:rsidRPr="00AA2617">
              <w:rPr>
                <w:rFonts w:cs="Times New Roman"/>
                <w:color w:val="000000"/>
                <w:sz w:val="22"/>
                <w:lang w:val="en-GB"/>
              </w:rPr>
              <w:t xml:space="preserve"> </w:t>
            </w:r>
            <w:r w:rsidRPr="00AA2617">
              <w:rPr>
                <w:rFonts w:cs="Times New Roman"/>
                <w:color w:val="000000"/>
                <w:sz w:val="22"/>
                <w:lang w:val="en-GB"/>
              </w:rPr>
              <w:t xml:space="preserve">agrobiodiversity, in agriculture policy; </w:t>
            </w:r>
          </w:p>
          <w:p w14:paraId="495E82A6" w14:textId="7FC7BDC1" w:rsidR="00B24D69" w:rsidRPr="00AA2617" w:rsidRDefault="007E0EA1" w:rsidP="00AA2617">
            <w:pPr>
              <w:pStyle w:val="ListParagraph"/>
              <w:numPr>
                <w:ilvl w:val="0"/>
                <w:numId w:val="37"/>
              </w:numPr>
              <w:autoSpaceDE w:val="0"/>
              <w:autoSpaceDN w:val="0"/>
              <w:adjustRightInd w:val="0"/>
              <w:jc w:val="left"/>
              <w:rPr>
                <w:rFonts w:cs="Times New Roman"/>
                <w:color w:val="000000"/>
                <w:sz w:val="22"/>
                <w:lang w:val="en-GB"/>
              </w:rPr>
            </w:pPr>
            <w:r w:rsidRPr="00AA2617">
              <w:rPr>
                <w:rFonts w:cs="Times New Roman"/>
                <w:color w:val="000000"/>
                <w:sz w:val="22"/>
                <w:lang w:val="en-GB"/>
              </w:rPr>
              <w:t>emphasis on land degradation in land use</w:t>
            </w:r>
            <w:r w:rsidR="00B24D69" w:rsidRPr="00AA2617">
              <w:rPr>
                <w:rFonts w:cs="Times New Roman"/>
                <w:color w:val="000000"/>
                <w:sz w:val="22"/>
                <w:lang w:val="en-GB"/>
              </w:rPr>
              <w:t xml:space="preserve"> </w:t>
            </w:r>
            <w:r w:rsidRPr="00AA2617">
              <w:rPr>
                <w:rFonts w:cs="Times New Roman"/>
                <w:color w:val="000000"/>
                <w:sz w:val="22"/>
                <w:lang w:val="en-GB"/>
              </w:rPr>
              <w:t xml:space="preserve">policy; </w:t>
            </w:r>
          </w:p>
          <w:p w14:paraId="7120BAA5" w14:textId="11D240E5" w:rsidR="00B24D69" w:rsidRPr="00AA2617" w:rsidRDefault="007E0EA1" w:rsidP="00AA2617">
            <w:pPr>
              <w:pStyle w:val="ListParagraph"/>
              <w:numPr>
                <w:ilvl w:val="0"/>
                <w:numId w:val="37"/>
              </w:numPr>
              <w:autoSpaceDE w:val="0"/>
              <w:autoSpaceDN w:val="0"/>
              <w:adjustRightInd w:val="0"/>
              <w:jc w:val="left"/>
              <w:rPr>
                <w:rFonts w:cs="Times New Roman"/>
                <w:color w:val="000000"/>
                <w:sz w:val="22"/>
                <w:lang w:val="en-GB"/>
              </w:rPr>
            </w:pPr>
            <w:r w:rsidRPr="00AA2617">
              <w:rPr>
                <w:rFonts w:cs="Times New Roman"/>
                <w:color w:val="000000"/>
                <w:sz w:val="22"/>
                <w:lang w:val="en-GB"/>
              </w:rPr>
              <w:t xml:space="preserve">on land alienation &amp; regularisation of encroachments; and </w:t>
            </w:r>
          </w:p>
          <w:p w14:paraId="4013BA78" w14:textId="34F2C90E" w:rsidR="007E0EA1" w:rsidRPr="00AA2617" w:rsidRDefault="007E0EA1" w:rsidP="00AA2617">
            <w:pPr>
              <w:pStyle w:val="ListParagraph"/>
              <w:numPr>
                <w:ilvl w:val="0"/>
                <w:numId w:val="37"/>
              </w:numPr>
              <w:autoSpaceDE w:val="0"/>
              <w:autoSpaceDN w:val="0"/>
              <w:adjustRightInd w:val="0"/>
              <w:jc w:val="left"/>
              <w:rPr>
                <w:rFonts w:cs="Times New Roman"/>
                <w:color w:val="000000"/>
                <w:sz w:val="22"/>
                <w:lang w:val="en-GB"/>
              </w:rPr>
            </w:pPr>
            <w:r w:rsidRPr="00AA2617">
              <w:rPr>
                <w:rFonts w:cs="Times New Roman"/>
                <w:color w:val="000000"/>
                <w:sz w:val="22"/>
                <w:lang w:val="en-GB"/>
              </w:rPr>
              <w:t>policy on</w:t>
            </w:r>
            <w:r w:rsidR="00B24D69" w:rsidRPr="00AA2617">
              <w:rPr>
                <w:rFonts w:cs="Times New Roman"/>
                <w:color w:val="000000"/>
                <w:sz w:val="22"/>
                <w:lang w:val="en-GB"/>
              </w:rPr>
              <w:t xml:space="preserve"> </w:t>
            </w:r>
            <w:r w:rsidRPr="00AA2617">
              <w:rPr>
                <w:rFonts w:cs="Times New Roman"/>
                <w:color w:val="000000"/>
                <w:sz w:val="22"/>
                <w:lang w:val="en-GB"/>
              </w:rPr>
              <w:t>climate change.</w:t>
            </w:r>
          </w:p>
          <w:p w14:paraId="2D8A4CD6" w14:textId="6B4D1170" w:rsidR="007E0EA1"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Enhance capacity for communication, education and public awareness on conservation and</w:t>
            </w:r>
            <w:r w:rsidR="00B24D69" w:rsidRPr="00AA2617">
              <w:rPr>
                <w:rFonts w:cs="Times New Roman"/>
                <w:color w:val="000000"/>
                <w:sz w:val="22"/>
                <w:lang w:val="en-GB"/>
              </w:rPr>
              <w:t xml:space="preserve"> </w:t>
            </w:r>
            <w:r w:rsidRPr="00AA2617">
              <w:rPr>
                <w:rFonts w:cs="Times New Roman"/>
                <w:color w:val="000000"/>
                <w:sz w:val="22"/>
                <w:lang w:val="en-GB"/>
              </w:rPr>
              <w:t>sustainable use of resources to mobilize commitment and participation of all stakeholders.</w:t>
            </w:r>
          </w:p>
          <w:p w14:paraId="320E7313" w14:textId="3E0A1995" w:rsidR="007E0EA1"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Enhance capacity to integrate (mainstream) environment concerns into sectoral and cross</w:t>
            </w:r>
            <w:r w:rsidR="00B24D69" w:rsidRPr="00AA2617">
              <w:rPr>
                <w:rFonts w:cs="Times New Roman"/>
                <w:color w:val="000000"/>
                <w:sz w:val="22"/>
                <w:lang w:val="en-GB"/>
              </w:rPr>
              <w:t xml:space="preserve"> </w:t>
            </w:r>
            <w:r w:rsidRPr="00AA2617">
              <w:rPr>
                <w:rFonts w:cs="Times New Roman"/>
                <w:color w:val="000000"/>
                <w:sz w:val="22"/>
                <w:lang w:val="en-GB"/>
              </w:rPr>
              <w:t>sectoral</w:t>
            </w:r>
            <w:r w:rsidR="00B24D69" w:rsidRPr="00AA2617">
              <w:rPr>
                <w:rFonts w:cs="Times New Roman"/>
                <w:color w:val="000000"/>
                <w:sz w:val="22"/>
                <w:lang w:val="en-GB"/>
              </w:rPr>
              <w:t xml:space="preserve"> </w:t>
            </w:r>
            <w:r w:rsidRPr="00AA2617">
              <w:rPr>
                <w:rFonts w:cs="Times New Roman"/>
                <w:color w:val="000000"/>
                <w:sz w:val="22"/>
                <w:lang w:val="en-GB"/>
              </w:rPr>
              <w:t>policies and programmes of public agencies.</w:t>
            </w:r>
          </w:p>
          <w:p w14:paraId="066643C8" w14:textId="04A2AA92" w:rsidR="007E0EA1"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Enhance capacity to obtain adequate national budgetary allocations (and external funds, as</w:t>
            </w:r>
            <w:r w:rsidR="00B24D69" w:rsidRPr="00AA2617">
              <w:rPr>
                <w:rFonts w:cs="Times New Roman"/>
                <w:color w:val="000000"/>
                <w:sz w:val="22"/>
                <w:lang w:val="en-GB"/>
              </w:rPr>
              <w:t xml:space="preserve"> </w:t>
            </w:r>
            <w:r w:rsidRPr="00AA2617">
              <w:rPr>
                <w:rFonts w:cs="Times New Roman"/>
                <w:color w:val="000000"/>
                <w:sz w:val="22"/>
                <w:lang w:val="en-GB"/>
              </w:rPr>
              <w:t>necessary) and capacity to use funds efficiently.</w:t>
            </w:r>
          </w:p>
          <w:p w14:paraId="51A2839C" w14:textId="0957D880" w:rsidR="007E0EA1"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Adopt measures to engage the business sector effectively in conservation and sustainable</w:t>
            </w:r>
            <w:r w:rsidR="00B24D69" w:rsidRPr="00AA2617">
              <w:rPr>
                <w:rFonts w:cs="Times New Roman"/>
                <w:color w:val="000000"/>
                <w:sz w:val="22"/>
                <w:lang w:val="en-GB"/>
              </w:rPr>
              <w:t xml:space="preserve"> </w:t>
            </w:r>
            <w:r w:rsidRPr="00AA2617">
              <w:rPr>
                <w:rFonts w:cs="Times New Roman"/>
                <w:color w:val="000000"/>
                <w:sz w:val="22"/>
                <w:lang w:val="en-GB"/>
              </w:rPr>
              <w:t>use of natural resources.</w:t>
            </w:r>
          </w:p>
          <w:p w14:paraId="28FE9736" w14:textId="63CD4A2F" w:rsidR="007E0EA1"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Strengthen enforcement of laws and regulations to promote conservation and sustainable</w:t>
            </w:r>
            <w:r w:rsidR="00B24D69" w:rsidRPr="00AA2617">
              <w:rPr>
                <w:rFonts w:cs="Times New Roman"/>
                <w:color w:val="000000"/>
                <w:sz w:val="22"/>
                <w:lang w:val="en-GB"/>
              </w:rPr>
              <w:t xml:space="preserve"> </w:t>
            </w:r>
            <w:r w:rsidRPr="00AA2617">
              <w:rPr>
                <w:rFonts w:cs="Times New Roman"/>
                <w:color w:val="000000"/>
                <w:sz w:val="22"/>
                <w:lang w:val="en-GB"/>
              </w:rPr>
              <w:t>use.</w:t>
            </w:r>
          </w:p>
          <w:p w14:paraId="58D1995A" w14:textId="0BA5EC34" w:rsidR="007E0EA1"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Strengthen system and capacity for information management and information sharing as</w:t>
            </w:r>
            <w:r w:rsidR="00B24D69" w:rsidRPr="00AA2617">
              <w:rPr>
                <w:rFonts w:cs="Times New Roman"/>
                <w:color w:val="000000"/>
                <w:sz w:val="22"/>
                <w:lang w:val="en-GB"/>
              </w:rPr>
              <w:t xml:space="preserve"> </w:t>
            </w:r>
            <w:r w:rsidRPr="00AA2617">
              <w:rPr>
                <w:rFonts w:cs="Times New Roman"/>
                <w:color w:val="000000"/>
                <w:sz w:val="22"/>
                <w:lang w:val="en-GB"/>
              </w:rPr>
              <w:t>relevant for the three Rio Conventions.</w:t>
            </w:r>
          </w:p>
          <w:p w14:paraId="7F2D6ABB" w14:textId="277B58B6" w:rsidR="007E0EA1"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Enhance capacity to negotiate effectively at COPs of the Three Rio Conventions and other</w:t>
            </w:r>
            <w:r w:rsidR="00B24D69" w:rsidRPr="00AA2617">
              <w:rPr>
                <w:rFonts w:cs="Times New Roman"/>
                <w:color w:val="000000"/>
                <w:sz w:val="22"/>
                <w:lang w:val="en-GB"/>
              </w:rPr>
              <w:t xml:space="preserve"> </w:t>
            </w:r>
            <w:r w:rsidRPr="00AA2617">
              <w:rPr>
                <w:rFonts w:cs="Times New Roman"/>
                <w:color w:val="000000"/>
                <w:sz w:val="22"/>
                <w:lang w:val="en-GB"/>
              </w:rPr>
              <w:t>global forums to fulfil national needs and interests.</w:t>
            </w:r>
          </w:p>
          <w:p w14:paraId="057D12D9" w14:textId="44C09C09" w:rsidR="007E0EA1"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Harmonize authority and responsibility for policy determination and implementation between</w:t>
            </w:r>
            <w:r w:rsidR="00B24D69" w:rsidRPr="00AA2617">
              <w:rPr>
                <w:rFonts w:cs="Times New Roman"/>
                <w:color w:val="000000"/>
                <w:sz w:val="22"/>
                <w:lang w:val="en-GB"/>
              </w:rPr>
              <w:t xml:space="preserve"> </w:t>
            </w:r>
            <w:r w:rsidRPr="00AA2617">
              <w:rPr>
                <w:rFonts w:cs="Times New Roman"/>
                <w:color w:val="000000"/>
                <w:sz w:val="22"/>
                <w:lang w:val="en-GB"/>
              </w:rPr>
              <w:t>the central and provincial authorities</w:t>
            </w:r>
          </w:p>
          <w:p w14:paraId="44CEBCCF" w14:textId="0559DC33" w:rsidR="007E0EA1"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Strengthen capacity of institutions to carry out research on relevant areas of biodiversity,</w:t>
            </w:r>
            <w:r w:rsidR="00B24D69" w:rsidRPr="00AA2617">
              <w:rPr>
                <w:rFonts w:cs="Times New Roman"/>
                <w:color w:val="000000"/>
                <w:sz w:val="22"/>
                <w:lang w:val="en-GB"/>
              </w:rPr>
              <w:t xml:space="preserve"> </w:t>
            </w:r>
            <w:r w:rsidRPr="00AA2617">
              <w:rPr>
                <w:rFonts w:cs="Times New Roman"/>
                <w:color w:val="000000"/>
                <w:sz w:val="22"/>
                <w:lang w:val="en-GB"/>
              </w:rPr>
              <w:t>climate change and land degradation.</w:t>
            </w:r>
          </w:p>
          <w:p w14:paraId="1720E4ED" w14:textId="3BD8917D" w:rsidR="00B24D69" w:rsidRPr="00AA2617" w:rsidRDefault="007E0EA1" w:rsidP="00AA2617">
            <w:pPr>
              <w:pStyle w:val="ListParagraph"/>
              <w:numPr>
                <w:ilvl w:val="2"/>
                <w:numId w:val="36"/>
              </w:numPr>
              <w:autoSpaceDE w:val="0"/>
              <w:autoSpaceDN w:val="0"/>
              <w:adjustRightInd w:val="0"/>
              <w:ind w:left="187" w:hanging="187"/>
              <w:jc w:val="left"/>
              <w:rPr>
                <w:rFonts w:cs="Times New Roman"/>
                <w:color w:val="000000"/>
                <w:sz w:val="22"/>
                <w:lang w:val="en-GB"/>
              </w:rPr>
            </w:pPr>
            <w:r w:rsidRPr="00AA2617">
              <w:rPr>
                <w:rFonts w:cs="Times New Roman"/>
                <w:color w:val="000000"/>
                <w:sz w:val="22"/>
                <w:lang w:val="en-GB"/>
              </w:rPr>
              <w:t>Establish an institutional structure effective planning and implementation of work programmes.</w:t>
            </w:r>
            <w:r w:rsidR="00B24D69" w:rsidRPr="00AA2617">
              <w:rPr>
                <w:rFonts w:cs="Times New Roman"/>
                <w:color w:val="000000"/>
                <w:sz w:val="22"/>
                <w:lang w:val="en-GB"/>
              </w:rPr>
              <w:t xml:space="preserve"> </w:t>
            </w:r>
          </w:p>
          <w:p w14:paraId="6A5537DC" w14:textId="471F4EDA" w:rsidR="007E0EA1" w:rsidRPr="00AA2617" w:rsidRDefault="007E0EA1" w:rsidP="00AA2617">
            <w:pPr>
              <w:autoSpaceDE w:val="0"/>
              <w:autoSpaceDN w:val="0"/>
              <w:adjustRightInd w:val="0"/>
              <w:jc w:val="left"/>
              <w:rPr>
                <w:rFonts w:cs="Times New Roman"/>
                <w:b/>
                <w:bCs/>
                <w:color w:val="000000"/>
                <w:sz w:val="22"/>
                <w:lang w:val="en-GB"/>
              </w:rPr>
            </w:pPr>
            <w:r w:rsidRPr="00AA2617">
              <w:rPr>
                <w:rFonts w:cs="Times New Roman"/>
                <w:b/>
                <w:bCs/>
                <w:color w:val="000000"/>
                <w:sz w:val="22"/>
                <w:lang w:val="en-GB"/>
              </w:rPr>
              <w:t>II. Theme specific capacity development:</w:t>
            </w:r>
          </w:p>
          <w:p w14:paraId="624CE70F" w14:textId="233B26B9"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Develop competence of land users to benefit optimally from land while conserving.</w:t>
            </w:r>
          </w:p>
          <w:p w14:paraId="7E557899" w14:textId="5CB1E23D"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Enhance capacity to provide technology for conservation and sustainable use of land and</w:t>
            </w:r>
            <w:r w:rsidR="00212ADB" w:rsidRPr="00AA2617">
              <w:rPr>
                <w:rFonts w:cs="Times New Roman"/>
                <w:color w:val="000000"/>
                <w:sz w:val="22"/>
                <w:lang w:val="en-GB"/>
              </w:rPr>
              <w:t xml:space="preserve"> </w:t>
            </w:r>
            <w:r w:rsidRPr="00AA2617">
              <w:rPr>
                <w:rFonts w:cs="Times New Roman"/>
                <w:color w:val="000000"/>
                <w:sz w:val="22"/>
                <w:lang w:val="en-GB"/>
              </w:rPr>
              <w:t>water resources.</w:t>
            </w:r>
          </w:p>
          <w:p w14:paraId="38975590" w14:textId="43B50BEF"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Adopt measures to promote use of renewable energy resources and means for alternative</w:t>
            </w:r>
            <w:r w:rsidR="00212ADB" w:rsidRPr="00AA2617">
              <w:rPr>
                <w:rFonts w:cs="Times New Roman"/>
                <w:color w:val="000000"/>
                <w:sz w:val="22"/>
                <w:lang w:val="en-GB"/>
              </w:rPr>
              <w:t xml:space="preserve"> </w:t>
            </w:r>
            <w:r w:rsidRPr="00AA2617">
              <w:rPr>
                <w:rFonts w:cs="Times New Roman"/>
                <w:color w:val="000000"/>
                <w:sz w:val="22"/>
                <w:lang w:val="en-GB"/>
              </w:rPr>
              <w:t>livelihoods, to reduce land degradation.</w:t>
            </w:r>
          </w:p>
          <w:p w14:paraId="27B78E9E" w14:textId="5DA3AE89"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Improve capacity of authorities concerned to forecast and warn of adverse climatic</w:t>
            </w:r>
            <w:r w:rsidR="00212ADB" w:rsidRPr="00AA2617">
              <w:rPr>
                <w:rFonts w:cs="Times New Roman"/>
                <w:color w:val="000000"/>
                <w:sz w:val="22"/>
                <w:lang w:val="en-GB"/>
              </w:rPr>
              <w:t xml:space="preserve"> </w:t>
            </w:r>
            <w:r w:rsidRPr="00AA2617">
              <w:rPr>
                <w:rFonts w:cs="Times New Roman"/>
                <w:color w:val="000000"/>
                <w:sz w:val="22"/>
                <w:lang w:val="en-GB"/>
              </w:rPr>
              <w:t>situations.</w:t>
            </w:r>
          </w:p>
          <w:p w14:paraId="0396B5AC" w14:textId="73D0ECEE"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Enhance the capacity for vulnerability assessments and measures for adaptation to climate</w:t>
            </w:r>
            <w:r w:rsidR="00212ADB" w:rsidRPr="00AA2617">
              <w:rPr>
                <w:rFonts w:cs="Times New Roman"/>
                <w:color w:val="000000"/>
                <w:sz w:val="22"/>
                <w:lang w:val="en-GB"/>
              </w:rPr>
              <w:t xml:space="preserve"> </w:t>
            </w:r>
            <w:r w:rsidRPr="00AA2617">
              <w:rPr>
                <w:rFonts w:cs="Times New Roman"/>
                <w:color w:val="000000"/>
                <w:sz w:val="22"/>
                <w:lang w:val="en-GB"/>
              </w:rPr>
              <w:t>change:</w:t>
            </w:r>
          </w:p>
          <w:p w14:paraId="47C42921" w14:textId="15C72EB3" w:rsidR="007E0EA1" w:rsidRPr="00AA2617" w:rsidRDefault="007E0EA1" w:rsidP="00AA2617">
            <w:pPr>
              <w:pStyle w:val="ListParagraph"/>
              <w:numPr>
                <w:ilvl w:val="0"/>
                <w:numId w:val="39"/>
              </w:numPr>
              <w:autoSpaceDE w:val="0"/>
              <w:autoSpaceDN w:val="0"/>
              <w:adjustRightInd w:val="0"/>
              <w:ind w:left="1080"/>
              <w:jc w:val="left"/>
              <w:rPr>
                <w:rFonts w:cs="Times New Roman"/>
                <w:color w:val="000000"/>
                <w:sz w:val="22"/>
                <w:lang w:val="en-GB"/>
              </w:rPr>
            </w:pPr>
            <w:r w:rsidRPr="00AA2617">
              <w:rPr>
                <w:rFonts w:cs="Times New Roman"/>
                <w:color w:val="000000"/>
                <w:sz w:val="22"/>
                <w:lang w:val="en-GB"/>
              </w:rPr>
              <w:t>Identify, map and demarcate areas vulnerable to sea level rise</w:t>
            </w:r>
          </w:p>
          <w:p w14:paraId="5482040B" w14:textId="54BD76B3" w:rsidR="007E0EA1" w:rsidRPr="00AA2617" w:rsidRDefault="007E0EA1" w:rsidP="00AA2617">
            <w:pPr>
              <w:pStyle w:val="ListParagraph"/>
              <w:numPr>
                <w:ilvl w:val="0"/>
                <w:numId w:val="39"/>
              </w:numPr>
              <w:autoSpaceDE w:val="0"/>
              <w:autoSpaceDN w:val="0"/>
              <w:adjustRightInd w:val="0"/>
              <w:ind w:left="1080"/>
              <w:jc w:val="left"/>
              <w:rPr>
                <w:rFonts w:cs="Times New Roman"/>
                <w:color w:val="000000"/>
                <w:sz w:val="22"/>
                <w:lang w:val="en-GB"/>
              </w:rPr>
            </w:pPr>
            <w:r w:rsidRPr="00AA2617">
              <w:rPr>
                <w:rFonts w:cs="Times New Roman"/>
                <w:color w:val="000000"/>
                <w:sz w:val="22"/>
                <w:lang w:val="en-GB"/>
              </w:rPr>
              <w:lastRenderedPageBreak/>
              <w:t>Assess effect of CC on ground water, especially in areas prone to drought and in areas</w:t>
            </w:r>
            <w:r w:rsidR="00212ADB" w:rsidRPr="00AA2617">
              <w:rPr>
                <w:rFonts w:cs="Times New Roman"/>
                <w:color w:val="000000"/>
                <w:sz w:val="22"/>
                <w:lang w:val="en-GB"/>
              </w:rPr>
              <w:t xml:space="preserve"> </w:t>
            </w:r>
            <w:r w:rsidRPr="00AA2617">
              <w:rPr>
                <w:rFonts w:cs="Times New Roman"/>
                <w:color w:val="000000"/>
                <w:sz w:val="22"/>
                <w:lang w:val="en-GB"/>
              </w:rPr>
              <w:t>subject to sea level rise</w:t>
            </w:r>
          </w:p>
          <w:p w14:paraId="1AE20226" w14:textId="6BBA0978" w:rsidR="007E0EA1" w:rsidRPr="00AA2617" w:rsidRDefault="007E0EA1" w:rsidP="00AA2617">
            <w:pPr>
              <w:pStyle w:val="ListParagraph"/>
              <w:numPr>
                <w:ilvl w:val="0"/>
                <w:numId w:val="39"/>
              </w:numPr>
              <w:autoSpaceDE w:val="0"/>
              <w:autoSpaceDN w:val="0"/>
              <w:adjustRightInd w:val="0"/>
              <w:ind w:left="1080"/>
              <w:jc w:val="left"/>
              <w:rPr>
                <w:rFonts w:cs="Times New Roman"/>
                <w:color w:val="000000"/>
                <w:sz w:val="22"/>
                <w:lang w:val="en-GB"/>
              </w:rPr>
            </w:pPr>
            <w:r w:rsidRPr="00AA2617">
              <w:rPr>
                <w:rFonts w:cs="Times New Roman"/>
                <w:color w:val="000000"/>
                <w:sz w:val="22"/>
                <w:lang w:val="en-GB"/>
              </w:rPr>
              <w:t>Assess change in impact of waves on the coast</w:t>
            </w:r>
          </w:p>
          <w:p w14:paraId="6B7931B6" w14:textId="47B5BFCA" w:rsidR="007E0EA1" w:rsidRPr="00AA2617" w:rsidRDefault="007E0EA1" w:rsidP="00AA2617">
            <w:pPr>
              <w:pStyle w:val="ListParagraph"/>
              <w:numPr>
                <w:ilvl w:val="0"/>
                <w:numId w:val="39"/>
              </w:numPr>
              <w:autoSpaceDE w:val="0"/>
              <w:autoSpaceDN w:val="0"/>
              <w:adjustRightInd w:val="0"/>
              <w:ind w:left="1080"/>
              <w:jc w:val="left"/>
              <w:rPr>
                <w:rFonts w:cs="Times New Roman"/>
                <w:color w:val="000000"/>
                <w:sz w:val="22"/>
                <w:lang w:val="en-GB"/>
              </w:rPr>
            </w:pPr>
            <w:r w:rsidRPr="00AA2617">
              <w:rPr>
                <w:rFonts w:cs="Times New Roman"/>
                <w:color w:val="000000"/>
                <w:sz w:val="22"/>
                <w:lang w:val="en-GB"/>
              </w:rPr>
              <w:t>Assess effect of CC on flora and fauna</w:t>
            </w:r>
          </w:p>
          <w:p w14:paraId="2374FF04" w14:textId="12F16AC7" w:rsidR="007E0EA1" w:rsidRPr="00AA2617" w:rsidRDefault="007E0EA1" w:rsidP="00AA2617">
            <w:pPr>
              <w:pStyle w:val="ListParagraph"/>
              <w:numPr>
                <w:ilvl w:val="0"/>
                <w:numId w:val="39"/>
              </w:numPr>
              <w:autoSpaceDE w:val="0"/>
              <w:autoSpaceDN w:val="0"/>
              <w:adjustRightInd w:val="0"/>
              <w:ind w:left="1080"/>
              <w:jc w:val="left"/>
              <w:rPr>
                <w:rFonts w:cs="Times New Roman"/>
                <w:color w:val="000000"/>
                <w:sz w:val="22"/>
                <w:lang w:val="en-GB"/>
              </w:rPr>
            </w:pPr>
            <w:r w:rsidRPr="00AA2617">
              <w:rPr>
                <w:rFonts w:cs="Times New Roman"/>
                <w:color w:val="000000"/>
                <w:sz w:val="22"/>
                <w:lang w:val="en-GB"/>
              </w:rPr>
              <w:t>Assess effect of CC on food and export/ plantation crops</w:t>
            </w:r>
          </w:p>
          <w:p w14:paraId="5A680582" w14:textId="14D631C6" w:rsidR="007E0EA1" w:rsidRPr="00AA2617" w:rsidRDefault="007E0EA1" w:rsidP="00AA2617">
            <w:pPr>
              <w:pStyle w:val="ListParagraph"/>
              <w:numPr>
                <w:ilvl w:val="0"/>
                <w:numId w:val="39"/>
              </w:numPr>
              <w:autoSpaceDE w:val="0"/>
              <w:autoSpaceDN w:val="0"/>
              <w:adjustRightInd w:val="0"/>
              <w:ind w:left="1080"/>
              <w:jc w:val="left"/>
              <w:rPr>
                <w:rFonts w:cs="Times New Roman"/>
                <w:color w:val="000000"/>
                <w:sz w:val="22"/>
                <w:lang w:val="en-GB"/>
              </w:rPr>
            </w:pPr>
            <w:r w:rsidRPr="00AA2617">
              <w:rPr>
                <w:rFonts w:cs="Times New Roman"/>
                <w:color w:val="000000"/>
                <w:sz w:val="22"/>
                <w:lang w:val="en-GB"/>
              </w:rPr>
              <w:t>Assess effect of CC on health</w:t>
            </w:r>
          </w:p>
          <w:p w14:paraId="63A829E3" w14:textId="7209B250" w:rsidR="007E0EA1" w:rsidRPr="00AA2617" w:rsidRDefault="007E0EA1" w:rsidP="00AA2617">
            <w:pPr>
              <w:pStyle w:val="ListParagraph"/>
              <w:numPr>
                <w:ilvl w:val="0"/>
                <w:numId w:val="39"/>
              </w:numPr>
              <w:autoSpaceDE w:val="0"/>
              <w:autoSpaceDN w:val="0"/>
              <w:adjustRightInd w:val="0"/>
              <w:ind w:left="1080"/>
              <w:jc w:val="left"/>
              <w:rPr>
                <w:rFonts w:cs="Times New Roman"/>
                <w:color w:val="000000"/>
                <w:sz w:val="22"/>
                <w:lang w:val="en-GB"/>
              </w:rPr>
            </w:pPr>
            <w:r w:rsidRPr="00AA2617">
              <w:rPr>
                <w:rFonts w:cs="Times New Roman"/>
                <w:color w:val="000000"/>
                <w:sz w:val="22"/>
                <w:lang w:val="en-GB"/>
              </w:rPr>
              <w:t>Assess effect of CC on hydro power generation potential</w:t>
            </w:r>
          </w:p>
          <w:p w14:paraId="6CAB15A5" w14:textId="0FFF553F" w:rsidR="007E0EA1" w:rsidRPr="00AA2617" w:rsidRDefault="007E0EA1" w:rsidP="00AA2617">
            <w:pPr>
              <w:pStyle w:val="ListParagraph"/>
              <w:numPr>
                <w:ilvl w:val="0"/>
                <w:numId w:val="39"/>
              </w:numPr>
              <w:autoSpaceDE w:val="0"/>
              <w:autoSpaceDN w:val="0"/>
              <w:adjustRightInd w:val="0"/>
              <w:ind w:left="1080"/>
              <w:jc w:val="left"/>
              <w:rPr>
                <w:rFonts w:cs="Times New Roman"/>
                <w:color w:val="000000"/>
                <w:sz w:val="22"/>
                <w:lang w:val="en-GB"/>
              </w:rPr>
            </w:pPr>
            <w:r w:rsidRPr="00AA2617">
              <w:rPr>
                <w:rFonts w:cs="Times New Roman"/>
                <w:color w:val="000000"/>
                <w:sz w:val="22"/>
                <w:lang w:val="en-GB"/>
              </w:rPr>
              <w:t>Developing and transfer of technology to facilitate developing adaptive measures</w:t>
            </w:r>
          </w:p>
          <w:p w14:paraId="38EBE2EB" w14:textId="1F16CED1"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Enhance institutional capacity for multi stakeholder participation to promote conservation,</w:t>
            </w:r>
            <w:r w:rsidR="00200B19" w:rsidRPr="00AA2617">
              <w:rPr>
                <w:rFonts w:cs="Times New Roman"/>
                <w:color w:val="000000"/>
                <w:sz w:val="22"/>
                <w:lang w:val="en-GB"/>
              </w:rPr>
              <w:t xml:space="preserve"> </w:t>
            </w:r>
            <w:r w:rsidRPr="00AA2617">
              <w:rPr>
                <w:rFonts w:cs="Times New Roman"/>
                <w:color w:val="000000"/>
                <w:sz w:val="22"/>
                <w:lang w:val="en-GB"/>
              </w:rPr>
              <w:t>management, recovery of threatened species and sustainable use of commercially</w:t>
            </w:r>
            <w:r w:rsidR="00200B19" w:rsidRPr="00AA2617">
              <w:rPr>
                <w:rFonts w:cs="Times New Roman"/>
                <w:color w:val="000000"/>
                <w:sz w:val="22"/>
                <w:lang w:val="en-GB"/>
              </w:rPr>
              <w:t xml:space="preserve"> </w:t>
            </w:r>
            <w:r w:rsidRPr="00AA2617">
              <w:rPr>
                <w:rFonts w:cs="Times New Roman"/>
                <w:color w:val="000000"/>
                <w:sz w:val="22"/>
                <w:lang w:val="en-GB"/>
              </w:rPr>
              <w:t>important species.</w:t>
            </w:r>
          </w:p>
          <w:p w14:paraId="11ACB8FA" w14:textId="6F5C0167"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Implement a multi-institutional coordinated programme to identify, design and establish a</w:t>
            </w:r>
            <w:r w:rsidR="00200B19" w:rsidRPr="00AA2617">
              <w:rPr>
                <w:rFonts w:cs="Times New Roman"/>
                <w:color w:val="000000"/>
                <w:sz w:val="22"/>
                <w:lang w:val="en-GB"/>
              </w:rPr>
              <w:t xml:space="preserve"> </w:t>
            </w:r>
            <w:r w:rsidRPr="00AA2617">
              <w:rPr>
                <w:rFonts w:cs="Times New Roman"/>
                <w:color w:val="000000"/>
                <w:sz w:val="22"/>
                <w:lang w:val="en-GB"/>
              </w:rPr>
              <w:t>rational network of areas needing protection in accordance with the ecosystem approach.</w:t>
            </w:r>
          </w:p>
          <w:p w14:paraId="2C8AC92F" w14:textId="3D33FAAD"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Develop and institute an effective system to regulate and control the provision of access to</w:t>
            </w:r>
            <w:r w:rsidR="00200B19" w:rsidRPr="00AA2617">
              <w:rPr>
                <w:rFonts w:cs="Times New Roman"/>
                <w:color w:val="000000"/>
                <w:sz w:val="22"/>
                <w:lang w:val="en-GB"/>
              </w:rPr>
              <w:t xml:space="preserve"> </w:t>
            </w:r>
            <w:r w:rsidRPr="00AA2617">
              <w:rPr>
                <w:rFonts w:cs="Times New Roman"/>
                <w:color w:val="000000"/>
                <w:sz w:val="22"/>
                <w:lang w:val="en-GB"/>
              </w:rPr>
              <w:t>genetic resources by external parties, in order to ensure fair and equitable benefits to Sri Lanka</w:t>
            </w:r>
            <w:r w:rsidR="00200B19" w:rsidRPr="00AA2617">
              <w:rPr>
                <w:rFonts w:cs="Times New Roman"/>
                <w:color w:val="000000"/>
                <w:sz w:val="22"/>
                <w:lang w:val="en-GB"/>
              </w:rPr>
              <w:t xml:space="preserve"> </w:t>
            </w:r>
            <w:r w:rsidRPr="00AA2617">
              <w:rPr>
                <w:rFonts w:cs="Times New Roman"/>
                <w:color w:val="000000"/>
                <w:sz w:val="22"/>
                <w:lang w:val="en-GB"/>
              </w:rPr>
              <w:t>from the resources so provided.</w:t>
            </w:r>
          </w:p>
          <w:p w14:paraId="4B314C98" w14:textId="25979E00"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Develop and introduce measures to enhance national capacity for biotechnology using</w:t>
            </w:r>
            <w:r w:rsidR="00200B19" w:rsidRPr="00AA2617">
              <w:rPr>
                <w:rFonts w:cs="Times New Roman"/>
                <w:color w:val="000000"/>
                <w:sz w:val="22"/>
                <w:lang w:val="en-GB"/>
              </w:rPr>
              <w:t xml:space="preserve"> </w:t>
            </w:r>
            <w:r w:rsidRPr="00AA2617">
              <w:rPr>
                <w:rFonts w:cs="Times New Roman"/>
                <w:color w:val="000000"/>
                <w:sz w:val="22"/>
                <w:lang w:val="en-GB"/>
              </w:rPr>
              <w:t>genetic resources.</w:t>
            </w:r>
          </w:p>
          <w:p w14:paraId="641EB577" w14:textId="4B086306"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Establish an effective inter- institutional mechanism to identify and monitor critical</w:t>
            </w:r>
            <w:r w:rsidR="00200B19" w:rsidRPr="00AA2617">
              <w:rPr>
                <w:rFonts w:cs="Times New Roman"/>
                <w:color w:val="000000"/>
                <w:sz w:val="22"/>
                <w:lang w:val="en-GB"/>
              </w:rPr>
              <w:t xml:space="preserve"> </w:t>
            </w:r>
            <w:r w:rsidRPr="00AA2617">
              <w:rPr>
                <w:rFonts w:cs="Times New Roman"/>
                <w:color w:val="000000"/>
                <w:sz w:val="22"/>
                <w:lang w:val="en-GB"/>
              </w:rPr>
              <w:t>components of biodiversity and threats to biodiversity.</w:t>
            </w:r>
          </w:p>
          <w:p w14:paraId="569E6C31" w14:textId="2E47083A" w:rsidR="007E0EA1"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Enhance institutional capacity for participatory and integrated in-situ conservation and</w:t>
            </w:r>
            <w:r w:rsidR="00200B19" w:rsidRPr="00AA2617">
              <w:rPr>
                <w:rFonts w:cs="Times New Roman"/>
                <w:color w:val="000000"/>
                <w:sz w:val="22"/>
                <w:lang w:val="en-GB"/>
              </w:rPr>
              <w:t xml:space="preserve"> </w:t>
            </w:r>
            <w:r w:rsidRPr="00AA2617">
              <w:rPr>
                <w:rFonts w:cs="Times New Roman"/>
                <w:color w:val="000000"/>
                <w:sz w:val="22"/>
                <w:lang w:val="en-GB"/>
              </w:rPr>
              <w:t>management of ecosystems with perspectives on poverty eradication.</w:t>
            </w:r>
          </w:p>
          <w:p w14:paraId="3808E610" w14:textId="77777777" w:rsidR="00DA0BB8" w:rsidRPr="00AA2617" w:rsidRDefault="007E0EA1" w:rsidP="00AA2617">
            <w:pPr>
              <w:pStyle w:val="ListParagraph"/>
              <w:numPr>
                <w:ilvl w:val="0"/>
                <w:numId w:val="38"/>
              </w:numPr>
              <w:autoSpaceDE w:val="0"/>
              <w:autoSpaceDN w:val="0"/>
              <w:adjustRightInd w:val="0"/>
              <w:ind w:left="720"/>
              <w:jc w:val="left"/>
              <w:rPr>
                <w:rFonts w:cs="Times New Roman"/>
                <w:color w:val="000000"/>
                <w:sz w:val="22"/>
                <w:lang w:val="en-GB"/>
              </w:rPr>
            </w:pPr>
            <w:r w:rsidRPr="00AA2617">
              <w:rPr>
                <w:rFonts w:cs="Times New Roman"/>
                <w:color w:val="000000"/>
                <w:sz w:val="22"/>
                <w:lang w:val="en-GB"/>
              </w:rPr>
              <w:t>Strengthen the legal framework for biodiversity conservation and sustainable use.</w:t>
            </w:r>
          </w:p>
          <w:p w14:paraId="58548390" w14:textId="77777777" w:rsidR="009A7CAA" w:rsidRPr="00AA2617" w:rsidRDefault="009A7CAA" w:rsidP="00AA2617">
            <w:pPr>
              <w:autoSpaceDE w:val="0"/>
              <w:autoSpaceDN w:val="0"/>
              <w:adjustRightInd w:val="0"/>
              <w:spacing w:after="0"/>
              <w:jc w:val="left"/>
              <w:rPr>
                <w:rFonts w:eastAsia="MS Mincho" w:cs="Times New Roman"/>
                <w:sz w:val="23"/>
                <w:szCs w:val="23"/>
                <w:lang w:eastAsia="en-GB" w:bidi="hi-IN"/>
              </w:rPr>
            </w:pPr>
            <w:r w:rsidRPr="00AA2617">
              <w:rPr>
                <w:rFonts w:cs="Times New Roman"/>
                <w:color w:val="000000"/>
                <w:sz w:val="22"/>
                <w:lang w:val="en-GB"/>
              </w:rPr>
              <w:t xml:space="preserve">In particular; NCSA report refers to baseline appraisal done under NCSA project, which states that </w:t>
            </w:r>
            <w:r w:rsidRPr="00AA2617">
              <w:rPr>
                <w:rFonts w:eastAsia="MS Mincho" w:cs="Times New Roman"/>
                <w:sz w:val="23"/>
                <w:szCs w:val="23"/>
                <w:lang w:eastAsia="en-GB" w:bidi="hi-IN"/>
              </w:rPr>
              <w:t>while capacity building to address specific convention obligations has been done to some extent, the following requirements of the convention have been neglected with respect to capacity development.</w:t>
            </w:r>
          </w:p>
          <w:p w14:paraId="790CA4D9" w14:textId="0BBC66B3" w:rsidR="009A7CAA" w:rsidRPr="00AA2617" w:rsidRDefault="009A7CAA" w:rsidP="00AA2617">
            <w:pPr>
              <w:pStyle w:val="ListParagraph"/>
              <w:numPr>
                <w:ilvl w:val="2"/>
                <w:numId w:val="40"/>
              </w:numPr>
              <w:autoSpaceDE w:val="0"/>
              <w:autoSpaceDN w:val="0"/>
              <w:adjustRightInd w:val="0"/>
              <w:spacing w:after="0"/>
              <w:ind w:left="907" w:hanging="187"/>
              <w:jc w:val="left"/>
              <w:rPr>
                <w:rFonts w:eastAsia="MS Mincho" w:cs="Times New Roman"/>
                <w:sz w:val="23"/>
                <w:szCs w:val="23"/>
                <w:lang w:eastAsia="en-GB" w:bidi="hi-IN"/>
              </w:rPr>
            </w:pPr>
            <w:r w:rsidRPr="00AA2617">
              <w:rPr>
                <w:rFonts w:eastAsia="MS Mincho" w:cs="Times New Roman"/>
                <w:sz w:val="23"/>
                <w:szCs w:val="23"/>
                <w:lang w:eastAsia="en-GB" w:bidi="hi-IN"/>
              </w:rPr>
              <w:t>Preparing national communications (2 NCs have been submitted and third in progress)</w:t>
            </w:r>
          </w:p>
          <w:p w14:paraId="751D10A4" w14:textId="3574C550" w:rsidR="009A7CAA" w:rsidRPr="00AA2617" w:rsidRDefault="009A7CAA" w:rsidP="00AA2617">
            <w:pPr>
              <w:pStyle w:val="ListParagraph"/>
              <w:numPr>
                <w:ilvl w:val="2"/>
                <w:numId w:val="40"/>
              </w:numPr>
              <w:autoSpaceDE w:val="0"/>
              <w:autoSpaceDN w:val="0"/>
              <w:adjustRightInd w:val="0"/>
              <w:spacing w:after="0"/>
              <w:ind w:left="907" w:hanging="187"/>
              <w:jc w:val="left"/>
              <w:rPr>
                <w:rFonts w:eastAsia="MS Mincho" w:cs="Times New Roman"/>
                <w:sz w:val="23"/>
                <w:szCs w:val="23"/>
                <w:lang w:eastAsia="en-GB" w:bidi="hi-IN"/>
              </w:rPr>
            </w:pPr>
            <w:r w:rsidRPr="00AA2617">
              <w:rPr>
                <w:rFonts w:eastAsia="MS Mincho" w:cs="Times New Roman"/>
                <w:sz w:val="23"/>
                <w:szCs w:val="23"/>
                <w:lang w:eastAsia="en-GB" w:bidi="hi-IN"/>
              </w:rPr>
              <w:t>Developing national climate change programmes (on going)</w:t>
            </w:r>
          </w:p>
          <w:p w14:paraId="61146621" w14:textId="78493846" w:rsidR="009A7CAA" w:rsidRPr="00AA2617" w:rsidRDefault="009A7CAA" w:rsidP="00AA2617">
            <w:pPr>
              <w:pStyle w:val="ListParagraph"/>
              <w:numPr>
                <w:ilvl w:val="2"/>
                <w:numId w:val="40"/>
              </w:numPr>
              <w:autoSpaceDE w:val="0"/>
              <w:autoSpaceDN w:val="0"/>
              <w:adjustRightInd w:val="0"/>
              <w:spacing w:after="0"/>
              <w:ind w:left="907" w:hanging="187"/>
              <w:jc w:val="left"/>
              <w:rPr>
                <w:rFonts w:eastAsia="MS Mincho" w:cs="Times New Roman"/>
                <w:sz w:val="23"/>
                <w:szCs w:val="23"/>
                <w:lang w:eastAsia="en-GB" w:bidi="hi-IN"/>
              </w:rPr>
            </w:pPr>
            <w:r w:rsidRPr="00AA2617">
              <w:rPr>
                <w:rFonts w:eastAsia="MS Mincho" w:cs="Times New Roman"/>
                <w:sz w:val="23"/>
                <w:szCs w:val="23"/>
                <w:lang w:eastAsia="en-GB" w:bidi="hi-IN"/>
              </w:rPr>
              <w:t>Preparing and managing greenhouse gas inventories, including emission database management</w:t>
            </w:r>
          </w:p>
          <w:p w14:paraId="669EF3E6" w14:textId="6C76264E" w:rsidR="009A7CAA" w:rsidRPr="00AA2617" w:rsidRDefault="009A7CAA" w:rsidP="00AA2617">
            <w:pPr>
              <w:pStyle w:val="ListParagraph"/>
              <w:numPr>
                <w:ilvl w:val="2"/>
                <w:numId w:val="40"/>
              </w:numPr>
              <w:autoSpaceDE w:val="0"/>
              <w:autoSpaceDN w:val="0"/>
              <w:adjustRightInd w:val="0"/>
              <w:spacing w:after="0"/>
              <w:ind w:left="907" w:hanging="187"/>
              <w:jc w:val="left"/>
              <w:rPr>
                <w:rFonts w:eastAsia="MS Mincho" w:cs="Times New Roman"/>
                <w:sz w:val="23"/>
                <w:szCs w:val="23"/>
                <w:lang w:eastAsia="en-GB" w:bidi="hi-IN"/>
              </w:rPr>
            </w:pPr>
            <w:r w:rsidRPr="00AA2617">
              <w:rPr>
                <w:rFonts w:eastAsia="MS Mincho" w:cs="Times New Roman"/>
                <w:sz w:val="23"/>
                <w:szCs w:val="23"/>
                <w:lang w:eastAsia="en-GB" w:bidi="hi-IN"/>
              </w:rPr>
              <w:t>Assessing mitigation options</w:t>
            </w:r>
          </w:p>
          <w:p w14:paraId="7AFFBEAE" w14:textId="315A3125" w:rsidR="009A7CAA" w:rsidRPr="00AA2617" w:rsidRDefault="009A7CAA" w:rsidP="00AA2617">
            <w:pPr>
              <w:pStyle w:val="ListParagraph"/>
              <w:numPr>
                <w:ilvl w:val="2"/>
                <w:numId w:val="40"/>
              </w:numPr>
              <w:autoSpaceDE w:val="0"/>
              <w:autoSpaceDN w:val="0"/>
              <w:adjustRightInd w:val="0"/>
              <w:spacing w:after="0"/>
              <w:ind w:left="907" w:hanging="187"/>
              <w:jc w:val="left"/>
              <w:rPr>
                <w:rFonts w:eastAsia="MS Mincho" w:cs="Times New Roman"/>
                <w:sz w:val="23"/>
                <w:szCs w:val="23"/>
                <w:lang w:eastAsia="en-GB" w:bidi="hi-IN"/>
              </w:rPr>
            </w:pPr>
            <w:r w:rsidRPr="00AA2617">
              <w:rPr>
                <w:rFonts w:eastAsia="MS Mincho" w:cs="Times New Roman"/>
                <w:sz w:val="23"/>
                <w:szCs w:val="23"/>
                <w:lang w:eastAsia="en-GB" w:bidi="hi-IN"/>
              </w:rPr>
              <w:t>Developing and transferring technology</w:t>
            </w:r>
          </w:p>
          <w:p w14:paraId="66EE2360" w14:textId="6060F1BF" w:rsidR="009A7CAA" w:rsidRPr="00AA2617" w:rsidRDefault="009A7CAA" w:rsidP="00AA2617">
            <w:pPr>
              <w:pStyle w:val="ListParagraph"/>
              <w:numPr>
                <w:ilvl w:val="2"/>
                <w:numId w:val="40"/>
              </w:numPr>
              <w:autoSpaceDE w:val="0"/>
              <w:autoSpaceDN w:val="0"/>
              <w:adjustRightInd w:val="0"/>
              <w:spacing w:after="0"/>
              <w:ind w:left="907" w:hanging="187"/>
              <w:jc w:val="left"/>
              <w:rPr>
                <w:rFonts w:eastAsia="MS Mincho" w:cs="Times New Roman"/>
                <w:sz w:val="23"/>
                <w:szCs w:val="23"/>
                <w:lang w:eastAsia="en-GB" w:bidi="hi-IN"/>
              </w:rPr>
            </w:pPr>
            <w:r w:rsidRPr="00AA2617">
              <w:rPr>
                <w:rFonts w:eastAsia="MS Mincho" w:cs="Times New Roman"/>
                <w:sz w:val="23"/>
                <w:szCs w:val="23"/>
                <w:lang w:eastAsia="en-GB" w:bidi="hi-IN"/>
              </w:rPr>
              <w:t>Improved decision-making, including assistance for participation in international negotiations</w:t>
            </w:r>
          </w:p>
          <w:p w14:paraId="58D0150E" w14:textId="399FBEB9" w:rsidR="009A7CAA" w:rsidRPr="00AA2617" w:rsidRDefault="009A7CAA" w:rsidP="00AA2617">
            <w:pPr>
              <w:pStyle w:val="ListParagraph"/>
              <w:numPr>
                <w:ilvl w:val="2"/>
                <w:numId w:val="40"/>
              </w:numPr>
              <w:autoSpaceDE w:val="0"/>
              <w:autoSpaceDN w:val="0"/>
              <w:adjustRightInd w:val="0"/>
              <w:spacing w:after="0"/>
              <w:ind w:left="907" w:hanging="187"/>
              <w:jc w:val="left"/>
              <w:rPr>
                <w:rFonts w:eastAsia="MS Mincho" w:cs="Times New Roman"/>
                <w:sz w:val="23"/>
                <w:szCs w:val="23"/>
                <w:lang w:eastAsia="en-GB" w:bidi="hi-IN"/>
              </w:rPr>
            </w:pPr>
            <w:r w:rsidRPr="00AA2617">
              <w:rPr>
                <w:rFonts w:eastAsia="MS Mincho" w:cs="Times New Roman"/>
                <w:sz w:val="23"/>
                <w:szCs w:val="23"/>
                <w:lang w:eastAsia="en-GB" w:bidi="hi-IN"/>
              </w:rPr>
              <w:t>Institutional capacity-building, notably through secretariats or focal points</w:t>
            </w:r>
          </w:p>
          <w:p w14:paraId="7037B0E5" w14:textId="17D1E11E" w:rsidR="009A7CAA" w:rsidRPr="00AA2617" w:rsidRDefault="009A7CAA" w:rsidP="00AA2617">
            <w:pPr>
              <w:pStyle w:val="ListParagraph"/>
              <w:numPr>
                <w:ilvl w:val="2"/>
                <w:numId w:val="40"/>
              </w:numPr>
              <w:autoSpaceDE w:val="0"/>
              <w:autoSpaceDN w:val="0"/>
              <w:adjustRightInd w:val="0"/>
              <w:spacing w:after="0"/>
              <w:ind w:left="907" w:hanging="187"/>
              <w:jc w:val="left"/>
              <w:rPr>
                <w:rFonts w:cs="Times New Roman"/>
                <w:color w:val="000000"/>
                <w:sz w:val="22"/>
                <w:lang w:val="en-GB"/>
              </w:rPr>
            </w:pPr>
            <w:r w:rsidRPr="00AA2617">
              <w:rPr>
                <w:rFonts w:eastAsia="MS Mincho" w:cs="Times New Roman"/>
                <w:sz w:val="23"/>
                <w:szCs w:val="23"/>
                <w:lang w:eastAsia="en-GB" w:bidi="hi-IN"/>
              </w:rPr>
              <w:t>Enhancement of the enabling environment</w:t>
            </w:r>
          </w:p>
        </w:tc>
      </w:tr>
    </w:tbl>
    <w:p w14:paraId="05E54084" w14:textId="77777777" w:rsidR="001A3FBB" w:rsidRPr="00AA2617" w:rsidRDefault="001A3FBB" w:rsidP="00AA2617">
      <w:pPr>
        <w:pStyle w:val="Heading3"/>
        <w:rPr>
          <w:b/>
          <w:szCs w:val="22"/>
          <w:lang w:val="en-GB"/>
        </w:rPr>
      </w:pPr>
      <w:bookmarkStart w:id="21" w:name="_Toc9249175"/>
      <w:r w:rsidRPr="00AA2617">
        <w:rPr>
          <w:b/>
          <w:szCs w:val="22"/>
          <w:lang w:val="en-GB"/>
        </w:rPr>
        <w:lastRenderedPageBreak/>
        <w:t>Gap assessments during the project-preparation phase</w:t>
      </w:r>
      <w:bookmarkEnd w:id="21"/>
    </w:p>
    <w:p w14:paraId="46E8C5D8" w14:textId="0D096919" w:rsidR="001A3FBB" w:rsidRPr="00AA2617" w:rsidRDefault="00530854" w:rsidP="00EB2595">
      <w:pPr>
        <w:pStyle w:val="NumberedParagraph"/>
        <w:ind w:left="360"/>
        <w:rPr>
          <w:sz w:val="22"/>
          <w:lang w:val="en-GB"/>
        </w:rPr>
      </w:pPr>
      <w:r w:rsidRPr="00AA2617">
        <w:rPr>
          <w:sz w:val="22"/>
          <w:lang w:val="en-GB"/>
        </w:rPr>
        <w:t xml:space="preserve">Gap assessment were conducted during stakeholder meeting as well as by conducting separate meetings with stakeholder organizations. </w:t>
      </w:r>
      <w:r w:rsidR="009B5F4B" w:rsidRPr="00AA2617">
        <w:rPr>
          <w:sz w:val="22"/>
          <w:lang w:val="en-GB"/>
        </w:rPr>
        <w:t>Major gaps identified are (a) institutional arrangement for GHG activity data collection from various stakeholders. Climate change secretariat is working on establishi</w:t>
      </w:r>
      <w:r w:rsidR="00EB2595">
        <w:rPr>
          <w:sz w:val="22"/>
          <w:lang w:val="en-GB"/>
        </w:rPr>
        <w:t>ng a Climate Cell at each provinc</w:t>
      </w:r>
      <w:r w:rsidR="009B5F4B" w:rsidRPr="00AA2617">
        <w:rPr>
          <w:sz w:val="22"/>
          <w:lang w:val="en-GB"/>
        </w:rPr>
        <w:t>ial level for activity data collection from all sectors. (b) Knowledge of activity data and its type and units are also major concerns while data collection. Training to enhance human and infrastructure resources are required. (</w:t>
      </w:r>
      <w:r w:rsidR="00526782" w:rsidRPr="00AA2617">
        <w:rPr>
          <w:sz w:val="22"/>
          <w:lang w:val="en-GB"/>
        </w:rPr>
        <w:t>c</w:t>
      </w:r>
      <w:r w:rsidR="009B5F4B" w:rsidRPr="00AA2617">
        <w:rPr>
          <w:sz w:val="22"/>
          <w:lang w:val="en-GB"/>
        </w:rPr>
        <w:t>) Up to date Data avai</w:t>
      </w:r>
      <w:r w:rsidR="00EB2595">
        <w:rPr>
          <w:sz w:val="22"/>
          <w:lang w:val="en-GB"/>
        </w:rPr>
        <w:t>lability of forestry, livestock and fishe</w:t>
      </w:r>
      <w:r w:rsidR="009B5F4B" w:rsidRPr="00AA2617">
        <w:rPr>
          <w:sz w:val="22"/>
          <w:lang w:val="en-GB"/>
        </w:rPr>
        <w:t xml:space="preserve">ries are also major </w:t>
      </w:r>
      <w:r w:rsidR="00526782" w:rsidRPr="00AA2617">
        <w:rPr>
          <w:sz w:val="22"/>
          <w:lang w:val="en-GB"/>
        </w:rPr>
        <w:t>concerns</w:t>
      </w:r>
      <w:r w:rsidR="009B5F4B" w:rsidRPr="00AA2617">
        <w:rPr>
          <w:sz w:val="22"/>
          <w:lang w:val="en-GB"/>
        </w:rPr>
        <w:t xml:space="preserve">. These needs </w:t>
      </w:r>
      <w:r w:rsidR="00EB2595">
        <w:rPr>
          <w:sz w:val="22"/>
          <w:lang w:val="en-GB"/>
        </w:rPr>
        <w:t>updates</w:t>
      </w:r>
      <w:r w:rsidR="009B5F4B" w:rsidRPr="00AA2617">
        <w:rPr>
          <w:sz w:val="22"/>
          <w:lang w:val="en-GB"/>
        </w:rPr>
        <w:t xml:space="preserve"> with proper methodologi</w:t>
      </w:r>
      <w:r w:rsidR="00526782" w:rsidRPr="00AA2617">
        <w:rPr>
          <w:sz w:val="22"/>
          <w:lang w:val="en-GB"/>
        </w:rPr>
        <w:t xml:space="preserve">es, </w:t>
      </w:r>
      <w:r w:rsidR="009B5F4B" w:rsidRPr="00AA2617">
        <w:rPr>
          <w:sz w:val="22"/>
          <w:lang w:val="en-GB"/>
        </w:rPr>
        <w:t>QA and QA</w:t>
      </w:r>
      <w:r w:rsidR="00526782" w:rsidRPr="00AA2617">
        <w:rPr>
          <w:sz w:val="22"/>
          <w:lang w:val="en-GB"/>
        </w:rPr>
        <w:t xml:space="preserve"> guidelines. (d) Emission factor improvements in forestry and livestock sectors were of immediate concerns. (e) Adaptation sectors NDC are less defined and it needs more national capacity building. (f) National agro-ecologial zone maps needs to re-defined which will result in refinement of emission factors too. This project will help in achieving such challenges which will improve national ability to report better with enhanced accuracy. </w:t>
      </w:r>
    </w:p>
    <w:p w14:paraId="47122996" w14:textId="2AE7DBDE" w:rsidR="00520766" w:rsidRPr="00AA2617" w:rsidRDefault="001A3FBB" w:rsidP="00AA2617">
      <w:pPr>
        <w:pStyle w:val="NumberedParagraph"/>
        <w:ind w:left="360"/>
        <w:rPr>
          <w:lang w:val="en-GB"/>
        </w:rPr>
      </w:pPr>
      <w:r w:rsidRPr="00AA2617">
        <w:rPr>
          <w:i/>
          <w:sz w:val="22"/>
          <w:lang w:val="en-GB"/>
        </w:rPr>
        <w:lastRenderedPageBreak/>
        <w:t>Institutional arrangements.</w:t>
      </w:r>
      <w:r w:rsidRPr="00AA2617">
        <w:rPr>
          <w:sz w:val="22"/>
          <w:lang w:val="en-GB"/>
        </w:rPr>
        <w:t xml:space="preserve">  Institutional arrangements are generally established for mitigation-related ETF functions</w:t>
      </w:r>
      <w:r w:rsidR="009772D6" w:rsidRPr="00AA2617">
        <w:rPr>
          <w:sz w:val="22"/>
          <w:lang w:val="en-GB"/>
        </w:rPr>
        <w:t xml:space="preserve">. </w:t>
      </w:r>
      <w:r w:rsidRPr="00AA2617">
        <w:rPr>
          <w:sz w:val="22"/>
          <w:lang w:val="en-GB"/>
        </w:rPr>
        <w:t>The arrangements are less deve</w:t>
      </w:r>
      <w:r w:rsidR="00D51AD6" w:rsidRPr="00AA2617">
        <w:rPr>
          <w:sz w:val="22"/>
          <w:lang w:val="en-GB"/>
        </w:rPr>
        <w:t>loped for adaptation-related M&amp;R</w:t>
      </w:r>
      <w:r w:rsidRPr="00AA2617">
        <w:rPr>
          <w:sz w:val="22"/>
          <w:lang w:val="en-GB"/>
        </w:rPr>
        <w:t>, though are expected to be similar</w:t>
      </w:r>
      <w:r w:rsidR="00D51AD6" w:rsidRPr="00AA2617">
        <w:rPr>
          <w:sz w:val="22"/>
          <w:lang w:val="en-GB"/>
        </w:rPr>
        <w:t xml:space="preserve"> as adaptation-related arrangements develop</w:t>
      </w:r>
      <w:r w:rsidRPr="00AA2617">
        <w:rPr>
          <w:sz w:val="22"/>
          <w:lang w:val="en-GB"/>
        </w:rPr>
        <w:t xml:space="preserve">.  Figure </w:t>
      </w:r>
      <w:r w:rsidR="00BE79EE" w:rsidRPr="00AA2617">
        <w:rPr>
          <w:sz w:val="22"/>
          <w:lang w:val="en-GB"/>
        </w:rPr>
        <w:t>8</w:t>
      </w:r>
      <w:r w:rsidRPr="00AA2617">
        <w:rPr>
          <w:sz w:val="22"/>
          <w:lang w:val="en-GB"/>
        </w:rPr>
        <w:t xml:space="preserve"> depicts the institutional arrangements for </w:t>
      </w:r>
      <w:r w:rsidR="009772D6" w:rsidRPr="00AA2617">
        <w:rPr>
          <w:sz w:val="22"/>
          <w:lang w:val="en-GB"/>
        </w:rPr>
        <w:t xml:space="preserve">Sri Lanka’s </w:t>
      </w:r>
      <w:r w:rsidRPr="00AA2617">
        <w:rPr>
          <w:sz w:val="22"/>
          <w:lang w:val="en-GB"/>
        </w:rPr>
        <w:t xml:space="preserve">national GHG inventory process. </w:t>
      </w:r>
      <w:r w:rsidR="00520766" w:rsidRPr="00AA2617">
        <w:rPr>
          <w:sz w:val="22"/>
          <w:lang w:val="en-GB"/>
        </w:rPr>
        <w:t xml:space="preserve">Ministry of Mahaweli Development and Environment, </w:t>
      </w:r>
      <w:r w:rsidR="009772D6" w:rsidRPr="00AA2617">
        <w:rPr>
          <w:sz w:val="22"/>
          <w:lang w:val="en-GB"/>
        </w:rPr>
        <w:t>is the U</w:t>
      </w:r>
      <w:r w:rsidRPr="00AA2617">
        <w:rPr>
          <w:sz w:val="22"/>
          <w:lang w:val="en-GB"/>
        </w:rPr>
        <w:t xml:space="preserve">NFCCC focal point </w:t>
      </w:r>
      <w:r w:rsidR="00520766" w:rsidRPr="00AA2617">
        <w:rPr>
          <w:sz w:val="22"/>
          <w:lang w:val="en-GB"/>
        </w:rPr>
        <w:t>under which Climate Change Secretariat</w:t>
      </w:r>
      <w:r w:rsidR="00520766" w:rsidRPr="00AA2617">
        <w:rPr>
          <w:rStyle w:val="FootnoteReference"/>
          <w:i/>
          <w:sz w:val="22"/>
          <w:lang w:val="en-GB"/>
        </w:rPr>
        <w:footnoteReference w:id="25"/>
      </w:r>
      <w:r w:rsidR="00520766" w:rsidRPr="00AA2617">
        <w:rPr>
          <w:sz w:val="22"/>
          <w:lang w:val="en-GB"/>
        </w:rPr>
        <w:t xml:space="preserve"> acts with a </w:t>
      </w:r>
      <w:r w:rsidRPr="00AA2617">
        <w:rPr>
          <w:sz w:val="22"/>
          <w:lang w:val="en-GB"/>
        </w:rPr>
        <w:t xml:space="preserve">mandate to estimate GHG emissions and removals.  </w:t>
      </w:r>
      <w:r w:rsidR="00C96BE2" w:rsidRPr="00AA2617">
        <w:rPr>
          <w:sz w:val="22"/>
          <w:lang w:val="en-GB"/>
        </w:rPr>
        <w:t>CCS</w:t>
      </w:r>
      <w:r w:rsidRPr="00AA2617">
        <w:rPr>
          <w:sz w:val="22"/>
          <w:lang w:val="en-GB"/>
        </w:rPr>
        <w:t xml:space="preserve"> </w:t>
      </w:r>
      <w:r w:rsidR="00520766" w:rsidRPr="00AA2617">
        <w:rPr>
          <w:sz w:val="22"/>
          <w:lang w:val="en-GB"/>
        </w:rPr>
        <w:t>is responsible for</w:t>
      </w:r>
      <w:r w:rsidRPr="00AA2617">
        <w:rPr>
          <w:sz w:val="22"/>
          <w:lang w:val="en-GB"/>
        </w:rPr>
        <w:t xml:space="preserve"> Climate Change</w:t>
      </w:r>
      <w:r w:rsidR="00C96BE2" w:rsidRPr="00AA2617">
        <w:rPr>
          <w:sz w:val="22"/>
          <w:lang w:val="en-GB"/>
        </w:rPr>
        <w:t xml:space="preserve"> technical reports and </w:t>
      </w:r>
      <w:r w:rsidR="00D9609B" w:rsidRPr="00AA2617">
        <w:rPr>
          <w:sz w:val="22"/>
          <w:lang w:val="en-GB"/>
        </w:rPr>
        <w:t xml:space="preserve">national greenhouse gas inventory (GHGI) as well as the submission of NCs, BURs, </w:t>
      </w:r>
      <w:r w:rsidR="00DA1C8E" w:rsidRPr="00AA2617">
        <w:rPr>
          <w:sz w:val="22"/>
          <w:lang w:val="en-GB"/>
        </w:rPr>
        <w:t xml:space="preserve">and </w:t>
      </w:r>
      <w:r w:rsidR="00C96BE2" w:rsidRPr="00AA2617">
        <w:rPr>
          <w:sz w:val="22"/>
          <w:lang w:val="en-GB"/>
        </w:rPr>
        <w:t xml:space="preserve">BTRs </w:t>
      </w:r>
      <w:r w:rsidR="00D9609B" w:rsidRPr="00AA2617">
        <w:rPr>
          <w:sz w:val="22"/>
          <w:lang w:val="en-GB"/>
        </w:rPr>
        <w:t xml:space="preserve">to the UNFCCC </w:t>
      </w:r>
      <w:r w:rsidR="00E84BB6" w:rsidRPr="00AA2617">
        <w:rPr>
          <w:sz w:val="22"/>
          <w:lang w:val="en-GB"/>
        </w:rPr>
        <w:t>Secretariat</w:t>
      </w:r>
      <w:r w:rsidR="00D9609B" w:rsidRPr="00AA2617">
        <w:rPr>
          <w:sz w:val="22"/>
          <w:lang w:val="en-GB"/>
        </w:rPr>
        <w:t xml:space="preserve">. </w:t>
      </w:r>
      <w:r w:rsidR="008336B5" w:rsidRPr="00AA2617">
        <w:rPr>
          <w:sz w:val="22"/>
          <w:lang w:val="en-GB"/>
        </w:rPr>
        <w:t xml:space="preserve">CCS is establishing provincial level climate cells to coordinate data collection. Capacity building for enhanced transparency in data collection from all stakeholders will be one of the major initiatives under this project. </w:t>
      </w:r>
    </w:p>
    <w:p w14:paraId="0CEF72D2" w14:textId="73E75F28" w:rsidR="000E045D" w:rsidRPr="00AA2617" w:rsidRDefault="000E045D" w:rsidP="00AA2617">
      <w:pPr>
        <w:pStyle w:val="GEFFieldtoFillout"/>
        <w:rPr>
          <w:lang w:val="en-GB"/>
        </w:rPr>
      </w:pPr>
      <w:r w:rsidRPr="00AA2617">
        <w:rPr>
          <w:rFonts w:eastAsiaTheme="minorHAnsi" w:cstheme="minorBidi"/>
          <w:noProof/>
          <w:color w:val="auto"/>
        </w:rPr>
        <mc:AlternateContent>
          <mc:Choice Requires="wpg">
            <w:drawing>
              <wp:inline distT="0" distB="0" distL="0" distR="0" wp14:anchorId="0E3A83FC" wp14:editId="132228C3">
                <wp:extent cx="6345555" cy="5196840"/>
                <wp:effectExtent l="0" t="0" r="0" b="3810"/>
                <wp:docPr id="317" name="Group 3">
                  <a:extLst xmlns:a="http://schemas.openxmlformats.org/drawingml/2006/main"/>
                </wp:docPr>
                <wp:cNvGraphicFramePr/>
                <a:graphic xmlns:a="http://schemas.openxmlformats.org/drawingml/2006/main">
                  <a:graphicData uri="http://schemas.microsoft.com/office/word/2010/wordprocessingGroup">
                    <wpg:wgp>
                      <wpg:cNvGrpSpPr/>
                      <wpg:grpSpPr>
                        <a:xfrm>
                          <a:off x="0" y="0"/>
                          <a:ext cx="6345555" cy="5196840"/>
                          <a:chOff x="0" y="0"/>
                          <a:chExt cx="9782176" cy="4671992"/>
                        </a:xfrm>
                      </wpg:grpSpPr>
                      <wpg:grpSp>
                        <wpg:cNvPr id="318" name="Group 318">
                          <a:extLst/>
                        </wpg:cNvPr>
                        <wpg:cNvGrpSpPr/>
                        <wpg:grpSpPr>
                          <a:xfrm>
                            <a:off x="0" y="0"/>
                            <a:ext cx="9782176" cy="4384275"/>
                            <a:chOff x="0" y="0"/>
                            <a:chExt cx="6029325" cy="4384708"/>
                          </a:xfrm>
                        </wpg:grpSpPr>
                        <wpg:grpSp>
                          <wpg:cNvPr id="319" name="Group 319">
                            <a:extLst/>
                          </wpg:cNvPr>
                          <wpg:cNvGrpSpPr/>
                          <wpg:grpSpPr>
                            <a:xfrm>
                              <a:off x="85725" y="314325"/>
                              <a:ext cx="5362576" cy="4070383"/>
                              <a:chOff x="85725" y="314325"/>
                              <a:chExt cx="5362576" cy="4070383"/>
                            </a:xfrm>
                          </wpg:grpSpPr>
                          <wpg:grpSp>
                            <wpg:cNvPr id="321" name="Group 321">
                              <a:extLst/>
                            </wpg:cNvPr>
                            <wpg:cNvGrpSpPr/>
                            <wpg:grpSpPr>
                              <a:xfrm>
                                <a:off x="85725" y="657225"/>
                                <a:ext cx="5362576" cy="3727483"/>
                                <a:chOff x="85725" y="657225"/>
                                <a:chExt cx="5362576" cy="3727483"/>
                              </a:xfrm>
                            </wpg:grpSpPr>
                            <wps:wsp>
                              <wps:cNvPr id="322" name="Rounded Rectangle 206">
                                <a:extLst/>
                              </wps:cNvPr>
                              <wps:cNvSpPr/>
                              <wps:spPr>
                                <a:xfrm>
                                  <a:off x="85725" y="657225"/>
                                  <a:ext cx="2798316" cy="3576758"/>
                                </a:xfrm>
                                <a:prstGeom prst="roundRect">
                                  <a:avLst/>
                                </a:prstGeom>
                                <a:noFill/>
                                <a:ln>
                                  <a:solidFill>
                                    <a:schemeClr val="accent1">
                                      <a:lumMod val="50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cNvPr id="104" name="Group 104">
                                <a:extLst/>
                              </wpg:cNvPr>
                              <wpg:cNvGrpSpPr/>
                              <wpg:grpSpPr>
                                <a:xfrm>
                                  <a:off x="2952751" y="676255"/>
                                  <a:ext cx="2495550" cy="3708453"/>
                                  <a:chOff x="2952751" y="676255"/>
                                  <a:chExt cx="2495550" cy="3708453"/>
                                </a:xfrm>
                              </wpg:grpSpPr>
                              <wps:wsp>
                                <wps:cNvPr id="105" name="Rectangle 105">
                                  <a:extLst/>
                                </wps:cNvPr>
                                <wps:cNvSpPr/>
                                <wps:spPr>
                                  <a:xfrm>
                                    <a:off x="3133726" y="676255"/>
                                    <a:ext cx="2133600" cy="4095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0461B248" w14:textId="77777777" w:rsidR="0099059D" w:rsidRDefault="0099059D" w:rsidP="000E045D">
                                      <w:pPr>
                                        <w:pStyle w:val="NormalWeb"/>
                                        <w:spacing w:before="0" w:beforeAutospacing="0" w:after="120" w:afterAutospacing="0"/>
                                        <w:jc w:val="center"/>
                                      </w:pPr>
                                      <w:r>
                                        <w:rPr>
                                          <w:rFonts w:eastAsia="Calibri"/>
                                          <w:b/>
                                          <w:bCs/>
                                          <w:color w:val="000000"/>
                                          <w:kern w:val="24"/>
                                          <w:sz w:val="21"/>
                                          <w:szCs w:val="21"/>
                                        </w:rPr>
                                        <w:t>UNFCCC Secretariat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g:grpSp>
                                <wpg:cNvPr id="106" name="Group 106">
                                  <a:extLst/>
                                </wpg:cNvPr>
                                <wpg:cNvGrpSpPr/>
                                <wpg:grpSpPr>
                                  <a:xfrm>
                                    <a:off x="2952751" y="1552576"/>
                                    <a:ext cx="2495550" cy="2832132"/>
                                    <a:chOff x="2952751" y="1552576"/>
                                    <a:chExt cx="2495550" cy="2832132"/>
                                  </a:xfrm>
                                </wpg:grpSpPr>
                                <wps:wsp>
                                  <wps:cNvPr id="107" name="Rectangle 107">
                                    <a:extLst/>
                                  </wps:cNvPr>
                                  <wps:cNvSpPr/>
                                  <wps:spPr>
                                    <a:xfrm>
                                      <a:off x="3148207" y="2869574"/>
                                      <a:ext cx="2133600" cy="1200150"/>
                                    </a:xfrm>
                                    <a:prstGeom prst="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3011B7F" w14:textId="77777777" w:rsidR="0099059D" w:rsidRDefault="0099059D" w:rsidP="000E045D">
                                        <w:pPr>
                                          <w:pStyle w:val="NormalWeb"/>
                                          <w:spacing w:before="0" w:beforeAutospacing="0" w:after="120" w:afterAutospacing="0"/>
                                          <w:jc w:val="center"/>
                                        </w:pPr>
                                        <w:r>
                                          <w:rPr>
                                            <w:rFonts w:eastAsia="Calibri"/>
                                            <w:b/>
                                            <w:bCs/>
                                            <w:color w:val="000000"/>
                                            <w:kern w:val="24"/>
                                            <w:sz w:val="21"/>
                                            <w:szCs w:val="21"/>
                                          </w:rPr>
                                          <w:t>Central Change Secretariat</w:t>
                                        </w:r>
                                      </w:p>
                                      <w:p w14:paraId="4C889879" w14:textId="77777777" w:rsidR="0099059D" w:rsidRDefault="0099059D" w:rsidP="000E045D">
                                        <w:pPr>
                                          <w:pStyle w:val="NormalWeb"/>
                                          <w:spacing w:before="0" w:beforeAutospacing="0" w:after="120" w:afterAutospacing="0"/>
                                          <w:jc w:val="center"/>
                                        </w:pPr>
                                        <w:r>
                                          <w:rPr>
                                            <w:rFonts w:eastAsia="Calibri"/>
                                            <w:i/>
                                            <w:iCs/>
                                            <w:color w:val="000000"/>
                                            <w:kern w:val="24"/>
                                            <w:sz w:val="21"/>
                                            <w:szCs w:val="21"/>
                                          </w:rPr>
                                          <w:t>As national entity for GHG inventory, reviews and endorses GHG inventory</w:t>
                                        </w:r>
                                      </w:p>
                                      <w:p w14:paraId="2F4E42C8" w14:textId="77777777" w:rsidR="0099059D" w:rsidRDefault="0099059D" w:rsidP="000E045D">
                                        <w:pPr>
                                          <w:pStyle w:val="NormalWeb"/>
                                          <w:spacing w:before="0" w:beforeAutospacing="0" w:after="120" w:afterAutospacing="0"/>
                                          <w:jc w:val="center"/>
                                        </w:pPr>
                                        <w:r>
                                          <w:rPr>
                                            <w:rFonts w:eastAsia="Calibri"/>
                                            <w:b/>
                                            <w:bCs/>
                                            <w:color w:val="000000"/>
                                            <w:kern w:val="24"/>
                                            <w:sz w:val="21"/>
                                            <w:szCs w:val="21"/>
                                          </w:rPr>
                                          <w:t>Ministry of Mahaweli Development and Environment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8" name="Rectangle 108">
                                    <a:extLst/>
                                  </wps:cNvPr>
                                  <wps:cNvSpPr/>
                                  <wps:spPr>
                                    <a:xfrm>
                                      <a:off x="3155447" y="1747032"/>
                                      <a:ext cx="2133600" cy="979708"/>
                                    </a:xfrm>
                                    <a:prstGeom prst="rect">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864D0EA" w14:textId="3D854060" w:rsidR="0099059D" w:rsidRDefault="0099059D" w:rsidP="000E045D">
                                        <w:pPr>
                                          <w:pStyle w:val="NormalWeb"/>
                                          <w:spacing w:before="0" w:beforeAutospacing="0" w:after="120" w:afterAutospacing="0"/>
                                          <w:jc w:val="center"/>
                                          <w:rPr>
                                            <w:rFonts w:eastAsia="Calibri"/>
                                            <w:b/>
                                            <w:bCs/>
                                            <w:color w:val="000000"/>
                                            <w:kern w:val="24"/>
                                            <w:sz w:val="21"/>
                                            <w:szCs w:val="21"/>
                                          </w:rPr>
                                        </w:pPr>
                                        <w:r>
                                          <w:rPr>
                                            <w:rFonts w:eastAsia="Calibri"/>
                                            <w:b/>
                                            <w:bCs/>
                                            <w:color w:val="000000"/>
                                            <w:kern w:val="24"/>
                                            <w:sz w:val="21"/>
                                            <w:szCs w:val="21"/>
                                          </w:rPr>
                                          <w:t>UNFCCC National Focal Point</w:t>
                                        </w:r>
                                      </w:p>
                                      <w:p w14:paraId="3C037A2B" w14:textId="01D38347" w:rsidR="0099059D" w:rsidRDefault="0099059D" w:rsidP="00313B13">
                                        <w:pPr>
                                          <w:pStyle w:val="NormalWeb"/>
                                          <w:spacing w:before="0" w:beforeAutospacing="0" w:after="120" w:afterAutospacing="0"/>
                                          <w:jc w:val="center"/>
                                        </w:pPr>
                                        <w:r>
                                          <w:rPr>
                                            <w:rFonts w:eastAsia="Calibri"/>
                                            <w:b/>
                                            <w:bCs/>
                                            <w:color w:val="000000"/>
                                            <w:kern w:val="24"/>
                                            <w:sz w:val="21"/>
                                            <w:szCs w:val="21"/>
                                          </w:rPr>
                                          <w:t>Ministry of Mahaweli Development and Environment</w:t>
                                        </w:r>
                                      </w:p>
                                      <w:p w14:paraId="7EAF8E2D" w14:textId="77777777" w:rsidR="0099059D" w:rsidRDefault="0099059D" w:rsidP="000E045D">
                                        <w:pPr>
                                          <w:pStyle w:val="NormalWeb"/>
                                          <w:spacing w:before="0" w:beforeAutospacing="0" w:after="120" w:afterAutospacing="0"/>
                                          <w:jc w:val="center"/>
                                        </w:pPr>
                                        <w:r>
                                          <w:rPr>
                                            <w:rFonts w:eastAsia="Calibri"/>
                                            <w:color w:val="000000"/>
                                            <w:kern w:val="24"/>
                                            <w:sz w:val="21"/>
                                            <w:szCs w:val="21"/>
                                          </w:rPr>
                                          <w:t> </w:t>
                                        </w:r>
                                        <w:r>
                                          <w:rPr>
                                            <w:rFonts w:eastAsia="Calibri"/>
                                            <w:i/>
                                            <w:iCs/>
                                            <w:color w:val="000000"/>
                                            <w:kern w:val="24"/>
                                            <w:sz w:val="21"/>
                                            <w:szCs w:val="21"/>
                                          </w:rPr>
                                          <w:t>Reviews, endorses, and submits GHG inventory</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9" name="Rounded Rectangle 213">
                                    <a:extLst/>
                                  </wps:cNvPr>
                                  <wps:cNvSpPr/>
                                  <wps:spPr>
                                    <a:xfrm>
                                      <a:off x="2952751" y="1552576"/>
                                      <a:ext cx="2495550" cy="2832132"/>
                                    </a:xfrm>
                                    <a:prstGeom prst="roundRect">
                                      <a:avLst/>
                                    </a:prstGeom>
                                    <a:noFill/>
                                    <a:ln>
                                      <a:solidFill>
                                        <a:schemeClr val="accent1">
                                          <a:lumMod val="50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grpSp>
                            <wpg:grpSp>
                              <wpg:cNvPr id="110" name="Group 110">
                                <a:extLst/>
                              </wpg:cNvPr>
                              <wpg:cNvGrpSpPr/>
                              <wpg:grpSpPr>
                                <a:xfrm>
                                  <a:off x="2896103" y="1085830"/>
                                  <a:ext cx="1326144" cy="2353424"/>
                                  <a:chOff x="2896103" y="1085830"/>
                                  <a:chExt cx="1326144" cy="2353424"/>
                                </a:xfrm>
                              </wpg:grpSpPr>
                              <wps:wsp>
                                <wps:cNvPr id="111" name="Straight Arrow Connector 111">
                                  <a:extLst/>
                                </wps:cNvPr>
                                <wps:cNvCnPr/>
                                <wps:spPr>
                                  <a:xfrm flipV="1">
                                    <a:off x="2896103" y="3431549"/>
                                    <a:ext cx="237623" cy="7705"/>
                                  </a:xfrm>
                                  <a:prstGeom prst="straightConnector1">
                                    <a:avLst/>
                                  </a:prstGeom>
                                  <a:ln w="28575">
                                    <a:solidFill>
                                      <a:schemeClr val="tx2"/>
                                    </a:solidFill>
                                    <a:tailEnd type="triangle" w="lg" len="med"/>
                                  </a:ln>
                                </wps:spPr>
                                <wps:style>
                                  <a:lnRef idx="1">
                                    <a:schemeClr val="accent1"/>
                                  </a:lnRef>
                                  <a:fillRef idx="0">
                                    <a:schemeClr val="accent1"/>
                                  </a:fillRef>
                                  <a:effectRef idx="0">
                                    <a:schemeClr val="accent1"/>
                                  </a:effectRef>
                                  <a:fontRef idx="minor">
                                    <a:schemeClr val="tx1"/>
                                  </a:fontRef>
                                </wps:style>
                                <wps:bodyPr/>
                              </wps:wsp>
                              <wps:wsp>
                                <wps:cNvPr id="112" name="Straight Arrow Connector 112">
                                  <a:extLst/>
                                </wps:cNvPr>
                                <wps:cNvCnPr>
                                  <a:cxnSpLocks/>
                                  <a:stCxn id="107" idx="0"/>
                                  <a:endCxn id="108" idx="2"/>
                                </wps:cNvCnPr>
                                <wps:spPr>
                                  <a:xfrm flipV="1">
                                    <a:off x="4215007" y="2726740"/>
                                    <a:ext cx="7240" cy="142834"/>
                                  </a:xfrm>
                                  <a:prstGeom prst="straightConnector1">
                                    <a:avLst/>
                                  </a:prstGeom>
                                  <a:ln w="28575">
                                    <a:solidFill>
                                      <a:schemeClr val="tx2"/>
                                    </a:solidFill>
                                    <a:tailEnd type="triangle" w="lg" len="med"/>
                                  </a:ln>
                                </wps:spPr>
                                <wps:style>
                                  <a:lnRef idx="1">
                                    <a:schemeClr val="accent1"/>
                                  </a:lnRef>
                                  <a:fillRef idx="0">
                                    <a:schemeClr val="accent1"/>
                                  </a:fillRef>
                                  <a:effectRef idx="0">
                                    <a:schemeClr val="accent1"/>
                                  </a:effectRef>
                                  <a:fontRef idx="minor">
                                    <a:schemeClr val="tx1"/>
                                  </a:fontRef>
                                </wps:style>
                                <wps:bodyPr/>
                              </wps:wsp>
                              <wps:wsp>
                                <wps:cNvPr id="113" name="Straight Arrow Connector 113">
                                  <a:extLst/>
                                </wps:cNvPr>
                                <wps:cNvCnPr>
                                  <a:cxnSpLocks/>
                                  <a:stCxn id="108" idx="0"/>
                                  <a:endCxn id="105" idx="2"/>
                                </wps:cNvCnPr>
                                <wps:spPr>
                                  <a:xfrm flipH="1" flipV="1">
                                    <a:off x="4200526" y="1085830"/>
                                    <a:ext cx="21721" cy="661202"/>
                                  </a:xfrm>
                                  <a:prstGeom prst="straightConnector1">
                                    <a:avLst/>
                                  </a:prstGeom>
                                  <a:ln w="28575">
                                    <a:solidFill>
                                      <a:schemeClr val="tx2"/>
                                    </a:solidFill>
                                    <a:tailEnd type="triangle" w="lg" len="med"/>
                                  </a:ln>
                                </wps:spPr>
                                <wps:style>
                                  <a:lnRef idx="1">
                                    <a:schemeClr val="accent1"/>
                                  </a:lnRef>
                                  <a:fillRef idx="0">
                                    <a:schemeClr val="accent1"/>
                                  </a:fillRef>
                                  <a:effectRef idx="0">
                                    <a:schemeClr val="accent1"/>
                                  </a:effectRef>
                                  <a:fontRef idx="minor">
                                    <a:schemeClr val="tx1"/>
                                  </a:fontRef>
                                </wps:style>
                                <wps:bodyPr/>
                              </wps:wsp>
                            </wpg:grpSp>
                          </wpg:grpSp>
                          <wpg:grpSp>
                            <wpg:cNvPr id="114" name="Group 114">
                              <a:extLst/>
                            </wpg:cNvPr>
                            <wpg:cNvGrpSpPr/>
                            <wpg:grpSpPr>
                              <a:xfrm>
                                <a:off x="628651" y="314325"/>
                                <a:ext cx="4162425" cy="276225"/>
                                <a:chOff x="628651" y="314325"/>
                                <a:chExt cx="4162425" cy="276225"/>
                              </a:xfrm>
                            </wpg:grpSpPr>
                            <wps:wsp>
                              <wps:cNvPr id="115" name="Text Box 221">
                                <a:extLst/>
                              </wps:cNvPr>
                              <wps:cNvSpPr txBox="1"/>
                              <wps:spPr>
                                <a:xfrm>
                                  <a:off x="628651" y="323850"/>
                                  <a:ext cx="120015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FEE4724" w14:textId="77777777" w:rsidR="0099059D" w:rsidRDefault="0099059D" w:rsidP="000E045D">
                                    <w:pPr>
                                      <w:pStyle w:val="NormalWeb"/>
                                      <w:spacing w:before="0" w:beforeAutospacing="0" w:after="120" w:afterAutospacing="0"/>
                                      <w:jc w:val="center"/>
                                    </w:pPr>
                                    <w:r>
                                      <w:rPr>
                                        <w:rFonts w:eastAsia="Calibri"/>
                                        <w:color w:val="000000" w:themeColor="dark1"/>
                                        <w:kern w:val="24"/>
                                        <w:sz w:val="21"/>
                                        <w:szCs w:val="21"/>
                                      </w:rPr>
                                      <w:t>Data Collection</w:t>
                                    </w:r>
                                    <w:r>
                                      <w:rPr>
                                        <w:rFonts w:eastAsia="Calibri"/>
                                        <w:color w:val="000000" w:themeColor="dark1"/>
                                        <w:kern w:val="24"/>
                                        <w:position w:val="6"/>
                                        <w:sz w:val="21"/>
                                        <w:szCs w:val="21"/>
                                        <w:vertAlign w:val="superscript"/>
                                      </w:rPr>
                                      <w:t>a</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6" name="Text Box 222">
                                <a:extLst/>
                              </wps:cNvPr>
                              <wps:cNvSpPr txBox="1"/>
                              <wps:spPr>
                                <a:xfrm>
                                  <a:off x="3590926" y="314325"/>
                                  <a:ext cx="120015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32BEE0B" w14:textId="77777777" w:rsidR="0099059D" w:rsidRDefault="0099059D" w:rsidP="000E045D">
                                    <w:pPr>
                                      <w:pStyle w:val="NormalWeb"/>
                                      <w:spacing w:before="0" w:beforeAutospacing="0" w:after="120" w:afterAutospacing="0"/>
                                      <w:jc w:val="center"/>
                                    </w:pPr>
                                    <w:r>
                                      <w:rPr>
                                        <w:rFonts w:eastAsia="Calibri"/>
                                        <w:color w:val="000000" w:themeColor="dark1"/>
                                        <w:kern w:val="24"/>
                                        <w:sz w:val="21"/>
                                        <w:szCs w:val="21"/>
                                      </w:rPr>
                                      <w:t>Reporting</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g:grpSp>
                        <wps:wsp>
                          <wps:cNvPr id="117" name="Text Box 2">
                            <a:extLst/>
                          </wps:cNvPr>
                          <wps:cNvSpPr txBox="1">
                            <a:spLocks noChangeArrowheads="1"/>
                          </wps:cNvSpPr>
                          <wps:spPr bwMode="auto">
                            <a:xfrm>
                              <a:off x="0" y="0"/>
                              <a:ext cx="6029325" cy="276225"/>
                            </a:xfrm>
                            <a:prstGeom prst="rect">
                              <a:avLst/>
                            </a:prstGeom>
                            <a:solidFill>
                              <a:srgbClr val="FFFFFF"/>
                            </a:solidFill>
                            <a:ln w="9525">
                              <a:noFill/>
                              <a:miter lim="800000"/>
                              <a:headEnd/>
                              <a:tailEnd/>
                            </a:ln>
                          </wps:spPr>
                          <wps:txbx>
                            <w:txbxContent>
                              <w:p w14:paraId="2757FE27" w14:textId="77777777" w:rsidR="0099059D" w:rsidRDefault="0099059D" w:rsidP="000E045D">
                                <w:pPr>
                                  <w:pStyle w:val="NormalWeb"/>
                                  <w:spacing w:before="0" w:beforeAutospacing="0" w:after="120" w:afterAutospacing="0"/>
                                  <w:jc w:val="center"/>
                                </w:pPr>
                                <w:r>
                                  <w:rPr>
                                    <w:rFonts w:eastAsia="Calibri"/>
                                    <w:color w:val="000000" w:themeColor="text1"/>
                                    <w:kern w:val="24"/>
                                    <w:sz w:val="22"/>
                                    <w:szCs w:val="22"/>
                                  </w:rPr>
                                  <w:t>Figure 8.  Institutional arrangement for GHG inventory</w:t>
                                </w:r>
                              </w:p>
                            </w:txbxContent>
                          </wps:txbx>
                          <wps:bodyPr rot="0" vert="horz" wrap="square" lIns="91440" tIns="45720" rIns="91440" bIns="45720" anchor="t" anchorCtr="0">
                            <a:noAutofit/>
                          </wps:bodyPr>
                        </wps:wsp>
                      </wpg:grpSp>
                      <wps:wsp>
                        <wps:cNvPr id="118" name="Text Box 2">
                          <a:extLst/>
                        </wps:cNvPr>
                        <wps:cNvSpPr txBox="1">
                          <a:spLocks noChangeArrowheads="1"/>
                        </wps:cNvSpPr>
                        <wps:spPr bwMode="auto">
                          <a:xfrm>
                            <a:off x="293671" y="4432227"/>
                            <a:ext cx="9362227" cy="239765"/>
                          </a:xfrm>
                          <a:prstGeom prst="rect">
                            <a:avLst/>
                          </a:prstGeom>
                          <a:solidFill>
                            <a:srgbClr val="FFFFFF"/>
                          </a:solidFill>
                          <a:ln w="9525">
                            <a:noFill/>
                            <a:miter lim="800000"/>
                            <a:headEnd/>
                            <a:tailEnd/>
                          </a:ln>
                        </wps:spPr>
                        <wps:txbx>
                          <w:txbxContent>
                            <w:p w14:paraId="75BDF60E" w14:textId="77777777" w:rsidR="0099059D" w:rsidRDefault="0099059D" w:rsidP="000E045D">
                              <w:pPr>
                                <w:pStyle w:val="NormalWeb"/>
                                <w:spacing w:before="0" w:beforeAutospacing="0" w:after="120" w:afterAutospacing="0"/>
                                <w:jc w:val="both"/>
                              </w:pPr>
                              <w:r>
                                <w:rPr>
                                  <w:rFonts w:eastAsia="Calibri"/>
                                  <w:color w:val="000000" w:themeColor="text1"/>
                                  <w:kern w:val="24"/>
                                  <w:position w:val="6"/>
                                  <w:sz w:val="21"/>
                                  <w:szCs w:val="21"/>
                                  <w:vertAlign w:val="superscript"/>
                                </w:rPr>
                                <w:t>a</w:t>
                              </w:r>
                              <w:r>
                                <w:rPr>
                                  <w:rFonts w:eastAsia="Calibri"/>
                                  <w:color w:val="000000" w:themeColor="text1"/>
                                  <w:kern w:val="24"/>
                                  <w:sz w:val="21"/>
                                  <w:szCs w:val="21"/>
                                </w:rPr>
                                <w:t xml:space="preserve"> For AFOLU reporting, data are collected primarily from these departments.</w:t>
                              </w:r>
                            </w:p>
                          </w:txbxContent>
                        </wps:txbx>
                        <wps:bodyPr rot="0" vert="horz" wrap="square" lIns="91440" tIns="45720" rIns="91440" bIns="45720" anchor="t" anchorCtr="0">
                          <a:noAutofit/>
                        </wps:bodyPr>
                      </wps:wsp>
                      <wps:wsp>
                        <wps:cNvPr id="119" name="Rectangle 119">
                          <a:extLst/>
                        </wps:cNvPr>
                        <wps:cNvSpPr/>
                        <wps:spPr>
                          <a:xfrm>
                            <a:off x="253463" y="823558"/>
                            <a:ext cx="4243706" cy="3293549"/>
                          </a:xfrm>
                          <a:prstGeom prst="rect">
                            <a:avLst/>
                          </a:prstGeom>
                        </wps:spPr>
                        <wps:txbx>
                          <w:txbxContent>
                            <w:p w14:paraId="139579C4" w14:textId="77777777" w:rsidR="0099059D" w:rsidRPr="000E045D" w:rsidRDefault="0099059D" w:rsidP="00B95927">
                              <w:pPr>
                                <w:pStyle w:val="ListParagraph"/>
                                <w:numPr>
                                  <w:ilvl w:val="0"/>
                                  <w:numId w:val="41"/>
                                </w:numPr>
                                <w:spacing w:after="0"/>
                                <w:jc w:val="left"/>
                                <w:rPr>
                                  <w:rFonts w:eastAsia="Times New Roman" w:cs="Times New Roman"/>
                                  <w:sz w:val="20"/>
                                  <w:szCs w:val="20"/>
                                </w:rPr>
                              </w:pPr>
                              <w:r w:rsidRPr="000E045D">
                                <w:rPr>
                                  <w:rFonts w:asciiTheme="minorHAnsi" w:hAnsi="Calibri"/>
                                  <w:color w:val="000000" w:themeColor="text1"/>
                                  <w:kern w:val="24"/>
                                  <w:sz w:val="20"/>
                                  <w:szCs w:val="20"/>
                                </w:rPr>
                                <w:t>Dept. of Agriculture</w:t>
                              </w:r>
                            </w:p>
                            <w:p w14:paraId="686CFF49"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Dept. of Animal Production and Health</w:t>
                              </w:r>
                            </w:p>
                            <w:p w14:paraId="388A7E5E"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Dept. of Census and Statistics</w:t>
                              </w:r>
                            </w:p>
                            <w:p w14:paraId="341EB6BD"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Dept. of Agrarian Development</w:t>
                              </w:r>
                            </w:p>
                            <w:p w14:paraId="19553B4B"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Land Use Policy Planning Department (LUPPD)</w:t>
                              </w:r>
                            </w:p>
                            <w:p w14:paraId="75D05C6C"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Survey Department</w:t>
                              </w:r>
                            </w:p>
                            <w:p w14:paraId="55769391"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Forest Department</w:t>
                              </w:r>
                            </w:p>
                            <w:p w14:paraId="41081717"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State Timber Corporation</w:t>
                              </w:r>
                            </w:p>
                            <w:p w14:paraId="6E6A9908"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Sri Lanka Sustainable Energy Authority (Biomass usage data)</w:t>
                              </w:r>
                            </w:p>
                            <w:p w14:paraId="0A7DB348" w14:textId="26BADF5F"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Urban</w:t>
                              </w:r>
                              <w:r>
                                <w:rPr>
                                  <w:rFonts w:asciiTheme="minorHAnsi" w:hAnsi="Calibri"/>
                                  <w:color w:val="000000" w:themeColor="text1"/>
                                  <w:kern w:val="24"/>
                                  <w:sz w:val="20"/>
                                  <w:szCs w:val="20"/>
                                </w:rPr>
                                <w:t xml:space="preserve"> </w:t>
                              </w:r>
                              <w:r w:rsidRPr="000E045D">
                                <w:rPr>
                                  <w:rFonts w:asciiTheme="minorHAnsi" w:hAnsi="Calibri"/>
                                  <w:color w:val="000000" w:themeColor="text1"/>
                                  <w:kern w:val="24"/>
                                  <w:sz w:val="20"/>
                                  <w:szCs w:val="20"/>
                                </w:rPr>
                                <w:t>Development Authority (UDA)</w:t>
                              </w:r>
                            </w:p>
                            <w:p w14:paraId="13538FE0"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Road Development Authority (RDA)</w:t>
                              </w:r>
                            </w:p>
                            <w:p w14:paraId="07C33921"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Tea, Rubber, Coconut Research Institutes</w:t>
                              </w:r>
                            </w:p>
                            <w:p w14:paraId="677355AB"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Ministry of Plantation Industries</w:t>
                              </w:r>
                            </w:p>
                            <w:p w14:paraId="4EAA612E"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Dept. of Export Agriculture</w:t>
                              </w:r>
                            </w:p>
                            <w:p w14:paraId="795EF64D"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Mahaweli Authority of Sri Lanka</w:t>
                              </w:r>
                            </w:p>
                            <w:p w14:paraId="4B1BEAF2"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Ministry of Mahaweli Development and Environment</w:t>
                              </w:r>
                            </w:p>
                            <w:p w14:paraId="0911333D" w14:textId="6E3A0220"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National Fertilizer Secretariat</w:t>
                              </w:r>
                            </w:p>
                            <w:p w14:paraId="42707ABD" w14:textId="33FA891F" w:rsidR="0099059D" w:rsidRPr="000E045D" w:rsidRDefault="0099059D" w:rsidP="00B95927">
                              <w:pPr>
                                <w:pStyle w:val="ListParagraph"/>
                                <w:numPr>
                                  <w:ilvl w:val="0"/>
                                  <w:numId w:val="41"/>
                                </w:numPr>
                                <w:spacing w:after="0"/>
                                <w:jc w:val="left"/>
                                <w:rPr>
                                  <w:rFonts w:eastAsia="Times New Roman"/>
                                  <w:sz w:val="20"/>
                                  <w:szCs w:val="20"/>
                                </w:rPr>
                              </w:pPr>
                              <w:r>
                                <w:rPr>
                                  <w:rFonts w:asciiTheme="minorHAnsi" w:hAnsi="Calibri"/>
                                  <w:color w:val="000000" w:themeColor="text1"/>
                                  <w:kern w:val="24"/>
                                  <w:sz w:val="20"/>
                                  <w:szCs w:val="20"/>
                                </w:rPr>
                                <w:t xml:space="preserve">et.al. </w:t>
                              </w:r>
                            </w:p>
                          </w:txbxContent>
                        </wps:txbx>
                        <wps:bodyPr wrap="square">
                          <a:noAutofit/>
                        </wps:bodyPr>
                      </wps:wsp>
                    </wpg:wgp>
                  </a:graphicData>
                </a:graphic>
              </wp:inline>
            </w:drawing>
          </mc:Choice>
          <mc:Fallback>
            <w:pict>
              <v:group w14:anchorId="0E3A83FC" id="Group 3" o:spid="_x0000_s1026" style="width:499.65pt;height:409.2pt;mso-position-horizontal-relative:char;mso-position-vertical-relative:line" coordsize="97821,46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">
                <v:group id="Group 318" o:spid="_x0000_s1027" style="position:absolute;width:97821;height:43842" coordsize="60293,43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">
                  <v:group id="Group 319" o:spid="_x0000_s1028" style="position:absolute;left:857;top:3143;width:53626;height:40704" coordorigin="857,3143" coordsize="53625,407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">
                    <v:group id="Group 321" o:spid="_x0000_s1029" style="position:absolute;left:857;top:6572;width:53626;height:37275" coordorigin="857,6572" coordsize="53625,3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1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dBLD+0w4AnL5CwAA//8DAFBLAQItABQABgAIAAAAIQDb4fbL7gAAAIUBAAATAAAAAAAAAAAA&#10;AAAAAAAAAABbQ29udGVudF9UeXBlc10ueG1sUEsBAi0AFAAGAAgAAAAhAFr0LFu/AAAAFQEAAAsA&#10;AAAAAAAAAAAAAAAAHwEAAF9yZWxzLy5yZWxzUEsBAi0AFAAGAAgAAAAhAML5DUbEAAAA3AAAAA8A&#10;AAAAAAAAAAAAAAAABwIAAGRycy9kb3ducmV2LnhtbFBLBQYAAAAAAwADALcAAAD4AgAAAAA=&#10;">
                      <v:roundrect id="Rounded Rectangle 206" o:spid="_x0000_s1030" style="position:absolute;left:857;top:6572;width:27983;height:3576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" filled="f" strokecolor="#1f3763 [1604]" strokeweight="1pt">
                        <v:stroke dashstyle="dash" joinstyle="miter"/>
                      </v:roundrect>
                      <v:group id="Group 104" o:spid="_x0000_s1031" style="position:absolute;left:29527;top:6762;width:24956;height:37085" coordorigin="29527,6762" coordsize="24955,37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rect id="Rectangle 105" o:spid="_x0000_s1032" style="position:absolute;left:31337;top:6762;width:21336;height:4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" filled="f" strokecolor="#1f3763 [1604]" strokeweight="1pt">
                          <v:textbox>
                            <w:txbxContent>
                              <w:p w14:paraId="0461B248" w14:textId="77777777" w:rsidR="0099059D" w:rsidRDefault="0099059D" w:rsidP="000E045D">
                                <w:pPr>
                                  <w:pStyle w:val="NormalWeb"/>
                                  <w:spacing w:before="0" w:beforeAutospacing="0" w:after="120" w:afterAutospacing="0"/>
                                  <w:jc w:val="center"/>
                                </w:pPr>
                                <w:r>
                                  <w:rPr>
                                    <w:rFonts w:eastAsia="Calibri"/>
                                    <w:b/>
                                    <w:bCs/>
                                    <w:color w:val="000000"/>
                                    <w:kern w:val="24"/>
                                    <w:sz w:val="21"/>
                                    <w:szCs w:val="21"/>
                                  </w:rPr>
                                  <w:t>UNFCCC Secretariat</w:t>
                                </w:r>
                              </w:p>
                            </w:txbxContent>
                          </v:textbox>
                        </v:rect>
                        <v:group id="Group 106" o:spid="_x0000_s1033" style="position:absolute;left:29527;top:15525;width:24956;height:28322" coordorigin="29527,15525" coordsize="24955,28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rect id="Rectangle 107" o:spid="_x0000_s1034" style="position:absolute;left:31482;top:28695;width:21336;height:12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" fillcolor="#8eaadb [1940]" strokecolor="#1f3763 [1604]" strokeweight="1pt">
                            <v:textbox>
                              <w:txbxContent>
                                <w:p w14:paraId="33011B7F" w14:textId="77777777" w:rsidR="0099059D" w:rsidRDefault="0099059D" w:rsidP="000E045D">
                                  <w:pPr>
                                    <w:pStyle w:val="NormalWeb"/>
                                    <w:spacing w:before="0" w:beforeAutospacing="0" w:after="120" w:afterAutospacing="0"/>
                                    <w:jc w:val="center"/>
                                  </w:pPr>
                                  <w:r>
                                    <w:rPr>
                                      <w:rFonts w:eastAsia="Calibri"/>
                                      <w:b/>
                                      <w:bCs/>
                                      <w:color w:val="000000"/>
                                      <w:kern w:val="24"/>
                                      <w:sz w:val="21"/>
                                      <w:szCs w:val="21"/>
                                    </w:rPr>
                                    <w:t>Central Change Secretariat</w:t>
                                  </w:r>
                                </w:p>
                                <w:p w14:paraId="4C889879" w14:textId="77777777" w:rsidR="0099059D" w:rsidRDefault="0099059D" w:rsidP="000E045D">
                                  <w:pPr>
                                    <w:pStyle w:val="NormalWeb"/>
                                    <w:spacing w:before="0" w:beforeAutospacing="0" w:after="120" w:afterAutospacing="0"/>
                                    <w:jc w:val="center"/>
                                  </w:pPr>
                                  <w:r>
                                    <w:rPr>
                                      <w:rFonts w:eastAsia="Calibri"/>
                                      <w:i/>
                                      <w:iCs/>
                                      <w:color w:val="000000"/>
                                      <w:kern w:val="24"/>
                                      <w:sz w:val="21"/>
                                      <w:szCs w:val="21"/>
                                    </w:rPr>
                                    <w:t>As national entity for GHG inventory, reviews and endorses GHG inventory</w:t>
                                  </w:r>
                                </w:p>
                                <w:p w14:paraId="2F4E42C8" w14:textId="77777777" w:rsidR="0099059D" w:rsidRDefault="0099059D" w:rsidP="000E045D">
                                  <w:pPr>
                                    <w:pStyle w:val="NormalWeb"/>
                                    <w:spacing w:before="0" w:beforeAutospacing="0" w:after="120" w:afterAutospacing="0"/>
                                    <w:jc w:val="center"/>
                                  </w:pPr>
                                  <w:r>
                                    <w:rPr>
                                      <w:rFonts w:eastAsia="Calibri"/>
                                      <w:b/>
                                      <w:bCs/>
                                      <w:color w:val="000000"/>
                                      <w:kern w:val="24"/>
                                      <w:sz w:val="21"/>
                                      <w:szCs w:val="21"/>
                                    </w:rPr>
                                    <w:t>Ministry of Mahaweli Development and Environment</w:t>
                                  </w:r>
                                </w:p>
                              </w:txbxContent>
                            </v:textbox>
                          </v:rect>
                          <v:rect id="Rectangle 108" o:spid="_x0000_s1035" style="position:absolute;left:31554;top:17470;width:21336;height:97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" fillcolor="#d9e2f3 [660]" strokecolor="#1f3763 [1604]" strokeweight="1pt">
                            <v:textbox>
                              <w:txbxContent>
                                <w:p w14:paraId="6864D0EA" w14:textId="3D854060" w:rsidR="0099059D" w:rsidRDefault="0099059D" w:rsidP="000E045D">
                                  <w:pPr>
                                    <w:pStyle w:val="NormalWeb"/>
                                    <w:spacing w:before="0" w:beforeAutospacing="0" w:after="120" w:afterAutospacing="0"/>
                                    <w:jc w:val="center"/>
                                    <w:rPr>
                                      <w:rFonts w:eastAsia="Calibri"/>
                                      <w:b/>
                                      <w:bCs/>
                                      <w:color w:val="000000"/>
                                      <w:kern w:val="24"/>
                                      <w:sz w:val="21"/>
                                      <w:szCs w:val="21"/>
                                    </w:rPr>
                                  </w:pPr>
                                  <w:r>
                                    <w:rPr>
                                      <w:rFonts w:eastAsia="Calibri"/>
                                      <w:b/>
                                      <w:bCs/>
                                      <w:color w:val="000000"/>
                                      <w:kern w:val="24"/>
                                      <w:sz w:val="21"/>
                                      <w:szCs w:val="21"/>
                                    </w:rPr>
                                    <w:t>UNFCCC National Focal Point</w:t>
                                  </w:r>
                                </w:p>
                                <w:p w14:paraId="3C037A2B" w14:textId="01D38347" w:rsidR="0099059D" w:rsidRDefault="0099059D" w:rsidP="00313B13">
                                  <w:pPr>
                                    <w:pStyle w:val="NormalWeb"/>
                                    <w:spacing w:before="0" w:beforeAutospacing="0" w:after="120" w:afterAutospacing="0"/>
                                    <w:jc w:val="center"/>
                                  </w:pPr>
                                  <w:r>
                                    <w:rPr>
                                      <w:rFonts w:eastAsia="Calibri"/>
                                      <w:b/>
                                      <w:bCs/>
                                      <w:color w:val="000000"/>
                                      <w:kern w:val="24"/>
                                      <w:sz w:val="21"/>
                                      <w:szCs w:val="21"/>
                                    </w:rPr>
                                    <w:t>Ministry of Mahaweli Development and Environment</w:t>
                                  </w:r>
                                </w:p>
                                <w:p w14:paraId="7EAF8E2D" w14:textId="77777777" w:rsidR="0099059D" w:rsidRDefault="0099059D" w:rsidP="000E045D">
                                  <w:pPr>
                                    <w:pStyle w:val="NormalWeb"/>
                                    <w:spacing w:before="0" w:beforeAutospacing="0" w:after="120" w:afterAutospacing="0"/>
                                    <w:jc w:val="center"/>
                                  </w:pPr>
                                  <w:r>
                                    <w:rPr>
                                      <w:rFonts w:eastAsia="Calibri"/>
                                      <w:color w:val="000000"/>
                                      <w:kern w:val="24"/>
                                      <w:sz w:val="21"/>
                                      <w:szCs w:val="21"/>
                                    </w:rPr>
                                    <w:t> </w:t>
                                  </w:r>
                                  <w:r>
                                    <w:rPr>
                                      <w:rFonts w:eastAsia="Calibri"/>
                                      <w:i/>
                                      <w:iCs/>
                                      <w:color w:val="000000"/>
                                      <w:kern w:val="24"/>
                                      <w:sz w:val="21"/>
                                      <w:szCs w:val="21"/>
                                    </w:rPr>
                                    <w:t>Reviews, endorses, and submits GHG inventory</w:t>
                                  </w:r>
                                </w:p>
                              </w:txbxContent>
                            </v:textbox>
                          </v:rect>
                          <v:roundrect id="Rounded Rectangle 213" o:spid="_x0000_s1036" style="position:absolute;left:29527;top:15525;width:24956;height:2832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" filled="f" strokecolor="#1f3763 [1604]" strokeweight="1pt">
                            <v:stroke dashstyle="dash" joinstyle="miter"/>
                          </v:roundrect>
                        </v:group>
                      </v:group>
                      <v:group id="Group 110" o:spid="_x0000_s1037" style="position:absolute;left:28961;top:10858;width:13261;height:23534" coordorigin="28961,10858" coordsize="13261,23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">
                        <v:shapetype id="_x0000_t32" coordsize="21600,21600" o:spt="32" o:oned="t" path="m,l21600,21600e" filled="f">
                          <v:path arrowok="t" fillok="f" o:connecttype="none"/>
                          <o:lock v:ext="edit" shapetype="t"/>
                        </v:shapetype>
                        <v:shape id="Straight Arrow Connector 111" o:spid="_x0000_s1038" type="#_x0000_t32" style="position:absolute;left:28961;top:34315;width:2376;height: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" strokecolor="#44546a [3215]" strokeweight="2.25pt">
                          <v:stroke endarrow="block" endarrowwidth="wide" joinstyle="miter"/>
                        </v:shape>
                        <v:shape id="Straight Arrow Connector 112" o:spid="_x0000_s1039" type="#_x0000_t32" style="position:absolute;left:42150;top:27267;width:72;height:14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" strokecolor="#44546a [3215]" strokeweight="2.25pt">
                          <v:stroke endarrow="block" endarrowwidth="wide" joinstyle="miter"/>
                          <o:lock v:ext="edit" shapetype="f"/>
                        </v:shape>
                        <v:shape id="Straight Arrow Connector 113" o:spid="_x0000_s1040" type="#_x0000_t32" style="position:absolute;left:42005;top:10858;width:217;height:661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" strokecolor="#44546a [3215]" strokeweight="2.25pt">
                          <v:stroke endarrow="block" endarrowwidth="wide" joinstyle="miter"/>
                          <o:lock v:ext="edit" shapetype="f"/>
                        </v:shape>
                      </v:group>
                    </v:group>
                    <v:group id="Group 114" o:spid="_x0000_s1041" style="position:absolute;left:6286;top:3143;width:41624;height:2762" coordorigin="6286,3143" coordsize="41624,2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type id="_x0000_t202" coordsize="21600,21600" o:spt="202" path="m,l,21600r21600,l21600,xe">
                        <v:stroke joinstyle="miter"/>
                        <v:path gradientshapeok="t" o:connecttype="rect"/>
                      </v:shapetype>
                      <v:shape id="Text Box 221" o:spid="_x0000_s1042" type="#_x0000_t202" style="position:absolute;left:6286;top:3238;width:12002;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" fillcolor="white [3201]" stroked="f" strokeweight=".5pt">
                        <v:textbox>
                          <w:txbxContent>
                            <w:p w14:paraId="2FEE4724" w14:textId="77777777" w:rsidR="0099059D" w:rsidRDefault="0099059D" w:rsidP="000E045D">
                              <w:pPr>
                                <w:pStyle w:val="NormalWeb"/>
                                <w:spacing w:before="0" w:beforeAutospacing="0" w:after="120" w:afterAutospacing="0"/>
                                <w:jc w:val="center"/>
                              </w:pPr>
                              <w:r>
                                <w:rPr>
                                  <w:rFonts w:eastAsia="Calibri"/>
                                  <w:color w:val="000000" w:themeColor="dark1"/>
                                  <w:kern w:val="24"/>
                                  <w:sz w:val="21"/>
                                  <w:szCs w:val="21"/>
                                </w:rPr>
                                <w:t>Data Collection</w:t>
                              </w:r>
                              <w:r>
                                <w:rPr>
                                  <w:rFonts w:eastAsia="Calibri"/>
                                  <w:color w:val="000000" w:themeColor="dark1"/>
                                  <w:kern w:val="24"/>
                                  <w:position w:val="6"/>
                                  <w:sz w:val="21"/>
                                  <w:szCs w:val="21"/>
                                  <w:vertAlign w:val="superscript"/>
                                </w:rPr>
                                <w:t>a</w:t>
                              </w:r>
                            </w:p>
                          </w:txbxContent>
                        </v:textbox>
                      </v:shape>
                      <v:shape id="Text Box 222" o:spid="_x0000_s1043" type="#_x0000_t202" style="position:absolute;left:35909;top:3143;width:12001;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" fillcolor="white [3201]" stroked="f" strokeweight=".5pt">
                        <v:textbox>
                          <w:txbxContent>
                            <w:p w14:paraId="632BEE0B" w14:textId="77777777" w:rsidR="0099059D" w:rsidRDefault="0099059D" w:rsidP="000E045D">
                              <w:pPr>
                                <w:pStyle w:val="NormalWeb"/>
                                <w:spacing w:before="0" w:beforeAutospacing="0" w:after="120" w:afterAutospacing="0"/>
                                <w:jc w:val="center"/>
                              </w:pPr>
                              <w:r>
                                <w:rPr>
                                  <w:rFonts w:eastAsia="Calibri"/>
                                  <w:color w:val="000000" w:themeColor="dark1"/>
                                  <w:kern w:val="24"/>
                                  <w:sz w:val="21"/>
                                  <w:szCs w:val="21"/>
                                </w:rPr>
                                <w:t>Reporting</w:t>
                              </w:r>
                            </w:p>
                          </w:txbxContent>
                        </v:textbox>
                      </v:shape>
                    </v:group>
                  </v:group>
                  <v:shape id="_x0000_s1044" type="#_x0000_t202" style="position:absolute;width:60293;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" stroked="f">
                    <v:textbox>
                      <w:txbxContent>
                        <w:p w14:paraId="2757FE27" w14:textId="77777777" w:rsidR="0099059D" w:rsidRDefault="0099059D" w:rsidP="000E045D">
                          <w:pPr>
                            <w:pStyle w:val="NormalWeb"/>
                            <w:spacing w:before="0" w:beforeAutospacing="0" w:after="120" w:afterAutospacing="0"/>
                            <w:jc w:val="center"/>
                          </w:pPr>
                          <w:r>
                            <w:rPr>
                              <w:rFonts w:eastAsia="Calibri"/>
                              <w:color w:val="000000" w:themeColor="text1"/>
                              <w:kern w:val="24"/>
                              <w:sz w:val="22"/>
                              <w:szCs w:val="22"/>
                            </w:rPr>
                            <w:t>Figure 8.  Institutional arrangement for GHG inventory</w:t>
                          </w:r>
                        </w:p>
                      </w:txbxContent>
                    </v:textbox>
                  </v:shape>
                </v:group>
                <v:shape id="_x0000_s1045" type="#_x0000_t202" style="position:absolute;left:2936;top:44322;width:93622;height:2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" stroked="f">
                  <v:textbox>
                    <w:txbxContent>
                      <w:p w14:paraId="75BDF60E" w14:textId="77777777" w:rsidR="0099059D" w:rsidRDefault="0099059D" w:rsidP="000E045D">
                        <w:pPr>
                          <w:pStyle w:val="NormalWeb"/>
                          <w:spacing w:before="0" w:beforeAutospacing="0" w:after="120" w:afterAutospacing="0"/>
                          <w:jc w:val="both"/>
                        </w:pPr>
                        <w:r>
                          <w:rPr>
                            <w:rFonts w:eastAsia="Calibri"/>
                            <w:color w:val="000000" w:themeColor="text1"/>
                            <w:kern w:val="24"/>
                            <w:position w:val="6"/>
                            <w:sz w:val="21"/>
                            <w:szCs w:val="21"/>
                            <w:vertAlign w:val="superscript"/>
                          </w:rPr>
                          <w:t>a</w:t>
                        </w:r>
                        <w:r>
                          <w:rPr>
                            <w:rFonts w:eastAsia="Calibri"/>
                            <w:color w:val="000000" w:themeColor="text1"/>
                            <w:kern w:val="24"/>
                            <w:sz w:val="21"/>
                            <w:szCs w:val="21"/>
                          </w:rPr>
                          <w:t xml:space="preserve"> For AFOLU reporting, data are collected primarily from these departments.</w:t>
                        </w:r>
                      </w:p>
                    </w:txbxContent>
                  </v:textbox>
                </v:shape>
                <v:rect id="Rectangle 119" o:spid="_x0000_s1046" style="position:absolute;left:2534;top:8235;width:42437;height:329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" filled="f" stroked="f">
                  <v:textbox>
                    <w:txbxContent>
                      <w:p w14:paraId="139579C4" w14:textId="77777777" w:rsidR="0099059D" w:rsidRPr="000E045D" w:rsidRDefault="0099059D" w:rsidP="00B95927">
                        <w:pPr>
                          <w:pStyle w:val="ListParagraph"/>
                          <w:numPr>
                            <w:ilvl w:val="0"/>
                            <w:numId w:val="41"/>
                          </w:numPr>
                          <w:spacing w:after="0"/>
                          <w:jc w:val="left"/>
                          <w:rPr>
                            <w:rFonts w:eastAsia="Times New Roman" w:cs="Times New Roman"/>
                            <w:sz w:val="20"/>
                            <w:szCs w:val="20"/>
                          </w:rPr>
                        </w:pPr>
                        <w:r w:rsidRPr="000E045D">
                          <w:rPr>
                            <w:rFonts w:asciiTheme="minorHAnsi" w:hAnsi="Calibri"/>
                            <w:color w:val="000000" w:themeColor="text1"/>
                            <w:kern w:val="24"/>
                            <w:sz w:val="20"/>
                            <w:szCs w:val="20"/>
                          </w:rPr>
                          <w:t>Dept. of Agriculture</w:t>
                        </w:r>
                      </w:p>
                      <w:p w14:paraId="686CFF49"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Dept. of Animal Production and Health</w:t>
                        </w:r>
                      </w:p>
                      <w:p w14:paraId="388A7E5E"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Dept. of Census and Statistics</w:t>
                        </w:r>
                      </w:p>
                      <w:p w14:paraId="341EB6BD"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Dept. of Agrarian Development</w:t>
                        </w:r>
                      </w:p>
                      <w:p w14:paraId="19553B4B"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Land Use Policy Planning Department (LUPPD)</w:t>
                        </w:r>
                      </w:p>
                      <w:p w14:paraId="75D05C6C"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Survey Department</w:t>
                        </w:r>
                      </w:p>
                      <w:p w14:paraId="55769391"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Forest Department</w:t>
                        </w:r>
                      </w:p>
                      <w:p w14:paraId="41081717"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State Timber Corporation</w:t>
                        </w:r>
                      </w:p>
                      <w:p w14:paraId="6E6A9908"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Sri Lanka Sustainable Energy Authority (Biomass usage data)</w:t>
                        </w:r>
                      </w:p>
                      <w:p w14:paraId="0A7DB348" w14:textId="26BADF5F"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Urban</w:t>
                        </w:r>
                        <w:r>
                          <w:rPr>
                            <w:rFonts w:asciiTheme="minorHAnsi" w:hAnsi="Calibri"/>
                            <w:color w:val="000000" w:themeColor="text1"/>
                            <w:kern w:val="24"/>
                            <w:sz w:val="20"/>
                            <w:szCs w:val="20"/>
                          </w:rPr>
                          <w:t xml:space="preserve"> </w:t>
                        </w:r>
                        <w:r w:rsidRPr="000E045D">
                          <w:rPr>
                            <w:rFonts w:asciiTheme="minorHAnsi" w:hAnsi="Calibri"/>
                            <w:color w:val="000000" w:themeColor="text1"/>
                            <w:kern w:val="24"/>
                            <w:sz w:val="20"/>
                            <w:szCs w:val="20"/>
                          </w:rPr>
                          <w:t>Development Authority (UDA)</w:t>
                        </w:r>
                      </w:p>
                      <w:p w14:paraId="13538FE0"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Road Development Authority (RDA)</w:t>
                        </w:r>
                      </w:p>
                      <w:p w14:paraId="07C33921"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Tea, Rubber, Coconut Research Institutes</w:t>
                        </w:r>
                      </w:p>
                      <w:p w14:paraId="677355AB"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Ministry of Plantation Industries</w:t>
                        </w:r>
                      </w:p>
                      <w:p w14:paraId="4EAA612E"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Dept. of Export Agriculture</w:t>
                        </w:r>
                      </w:p>
                      <w:p w14:paraId="795EF64D"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Mahaweli Authority of Sri Lanka</w:t>
                        </w:r>
                      </w:p>
                      <w:p w14:paraId="4B1BEAF2" w14:textId="77777777"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Ministry of Mahaweli Development and Environment</w:t>
                        </w:r>
                      </w:p>
                      <w:p w14:paraId="0911333D" w14:textId="6E3A0220" w:rsidR="0099059D" w:rsidRPr="000E045D" w:rsidRDefault="0099059D" w:rsidP="00B95927">
                        <w:pPr>
                          <w:pStyle w:val="ListParagraph"/>
                          <w:numPr>
                            <w:ilvl w:val="0"/>
                            <w:numId w:val="41"/>
                          </w:numPr>
                          <w:spacing w:after="0"/>
                          <w:jc w:val="left"/>
                          <w:rPr>
                            <w:rFonts w:eastAsia="Times New Roman"/>
                            <w:sz w:val="20"/>
                            <w:szCs w:val="20"/>
                          </w:rPr>
                        </w:pPr>
                        <w:r w:rsidRPr="000E045D">
                          <w:rPr>
                            <w:rFonts w:asciiTheme="minorHAnsi" w:hAnsi="Calibri"/>
                            <w:color w:val="000000" w:themeColor="text1"/>
                            <w:kern w:val="24"/>
                            <w:sz w:val="20"/>
                            <w:szCs w:val="20"/>
                          </w:rPr>
                          <w:t>National Fertilizer Secretariat</w:t>
                        </w:r>
                      </w:p>
                      <w:p w14:paraId="42707ABD" w14:textId="33FA891F" w:rsidR="0099059D" w:rsidRPr="000E045D" w:rsidRDefault="0099059D" w:rsidP="00B95927">
                        <w:pPr>
                          <w:pStyle w:val="ListParagraph"/>
                          <w:numPr>
                            <w:ilvl w:val="0"/>
                            <w:numId w:val="41"/>
                          </w:numPr>
                          <w:spacing w:after="0"/>
                          <w:jc w:val="left"/>
                          <w:rPr>
                            <w:rFonts w:eastAsia="Times New Roman"/>
                            <w:sz w:val="20"/>
                            <w:szCs w:val="20"/>
                          </w:rPr>
                        </w:pPr>
                        <w:r>
                          <w:rPr>
                            <w:rFonts w:asciiTheme="minorHAnsi" w:hAnsi="Calibri"/>
                            <w:color w:val="000000" w:themeColor="text1"/>
                            <w:kern w:val="24"/>
                            <w:sz w:val="20"/>
                            <w:szCs w:val="20"/>
                          </w:rPr>
                          <w:t xml:space="preserve">et.al. </w:t>
                        </w:r>
                      </w:p>
                    </w:txbxContent>
                  </v:textbox>
                </v:rect>
                <w10:anchorlock/>
              </v:group>
            </w:pict>
          </mc:Fallback>
        </mc:AlternateContent>
      </w:r>
    </w:p>
    <w:p w14:paraId="07F89867" w14:textId="66FB5439" w:rsidR="000E045D" w:rsidRPr="00AA2617" w:rsidRDefault="000E045D" w:rsidP="00AA2617">
      <w:pPr>
        <w:pStyle w:val="GEFFieldtoFillout"/>
        <w:rPr>
          <w:lang w:val="en-GB"/>
        </w:rPr>
      </w:pPr>
    </w:p>
    <w:p w14:paraId="323D6B0B" w14:textId="2AE8FAF9" w:rsidR="001A3FBB" w:rsidRPr="00AA2617" w:rsidRDefault="001A3FBB" w:rsidP="00AA2617">
      <w:pPr>
        <w:pStyle w:val="NumberedParagraph"/>
        <w:ind w:left="360"/>
        <w:rPr>
          <w:sz w:val="22"/>
          <w:lang w:val="en-GB"/>
        </w:rPr>
      </w:pPr>
      <w:r w:rsidRPr="00AA2617">
        <w:rPr>
          <w:i/>
          <w:sz w:val="22"/>
          <w:lang w:val="en-GB"/>
        </w:rPr>
        <w:t>Budget.</w:t>
      </w:r>
      <w:r w:rsidRPr="00AA2617">
        <w:rPr>
          <w:sz w:val="22"/>
          <w:lang w:val="en-GB"/>
        </w:rPr>
        <w:t xml:space="preserve">  </w:t>
      </w:r>
      <w:r w:rsidR="005A7884" w:rsidRPr="00AA2617">
        <w:rPr>
          <w:sz w:val="22"/>
          <w:lang w:val="en-GB"/>
        </w:rPr>
        <w:t>Climate Change Secretariat’s b</w:t>
      </w:r>
      <w:r w:rsidRPr="00AA2617">
        <w:rPr>
          <w:sz w:val="22"/>
          <w:lang w:val="en-GB"/>
        </w:rPr>
        <w:t>udget comprises project-based funding, which results in challenges for staffing, knowledge management, and strategic planning</w:t>
      </w:r>
      <w:r w:rsidR="005A7884" w:rsidRPr="00AA2617">
        <w:rPr>
          <w:sz w:val="22"/>
          <w:lang w:val="en-GB"/>
        </w:rPr>
        <w:t xml:space="preserve"> for GHG inventory</w:t>
      </w:r>
      <w:r w:rsidRPr="00AA2617">
        <w:rPr>
          <w:sz w:val="22"/>
          <w:lang w:val="en-GB"/>
        </w:rPr>
        <w:t>. The national budget does not provide additional resources for ETF-related functions.</w:t>
      </w:r>
      <w:r w:rsidR="005A7884" w:rsidRPr="00AA2617">
        <w:rPr>
          <w:sz w:val="22"/>
          <w:lang w:val="en-GB"/>
        </w:rPr>
        <w:t xml:space="preserve"> </w:t>
      </w:r>
      <w:r w:rsidRPr="00AA2617">
        <w:rPr>
          <w:sz w:val="22"/>
          <w:lang w:val="en-GB"/>
        </w:rPr>
        <w:t>Therefore, additional data-collection, analyses, reporting, and verification will not be conducted without additional resources.</w:t>
      </w:r>
      <w:r w:rsidR="007F3F5B" w:rsidRPr="00AA2617">
        <w:rPr>
          <w:sz w:val="22"/>
          <w:lang w:val="en-GB"/>
        </w:rPr>
        <w:t xml:space="preserve"> </w:t>
      </w:r>
      <w:r w:rsidRPr="00AA2617">
        <w:rPr>
          <w:sz w:val="22"/>
          <w:lang w:val="en-GB"/>
        </w:rPr>
        <w:t xml:space="preserve"> </w:t>
      </w:r>
    </w:p>
    <w:p w14:paraId="4121C255" w14:textId="587A609C" w:rsidR="00520766" w:rsidRPr="00AA2617" w:rsidRDefault="001A3FBB" w:rsidP="00AA2617">
      <w:pPr>
        <w:pStyle w:val="NumberedParagraph"/>
        <w:ind w:left="360"/>
        <w:rPr>
          <w:i/>
          <w:sz w:val="22"/>
          <w:lang w:val="en-GB"/>
        </w:rPr>
      </w:pPr>
      <w:r w:rsidRPr="00AA2617">
        <w:rPr>
          <w:i/>
          <w:sz w:val="22"/>
          <w:lang w:val="en-GB"/>
        </w:rPr>
        <w:t>Key-category analysis.</w:t>
      </w:r>
      <w:r w:rsidRPr="00AA2617">
        <w:rPr>
          <w:sz w:val="22"/>
          <w:lang w:val="en-GB"/>
        </w:rPr>
        <w:t xml:space="preserve">  Although available data are not sufficiently complete for a full key-category analysis, a provisional key-category analysis </w:t>
      </w:r>
      <w:r w:rsidR="007F3F5B" w:rsidRPr="00AA2617">
        <w:rPr>
          <w:sz w:val="22"/>
          <w:lang w:val="en-GB"/>
        </w:rPr>
        <w:t xml:space="preserve">is </w:t>
      </w:r>
      <w:r w:rsidRPr="00AA2617">
        <w:rPr>
          <w:sz w:val="22"/>
          <w:lang w:val="en-GB"/>
        </w:rPr>
        <w:t xml:space="preserve">conducted as part of the </w:t>
      </w:r>
      <w:r w:rsidR="007F3F5B" w:rsidRPr="00AA2617">
        <w:rPr>
          <w:sz w:val="22"/>
          <w:lang w:val="en-GB"/>
        </w:rPr>
        <w:t>Third National Communication</w:t>
      </w:r>
      <w:r w:rsidRPr="00AA2617">
        <w:rPr>
          <w:rStyle w:val="FootnoteReference"/>
          <w:sz w:val="22"/>
          <w:lang w:val="en-GB"/>
        </w:rPr>
        <w:footnoteReference w:id="26"/>
      </w:r>
      <w:r w:rsidRPr="00AA2617">
        <w:rPr>
          <w:sz w:val="22"/>
          <w:lang w:val="en-GB"/>
        </w:rPr>
        <w:t xml:space="preserve">. </w:t>
      </w:r>
      <w:r w:rsidR="0033377C" w:rsidRPr="00AA2617">
        <w:rPr>
          <w:sz w:val="22"/>
          <w:lang w:val="en-GB"/>
        </w:rPr>
        <w:t>K</w:t>
      </w:r>
      <w:r w:rsidRPr="00AA2617">
        <w:rPr>
          <w:sz w:val="22"/>
          <w:lang w:val="en-GB"/>
        </w:rPr>
        <w:t xml:space="preserve">ey categories within the AFOLU sector </w:t>
      </w:r>
      <w:r w:rsidR="0033377C" w:rsidRPr="00AA2617">
        <w:rPr>
          <w:sz w:val="22"/>
          <w:lang w:val="en-GB"/>
        </w:rPr>
        <w:t>identified are;</w:t>
      </w:r>
    </w:p>
    <w:p w14:paraId="1890A3ED" w14:textId="6ABE9509" w:rsidR="0092759A" w:rsidRPr="00AA2617" w:rsidRDefault="0092759A" w:rsidP="00AA2617">
      <w:pPr>
        <w:pStyle w:val="GEFFieldtoFillout"/>
        <w:numPr>
          <w:ilvl w:val="0"/>
          <w:numId w:val="42"/>
        </w:numPr>
        <w:ind w:left="720"/>
        <w:contextualSpacing/>
      </w:pPr>
      <w:r w:rsidRPr="00AA2617">
        <w:t>Enteric Fermentation</w:t>
      </w:r>
    </w:p>
    <w:p w14:paraId="7FED84D3" w14:textId="77777777" w:rsidR="0092759A" w:rsidRPr="00AA2617" w:rsidRDefault="0092759A" w:rsidP="00AA2617">
      <w:pPr>
        <w:pStyle w:val="GEFFieldtoFillout"/>
        <w:numPr>
          <w:ilvl w:val="0"/>
          <w:numId w:val="42"/>
        </w:numPr>
        <w:ind w:left="720"/>
        <w:contextualSpacing/>
      </w:pPr>
      <w:r w:rsidRPr="00AA2617">
        <w:t>Manure Management</w:t>
      </w:r>
    </w:p>
    <w:p w14:paraId="560D88AA" w14:textId="77777777" w:rsidR="0092759A" w:rsidRPr="00AA2617" w:rsidRDefault="0092759A" w:rsidP="00AA2617">
      <w:pPr>
        <w:pStyle w:val="GEFFieldtoFillout"/>
        <w:numPr>
          <w:ilvl w:val="0"/>
          <w:numId w:val="42"/>
        </w:numPr>
        <w:ind w:left="720"/>
        <w:contextualSpacing/>
      </w:pPr>
      <w:r w:rsidRPr="00AA2617">
        <w:t>Biomass Burning in Cropland</w:t>
      </w:r>
    </w:p>
    <w:p w14:paraId="6040BEE4" w14:textId="77777777" w:rsidR="0092759A" w:rsidRPr="00AA2617" w:rsidRDefault="0092759A" w:rsidP="00AA2617">
      <w:pPr>
        <w:pStyle w:val="GEFFieldtoFillout"/>
        <w:numPr>
          <w:ilvl w:val="0"/>
          <w:numId w:val="42"/>
        </w:numPr>
        <w:ind w:left="720"/>
        <w:contextualSpacing/>
      </w:pPr>
      <w:r w:rsidRPr="00AA2617">
        <w:t>Liming</w:t>
      </w:r>
    </w:p>
    <w:p w14:paraId="2EE82891" w14:textId="77777777" w:rsidR="0092759A" w:rsidRPr="00AA2617" w:rsidRDefault="0092759A" w:rsidP="00AA2617">
      <w:pPr>
        <w:pStyle w:val="GEFFieldtoFillout"/>
        <w:numPr>
          <w:ilvl w:val="0"/>
          <w:numId w:val="42"/>
        </w:numPr>
        <w:ind w:left="720"/>
        <w:contextualSpacing/>
      </w:pPr>
      <w:r w:rsidRPr="00AA2617">
        <w:t>Urea Fertilization</w:t>
      </w:r>
    </w:p>
    <w:p w14:paraId="1B690032" w14:textId="77777777" w:rsidR="0092759A" w:rsidRPr="00AA2617" w:rsidRDefault="0092759A" w:rsidP="00AA2617">
      <w:pPr>
        <w:pStyle w:val="GEFFieldtoFillout"/>
        <w:numPr>
          <w:ilvl w:val="0"/>
          <w:numId w:val="42"/>
        </w:numPr>
        <w:ind w:left="720"/>
        <w:contextualSpacing/>
      </w:pPr>
      <w:r w:rsidRPr="00AA2617">
        <w:t>Direct and Indirect N</w:t>
      </w:r>
      <w:r w:rsidRPr="00AA2617">
        <w:rPr>
          <w:vertAlign w:val="subscript"/>
        </w:rPr>
        <w:t>2</w:t>
      </w:r>
      <w:r w:rsidRPr="00AA2617">
        <w:t>O emission from managed soil</w:t>
      </w:r>
    </w:p>
    <w:p w14:paraId="26393683" w14:textId="77777777" w:rsidR="0092759A" w:rsidRPr="00AA2617" w:rsidRDefault="0092759A" w:rsidP="00AA2617">
      <w:pPr>
        <w:pStyle w:val="GEFFieldtoFillout"/>
        <w:numPr>
          <w:ilvl w:val="0"/>
          <w:numId w:val="42"/>
        </w:numPr>
        <w:ind w:left="720"/>
        <w:contextualSpacing/>
      </w:pPr>
      <w:r w:rsidRPr="00AA2617">
        <w:t>Indirect N</w:t>
      </w:r>
      <w:r w:rsidRPr="00AA2617">
        <w:rPr>
          <w:vertAlign w:val="subscript"/>
        </w:rPr>
        <w:t>2</w:t>
      </w:r>
      <w:r w:rsidRPr="00AA2617">
        <w:t>O emissions from manure management</w:t>
      </w:r>
    </w:p>
    <w:p w14:paraId="7BED09D7" w14:textId="5A5071DD" w:rsidR="0092759A" w:rsidRPr="00AA2617" w:rsidRDefault="0092759A" w:rsidP="00AA2617">
      <w:pPr>
        <w:pStyle w:val="GEFFieldtoFillout"/>
        <w:numPr>
          <w:ilvl w:val="0"/>
          <w:numId w:val="42"/>
        </w:numPr>
        <w:ind w:left="720"/>
        <w:contextualSpacing/>
      </w:pPr>
      <w:r w:rsidRPr="00AA2617">
        <w:t>CH</w:t>
      </w:r>
      <w:r w:rsidRPr="00AA2617">
        <w:rPr>
          <w:vertAlign w:val="subscript"/>
        </w:rPr>
        <w:t>4</w:t>
      </w:r>
      <w:r w:rsidRPr="00AA2617">
        <w:t xml:space="preserve"> Emissions from Rice cultivation</w:t>
      </w:r>
    </w:p>
    <w:p w14:paraId="4F813502" w14:textId="77777777" w:rsidR="0092759A" w:rsidRPr="00AA2617" w:rsidRDefault="0092759A" w:rsidP="00AA2617">
      <w:pPr>
        <w:pStyle w:val="GEFFieldtoFillout"/>
        <w:numPr>
          <w:ilvl w:val="0"/>
          <w:numId w:val="42"/>
        </w:numPr>
        <w:ind w:left="720"/>
        <w:contextualSpacing/>
      </w:pPr>
      <w:r w:rsidRPr="00AA2617">
        <w:t>Forestland Remained Forestland</w:t>
      </w:r>
    </w:p>
    <w:p w14:paraId="2ADB7D4C" w14:textId="77777777" w:rsidR="0092759A" w:rsidRPr="00AA2617" w:rsidRDefault="0092759A" w:rsidP="00AA2617">
      <w:pPr>
        <w:pStyle w:val="GEFFieldtoFillout"/>
        <w:numPr>
          <w:ilvl w:val="0"/>
          <w:numId w:val="42"/>
        </w:numPr>
        <w:ind w:left="720"/>
        <w:contextualSpacing/>
      </w:pPr>
      <w:r w:rsidRPr="00AA2617">
        <w:t>Land converted to forestland</w:t>
      </w:r>
    </w:p>
    <w:p w14:paraId="416291D8" w14:textId="77777777" w:rsidR="0092759A" w:rsidRPr="00AA2617" w:rsidRDefault="0092759A" w:rsidP="00AA2617">
      <w:pPr>
        <w:pStyle w:val="GEFFieldtoFillout"/>
        <w:numPr>
          <w:ilvl w:val="0"/>
          <w:numId w:val="42"/>
        </w:numPr>
        <w:ind w:left="720"/>
        <w:contextualSpacing/>
      </w:pPr>
      <w:r w:rsidRPr="00AA2617">
        <w:t>Cropland remaining cropland</w:t>
      </w:r>
    </w:p>
    <w:p w14:paraId="7D81DF03" w14:textId="77777777" w:rsidR="0092759A" w:rsidRPr="00AA2617" w:rsidRDefault="0092759A" w:rsidP="00AA2617">
      <w:pPr>
        <w:pStyle w:val="GEFFieldtoFillout"/>
        <w:numPr>
          <w:ilvl w:val="0"/>
          <w:numId w:val="42"/>
        </w:numPr>
        <w:ind w:left="720"/>
        <w:contextualSpacing/>
      </w:pPr>
      <w:r w:rsidRPr="00AA2617">
        <w:t>Land converted to cropland</w:t>
      </w:r>
    </w:p>
    <w:p w14:paraId="7A55643B" w14:textId="77777777" w:rsidR="0092759A" w:rsidRPr="00AA2617" w:rsidRDefault="0092759A" w:rsidP="00AA2617">
      <w:pPr>
        <w:pStyle w:val="GEFFieldtoFillout"/>
        <w:numPr>
          <w:ilvl w:val="0"/>
          <w:numId w:val="42"/>
        </w:numPr>
        <w:ind w:left="720"/>
        <w:contextualSpacing/>
      </w:pPr>
      <w:r w:rsidRPr="00AA2617">
        <w:t>Wetland remaining wetland</w:t>
      </w:r>
    </w:p>
    <w:p w14:paraId="5B2D1828" w14:textId="391CE24E" w:rsidR="0092759A" w:rsidRPr="00AA2617" w:rsidRDefault="0092759A" w:rsidP="00AA2617">
      <w:pPr>
        <w:pStyle w:val="GEFFieldtoFillout"/>
        <w:numPr>
          <w:ilvl w:val="0"/>
          <w:numId w:val="42"/>
        </w:numPr>
        <w:ind w:left="720"/>
        <w:contextualSpacing/>
      </w:pPr>
      <w:r w:rsidRPr="00AA2617">
        <w:t>Biomass burning in forestland</w:t>
      </w:r>
    </w:p>
    <w:p w14:paraId="24228C6D" w14:textId="27B272AA" w:rsidR="001D1029" w:rsidRPr="00AA2617" w:rsidRDefault="001D1029" w:rsidP="00AA2617">
      <w:pPr>
        <w:pStyle w:val="GEFFieldtoFillout"/>
        <w:ind w:left="0"/>
        <w:contextualSpacing/>
      </w:pPr>
      <w:r w:rsidRPr="00AA2617">
        <w:t>Out of above mentioned key categories, Enteric fermentation, CH</w:t>
      </w:r>
      <w:r w:rsidRPr="00AA2617">
        <w:rPr>
          <w:vertAlign w:val="subscript"/>
        </w:rPr>
        <w:t>4</w:t>
      </w:r>
      <w:r w:rsidRPr="00AA2617">
        <w:t xml:space="preserve"> Emission from rice cultivation and Urea application are of prime importance for capacity building</w:t>
      </w:r>
      <w:r w:rsidR="003418F6" w:rsidRPr="00AA2617">
        <w:t xml:space="preserve"> during this project period</w:t>
      </w:r>
      <w:r w:rsidRPr="00AA2617">
        <w:t xml:space="preserve">. </w:t>
      </w:r>
    </w:p>
    <w:p w14:paraId="0EC095FD" w14:textId="5C529220" w:rsidR="001A3FBB" w:rsidRPr="00AA2617" w:rsidRDefault="001A3FBB" w:rsidP="00AA2617">
      <w:pPr>
        <w:pStyle w:val="NumberedParagraph"/>
        <w:ind w:left="360"/>
        <w:rPr>
          <w:i/>
          <w:sz w:val="22"/>
          <w:lang w:val="en-GB"/>
        </w:rPr>
      </w:pPr>
      <w:r w:rsidRPr="00AA2617">
        <w:rPr>
          <w:sz w:val="22"/>
          <w:lang w:val="en-GB"/>
        </w:rPr>
        <w:t xml:space="preserve">As noted above, MRV for the agricultural and LULUC sub-sectors is currently conducted at Tier 1, with some Tier 2 </w:t>
      </w:r>
      <w:r w:rsidR="00D01705" w:rsidRPr="00AA2617">
        <w:rPr>
          <w:sz w:val="22"/>
          <w:lang w:val="en-GB"/>
        </w:rPr>
        <w:t>non-validated information available</w:t>
      </w:r>
      <w:r w:rsidRPr="00AA2617">
        <w:rPr>
          <w:sz w:val="22"/>
          <w:lang w:val="en-GB"/>
        </w:rPr>
        <w:t xml:space="preserve">.  </w:t>
      </w:r>
      <w:r w:rsidR="00747F02" w:rsidRPr="00AA2617">
        <w:rPr>
          <w:sz w:val="22"/>
          <w:lang w:val="en-GB"/>
        </w:rPr>
        <w:t xml:space="preserve">MMDE - CCS </w:t>
      </w:r>
      <w:r w:rsidRPr="00AA2617">
        <w:rPr>
          <w:sz w:val="22"/>
          <w:lang w:val="en-GB"/>
        </w:rPr>
        <w:t>continues to increase the rigor of climate-related MRV.  The next step is to ensure Tier 2 reporting for key categories</w:t>
      </w:r>
      <w:r w:rsidR="00747F02" w:rsidRPr="00AA2617">
        <w:rPr>
          <w:sz w:val="22"/>
          <w:lang w:val="en-GB"/>
        </w:rPr>
        <w:t xml:space="preserve"> in a step wise manner</w:t>
      </w:r>
      <w:r w:rsidRPr="00AA2617">
        <w:rPr>
          <w:sz w:val="22"/>
          <w:lang w:val="en-GB"/>
        </w:rPr>
        <w:t xml:space="preserve">.  </w:t>
      </w:r>
      <w:r w:rsidR="00747F02" w:rsidRPr="00AA2617">
        <w:rPr>
          <w:sz w:val="22"/>
          <w:lang w:val="en-GB"/>
        </w:rPr>
        <w:t xml:space="preserve">The prioritized key categories will be selected for capacity building to generate Tier 2 emission factors. </w:t>
      </w:r>
      <w:r w:rsidRPr="00AA2617">
        <w:rPr>
          <w:sz w:val="22"/>
          <w:lang w:val="en-GB"/>
        </w:rPr>
        <w:t xml:space="preserve">This project will capacitate relevant stakeholders for that </w:t>
      </w:r>
      <w:r w:rsidR="00747F02" w:rsidRPr="00AA2617">
        <w:rPr>
          <w:sz w:val="22"/>
          <w:lang w:val="en-GB"/>
        </w:rPr>
        <w:t>endeavour</w:t>
      </w:r>
      <w:r w:rsidRPr="00AA2617">
        <w:rPr>
          <w:sz w:val="22"/>
          <w:lang w:val="en-GB"/>
        </w:rPr>
        <w:t>.  However, it is presently unclear whether sufficient resources (e.g., funding, personnel) will be available from other sources to support collection of the requisite data—either on a one-time or recurrent basis.</w:t>
      </w:r>
    </w:p>
    <w:p w14:paraId="0D46CB34" w14:textId="715F0C1C" w:rsidR="001A3FBB" w:rsidRPr="00AA2617" w:rsidRDefault="001A3FBB" w:rsidP="00AA2617">
      <w:pPr>
        <w:pStyle w:val="NumberedParagraph"/>
        <w:ind w:left="360"/>
        <w:rPr>
          <w:sz w:val="22"/>
          <w:lang w:val="en-GB"/>
        </w:rPr>
      </w:pPr>
      <w:r w:rsidRPr="00AA2617">
        <w:rPr>
          <w:i/>
          <w:sz w:val="22"/>
          <w:lang w:val="en-GB"/>
        </w:rPr>
        <w:t>Quality control.</w:t>
      </w:r>
      <w:r w:rsidRPr="00AA2617">
        <w:rPr>
          <w:sz w:val="22"/>
          <w:lang w:val="en-GB"/>
        </w:rPr>
        <w:t xml:space="preserve">  </w:t>
      </w:r>
      <w:r w:rsidR="00E00B73" w:rsidRPr="00AA2617">
        <w:rPr>
          <w:sz w:val="22"/>
          <w:lang w:val="en-GB"/>
        </w:rPr>
        <w:t>Quality control and Quality Assurance of activity data is a technical barrier in Sri Lanka. It</w:t>
      </w:r>
      <w:r w:rsidRPr="00AA2617">
        <w:rPr>
          <w:sz w:val="22"/>
          <w:lang w:val="en-GB"/>
        </w:rPr>
        <w:t xml:space="preserve"> has a </w:t>
      </w:r>
      <w:r w:rsidR="002B3489" w:rsidRPr="00AA2617">
        <w:rPr>
          <w:sz w:val="22"/>
          <w:lang w:val="en-GB"/>
        </w:rPr>
        <w:t xml:space="preserve">provisional </w:t>
      </w:r>
      <w:r w:rsidRPr="00AA2617">
        <w:rPr>
          <w:sz w:val="22"/>
          <w:lang w:val="en-GB"/>
        </w:rPr>
        <w:t xml:space="preserve">quality-control </w:t>
      </w:r>
      <w:r w:rsidR="00E00B73" w:rsidRPr="00AA2617">
        <w:rPr>
          <w:sz w:val="22"/>
          <w:lang w:val="en-GB"/>
        </w:rPr>
        <w:t xml:space="preserve">and quality-assurance </w:t>
      </w:r>
      <w:r w:rsidRPr="00AA2617">
        <w:rPr>
          <w:sz w:val="22"/>
          <w:lang w:val="en-GB"/>
        </w:rPr>
        <w:t xml:space="preserve">plan that describes procedures to check, document, and improve the quality of the GHG inventory.  The </w:t>
      </w:r>
      <w:r w:rsidR="002B3489" w:rsidRPr="00AA2617">
        <w:rPr>
          <w:sz w:val="22"/>
          <w:lang w:val="en-GB"/>
        </w:rPr>
        <w:t xml:space="preserve">drafted </w:t>
      </w:r>
      <w:r w:rsidRPr="00AA2617">
        <w:rPr>
          <w:sz w:val="22"/>
          <w:lang w:val="en-GB"/>
        </w:rPr>
        <w:t xml:space="preserve">plan includes guidelines on data-collection methods, processes for obtaining peer review and public comments, and plans for uncertainty assessments.  </w:t>
      </w:r>
      <w:r w:rsidR="002B3489" w:rsidRPr="00AA2617">
        <w:rPr>
          <w:sz w:val="22"/>
          <w:lang w:val="en-GB"/>
        </w:rPr>
        <w:t xml:space="preserve">The drafted plan has been initially reviewed and requires substantial further revision before adopting and operationalizing it.  </w:t>
      </w:r>
      <w:r w:rsidRPr="00AA2617">
        <w:rPr>
          <w:sz w:val="22"/>
          <w:lang w:val="en-GB"/>
        </w:rPr>
        <w:t>There are no such QC arrange</w:t>
      </w:r>
      <w:r w:rsidR="0021253B" w:rsidRPr="00AA2617">
        <w:rPr>
          <w:sz w:val="22"/>
          <w:lang w:val="en-GB"/>
        </w:rPr>
        <w:t>ments for adaptation-related M&amp;R</w:t>
      </w:r>
      <w:r w:rsidRPr="00AA2617">
        <w:rPr>
          <w:sz w:val="22"/>
          <w:lang w:val="en-GB"/>
        </w:rPr>
        <w:t xml:space="preserve">, given that the </w:t>
      </w:r>
      <w:r w:rsidR="00D50190" w:rsidRPr="00AA2617">
        <w:rPr>
          <w:sz w:val="22"/>
          <w:lang w:val="en-GB"/>
        </w:rPr>
        <w:t>numerous</w:t>
      </w:r>
      <w:r w:rsidRPr="00AA2617">
        <w:rPr>
          <w:sz w:val="22"/>
          <w:lang w:val="en-GB"/>
        </w:rPr>
        <w:t xml:space="preserve"> proposed adaptive approaches have not yet been prioritized, nor indicators determined.</w:t>
      </w:r>
    </w:p>
    <w:p w14:paraId="6FEE3785" w14:textId="0D9D7866" w:rsidR="001A3FBB" w:rsidRPr="00AA2617" w:rsidRDefault="001A3FBB" w:rsidP="00AA2617">
      <w:pPr>
        <w:pStyle w:val="NumberedParagraph"/>
        <w:ind w:left="360"/>
        <w:rPr>
          <w:sz w:val="22"/>
          <w:lang w:val="en-GB"/>
        </w:rPr>
      </w:pPr>
      <w:r w:rsidRPr="00AA2617">
        <w:rPr>
          <w:i/>
          <w:sz w:val="22"/>
          <w:lang w:val="en-GB"/>
        </w:rPr>
        <w:t>Data-collection and -provision.</w:t>
      </w:r>
      <w:r w:rsidRPr="00AA2617">
        <w:rPr>
          <w:sz w:val="22"/>
          <w:lang w:val="en-GB"/>
        </w:rPr>
        <w:t xml:space="preserve">  Various agencies collect ETF-relevant data, though generally for other purposes, according to funding and mandates.  Therefore, data are available according to the methods and timing of those funding sources and mandates, and are not generally alterable for ETF alignment.  </w:t>
      </w:r>
      <w:r w:rsidR="00B12227" w:rsidRPr="00AA2617">
        <w:rPr>
          <w:sz w:val="22"/>
          <w:lang w:val="en-GB"/>
        </w:rPr>
        <w:t xml:space="preserve">CCS </w:t>
      </w:r>
      <w:r w:rsidRPr="00AA2617">
        <w:rPr>
          <w:sz w:val="22"/>
          <w:lang w:val="en-GB"/>
        </w:rPr>
        <w:t xml:space="preserve">gathers data from these other agencies on an </w:t>
      </w:r>
      <w:r w:rsidRPr="00AA2617">
        <w:rPr>
          <w:i/>
          <w:sz w:val="22"/>
          <w:lang w:val="en-GB"/>
        </w:rPr>
        <w:t>ad hoc</w:t>
      </w:r>
      <w:r w:rsidRPr="00AA2617">
        <w:rPr>
          <w:sz w:val="22"/>
          <w:lang w:val="en-GB"/>
        </w:rPr>
        <w:t xml:space="preserve"> basis via </w:t>
      </w:r>
      <w:r w:rsidRPr="00AA2617">
        <w:rPr>
          <w:i/>
          <w:sz w:val="22"/>
          <w:lang w:val="en-GB"/>
        </w:rPr>
        <w:t>ad hoc</w:t>
      </w:r>
      <w:r w:rsidRPr="00AA2617">
        <w:rPr>
          <w:sz w:val="22"/>
          <w:lang w:val="en-GB"/>
        </w:rPr>
        <w:t xml:space="preserve"> methods and arrangements, as reporting requires and project-related funding enables.  </w:t>
      </w:r>
      <w:r w:rsidR="00EA54E3" w:rsidRPr="00AA2617">
        <w:rPr>
          <w:sz w:val="22"/>
          <w:lang w:val="en-GB"/>
        </w:rPr>
        <w:t>CC</w:t>
      </w:r>
      <w:r w:rsidR="00B12227" w:rsidRPr="00AA2617">
        <w:rPr>
          <w:sz w:val="22"/>
          <w:lang w:val="en-GB"/>
        </w:rPr>
        <w:t xml:space="preserve">S </w:t>
      </w:r>
      <w:r w:rsidR="00EA54E3" w:rsidRPr="00AA2617">
        <w:rPr>
          <w:sz w:val="22"/>
          <w:lang w:val="en-GB"/>
        </w:rPr>
        <w:t xml:space="preserve">relies on AFOLU data </w:t>
      </w:r>
      <w:r w:rsidRPr="00AA2617">
        <w:rPr>
          <w:sz w:val="22"/>
          <w:lang w:val="en-GB"/>
        </w:rPr>
        <w:t>primarily from</w:t>
      </w:r>
      <w:r w:rsidR="00B12227" w:rsidRPr="00AA2617">
        <w:rPr>
          <w:sz w:val="22"/>
          <w:lang w:val="en-GB"/>
        </w:rPr>
        <w:t xml:space="preserve"> below mentioned departments in Sri Lanka. </w:t>
      </w:r>
    </w:p>
    <w:p w14:paraId="52B25904" w14:textId="77777777" w:rsidR="00B12227" w:rsidRPr="00AA2617" w:rsidRDefault="00B12227" w:rsidP="00AA2617">
      <w:pPr>
        <w:pStyle w:val="NumberedParagraph"/>
        <w:numPr>
          <w:ilvl w:val="0"/>
          <w:numId w:val="43"/>
        </w:numPr>
        <w:ind w:left="720"/>
        <w:contextualSpacing/>
      </w:pPr>
      <w:r w:rsidRPr="00AA2617">
        <w:lastRenderedPageBreak/>
        <w:t>Dept. of Agriculture</w:t>
      </w:r>
    </w:p>
    <w:p w14:paraId="1F0DDBC7" w14:textId="77777777" w:rsidR="00B12227" w:rsidRPr="00AA2617" w:rsidRDefault="00B12227" w:rsidP="00AA2617">
      <w:pPr>
        <w:pStyle w:val="NumberedParagraph"/>
        <w:numPr>
          <w:ilvl w:val="0"/>
          <w:numId w:val="43"/>
        </w:numPr>
        <w:ind w:left="720"/>
        <w:contextualSpacing/>
      </w:pPr>
      <w:r w:rsidRPr="00AA2617">
        <w:t>Dept. of Animal Production and Health</w:t>
      </w:r>
    </w:p>
    <w:p w14:paraId="71B5154A" w14:textId="77777777" w:rsidR="00B12227" w:rsidRPr="00AA2617" w:rsidRDefault="00B12227" w:rsidP="00AA2617">
      <w:pPr>
        <w:pStyle w:val="NumberedParagraph"/>
        <w:numPr>
          <w:ilvl w:val="0"/>
          <w:numId w:val="43"/>
        </w:numPr>
        <w:ind w:left="720"/>
        <w:contextualSpacing/>
      </w:pPr>
      <w:r w:rsidRPr="00AA2617">
        <w:t>Dept. of Census and Statistics</w:t>
      </w:r>
    </w:p>
    <w:p w14:paraId="4AFEBA55" w14:textId="77777777" w:rsidR="00B12227" w:rsidRPr="00AA2617" w:rsidRDefault="00B12227" w:rsidP="00AA2617">
      <w:pPr>
        <w:pStyle w:val="NumberedParagraph"/>
        <w:numPr>
          <w:ilvl w:val="0"/>
          <w:numId w:val="43"/>
        </w:numPr>
        <w:ind w:left="720"/>
        <w:contextualSpacing/>
      </w:pPr>
      <w:r w:rsidRPr="00AA2617">
        <w:t>Dept. of Agrarian Development</w:t>
      </w:r>
    </w:p>
    <w:p w14:paraId="293F31DC" w14:textId="77777777" w:rsidR="00B12227" w:rsidRPr="00AA2617" w:rsidRDefault="00B12227" w:rsidP="00AA2617">
      <w:pPr>
        <w:pStyle w:val="NumberedParagraph"/>
        <w:numPr>
          <w:ilvl w:val="0"/>
          <w:numId w:val="43"/>
        </w:numPr>
        <w:ind w:left="720"/>
        <w:contextualSpacing/>
      </w:pPr>
      <w:r w:rsidRPr="00AA2617">
        <w:t>Land Use Policy Planning Department (LUPPD)</w:t>
      </w:r>
    </w:p>
    <w:p w14:paraId="78689CBC" w14:textId="77777777" w:rsidR="00B12227" w:rsidRPr="00AA2617" w:rsidRDefault="00B12227" w:rsidP="00AA2617">
      <w:pPr>
        <w:pStyle w:val="NumberedParagraph"/>
        <w:numPr>
          <w:ilvl w:val="0"/>
          <w:numId w:val="43"/>
        </w:numPr>
        <w:ind w:left="720"/>
        <w:contextualSpacing/>
      </w:pPr>
      <w:r w:rsidRPr="00AA2617">
        <w:t>Survey Department</w:t>
      </w:r>
    </w:p>
    <w:p w14:paraId="6051D400" w14:textId="77777777" w:rsidR="00B12227" w:rsidRPr="00AA2617" w:rsidRDefault="00B12227" w:rsidP="00AA2617">
      <w:pPr>
        <w:pStyle w:val="NumberedParagraph"/>
        <w:numPr>
          <w:ilvl w:val="0"/>
          <w:numId w:val="43"/>
        </w:numPr>
        <w:ind w:left="720"/>
        <w:contextualSpacing/>
      </w:pPr>
      <w:r w:rsidRPr="00AA2617">
        <w:t>Forest Department</w:t>
      </w:r>
    </w:p>
    <w:p w14:paraId="3E3F0002" w14:textId="77777777" w:rsidR="00B12227" w:rsidRPr="00AA2617" w:rsidRDefault="00B12227" w:rsidP="00AA2617">
      <w:pPr>
        <w:pStyle w:val="NumberedParagraph"/>
        <w:numPr>
          <w:ilvl w:val="0"/>
          <w:numId w:val="43"/>
        </w:numPr>
        <w:ind w:left="720"/>
        <w:contextualSpacing/>
      </w:pPr>
      <w:r w:rsidRPr="00AA2617">
        <w:t>State Timber Corporation</w:t>
      </w:r>
    </w:p>
    <w:p w14:paraId="11F017CF" w14:textId="77777777" w:rsidR="00B12227" w:rsidRPr="00AA2617" w:rsidRDefault="00B12227" w:rsidP="00AA2617">
      <w:pPr>
        <w:pStyle w:val="NumberedParagraph"/>
        <w:numPr>
          <w:ilvl w:val="0"/>
          <w:numId w:val="43"/>
        </w:numPr>
        <w:ind w:left="720"/>
        <w:contextualSpacing/>
      </w:pPr>
      <w:r w:rsidRPr="00AA2617">
        <w:t>Sri Lanka Sustainable Energy Authority (Biomass usage data)</w:t>
      </w:r>
    </w:p>
    <w:p w14:paraId="42CE13D3" w14:textId="77777777" w:rsidR="00B12227" w:rsidRPr="00AA2617" w:rsidRDefault="00B12227" w:rsidP="00AA2617">
      <w:pPr>
        <w:pStyle w:val="NumberedParagraph"/>
        <w:numPr>
          <w:ilvl w:val="0"/>
          <w:numId w:val="43"/>
        </w:numPr>
        <w:ind w:left="720"/>
        <w:contextualSpacing/>
      </w:pPr>
      <w:r w:rsidRPr="00AA2617">
        <w:t>Urban Development Authority (UDA)</w:t>
      </w:r>
    </w:p>
    <w:p w14:paraId="76DB6542" w14:textId="77777777" w:rsidR="00B12227" w:rsidRPr="00AA2617" w:rsidRDefault="00B12227" w:rsidP="00AA2617">
      <w:pPr>
        <w:pStyle w:val="NumberedParagraph"/>
        <w:numPr>
          <w:ilvl w:val="0"/>
          <w:numId w:val="43"/>
        </w:numPr>
        <w:ind w:left="720"/>
        <w:contextualSpacing/>
      </w:pPr>
      <w:r w:rsidRPr="00AA2617">
        <w:t>Road Development Authority (RDA)</w:t>
      </w:r>
    </w:p>
    <w:p w14:paraId="59C88C7C" w14:textId="77777777" w:rsidR="00B12227" w:rsidRPr="00AA2617" w:rsidRDefault="00B12227" w:rsidP="00AA2617">
      <w:pPr>
        <w:pStyle w:val="NumberedParagraph"/>
        <w:numPr>
          <w:ilvl w:val="0"/>
          <w:numId w:val="43"/>
        </w:numPr>
        <w:ind w:left="720"/>
        <w:contextualSpacing/>
      </w:pPr>
      <w:r w:rsidRPr="00AA2617">
        <w:t>Tea, Rubber, Coconut Research Institutes</w:t>
      </w:r>
    </w:p>
    <w:p w14:paraId="7DC26675" w14:textId="77777777" w:rsidR="00B12227" w:rsidRPr="00AA2617" w:rsidRDefault="00B12227" w:rsidP="00AA2617">
      <w:pPr>
        <w:pStyle w:val="NumberedParagraph"/>
        <w:numPr>
          <w:ilvl w:val="0"/>
          <w:numId w:val="43"/>
        </w:numPr>
        <w:ind w:left="720"/>
        <w:contextualSpacing/>
      </w:pPr>
      <w:r w:rsidRPr="00AA2617">
        <w:t>Ministry of Plantation Industries</w:t>
      </w:r>
    </w:p>
    <w:p w14:paraId="25E1888C" w14:textId="77777777" w:rsidR="00B12227" w:rsidRPr="00AA2617" w:rsidRDefault="00B12227" w:rsidP="00AA2617">
      <w:pPr>
        <w:pStyle w:val="NumberedParagraph"/>
        <w:numPr>
          <w:ilvl w:val="0"/>
          <w:numId w:val="43"/>
        </w:numPr>
        <w:ind w:left="720"/>
        <w:contextualSpacing/>
      </w:pPr>
      <w:r w:rsidRPr="00AA2617">
        <w:t>Dept. of Export Agriculture</w:t>
      </w:r>
    </w:p>
    <w:p w14:paraId="58402804" w14:textId="77777777" w:rsidR="00B12227" w:rsidRPr="00AA2617" w:rsidRDefault="00B12227" w:rsidP="00AA2617">
      <w:pPr>
        <w:pStyle w:val="NumberedParagraph"/>
        <w:numPr>
          <w:ilvl w:val="0"/>
          <w:numId w:val="43"/>
        </w:numPr>
        <w:ind w:left="720"/>
        <w:contextualSpacing/>
      </w:pPr>
      <w:r w:rsidRPr="00AA2617">
        <w:t>Mahaweli Authority of Sri Lanka</w:t>
      </w:r>
    </w:p>
    <w:p w14:paraId="304C1465" w14:textId="77777777" w:rsidR="00B12227" w:rsidRPr="00AA2617" w:rsidRDefault="00B12227" w:rsidP="00AA2617">
      <w:pPr>
        <w:pStyle w:val="NumberedParagraph"/>
        <w:numPr>
          <w:ilvl w:val="0"/>
          <w:numId w:val="43"/>
        </w:numPr>
        <w:ind w:left="720"/>
        <w:contextualSpacing/>
      </w:pPr>
      <w:r w:rsidRPr="00AA2617">
        <w:t>Ministry of Mahaweli Development and Environment</w:t>
      </w:r>
    </w:p>
    <w:p w14:paraId="71B73297" w14:textId="4C489A15" w:rsidR="00B12227" w:rsidRPr="00AA2617" w:rsidRDefault="00B12227" w:rsidP="00AA2617">
      <w:pPr>
        <w:pStyle w:val="NumberedParagraph"/>
        <w:numPr>
          <w:ilvl w:val="0"/>
          <w:numId w:val="43"/>
        </w:numPr>
        <w:ind w:left="720"/>
        <w:contextualSpacing/>
      </w:pPr>
      <w:r w:rsidRPr="00AA2617">
        <w:t>National Fertilizer Secretariat</w:t>
      </w:r>
    </w:p>
    <w:p w14:paraId="184BF777" w14:textId="6BF649AA" w:rsidR="00CB3998" w:rsidRPr="00AA2617" w:rsidRDefault="00CB3998" w:rsidP="00AA2617">
      <w:pPr>
        <w:pStyle w:val="NumberedParagraph"/>
        <w:numPr>
          <w:ilvl w:val="0"/>
          <w:numId w:val="43"/>
        </w:numPr>
        <w:ind w:left="720"/>
        <w:contextualSpacing/>
      </w:pPr>
      <w:r w:rsidRPr="00AA2617">
        <w:t xml:space="preserve">Department of meteorology </w:t>
      </w:r>
    </w:p>
    <w:p w14:paraId="6274F764" w14:textId="5DA7BD95" w:rsidR="00CB3998" w:rsidRPr="00AA2617" w:rsidRDefault="00CB3998" w:rsidP="00AA2617">
      <w:pPr>
        <w:pStyle w:val="NumberedParagraph"/>
        <w:numPr>
          <w:ilvl w:val="0"/>
          <w:numId w:val="43"/>
        </w:numPr>
        <w:ind w:left="720"/>
        <w:contextualSpacing/>
      </w:pPr>
      <w:r w:rsidRPr="00AA2617">
        <w:t>Department of Irrigation</w:t>
      </w:r>
    </w:p>
    <w:p w14:paraId="59A72A06" w14:textId="77777777" w:rsidR="00A5782F" w:rsidRPr="00AA2617" w:rsidRDefault="00A5782F" w:rsidP="00AA2617">
      <w:pPr>
        <w:pStyle w:val="NumberedParagraph"/>
        <w:numPr>
          <w:ilvl w:val="0"/>
          <w:numId w:val="0"/>
        </w:numPr>
        <w:ind w:left="720"/>
        <w:contextualSpacing/>
      </w:pPr>
    </w:p>
    <w:p w14:paraId="4B13CFFF" w14:textId="77777777" w:rsidR="00D50190" w:rsidRPr="00AA2617" w:rsidRDefault="00D50190" w:rsidP="00AA2617">
      <w:pPr>
        <w:pStyle w:val="NumberedParagraph"/>
        <w:ind w:left="360"/>
        <w:rPr>
          <w:sz w:val="22"/>
          <w:lang w:val="en-GB"/>
        </w:rPr>
      </w:pPr>
      <w:r w:rsidRPr="00AA2617">
        <w:rPr>
          <w:sz w:val="22"/>
          <w:lang w:val="en-GB"/>
        </w:rPr>
        <w:t>Various agencies maintain separate public data portals.  Department of Census and Statistics (DCS) (</w:t>
      </w:r>
      <w:hyperlink r:id="rId18" w:history="1">
        <w:r w:rsidRPr="00AA2617">
          <w:rPr>
            <w:rStyle w:val="Hyperlink"/>
            <w:sz w:val="22"/>
            <w:lang w:val="en-GB"/>
          </w:rPr>
          <w:t>http://www.statistics.gov.lk</w:t>
        </w:r>
      </w:hyperlink>
      <w:r w:rsidRPr="00AA2617">
        <w:rPr>
          <w:sz w:val="22"/>
          <w:lang w:val="en-GB"/>
        </w:rPr>
        <w:t xml:space="preserve">) website provides a uniform interface and data-extraction tools (e.g., data export; tables and graphics by selected data fields for various databases compiled by this department.  However, the site offers scant information on metadata, sources, and data-collection methods. While summary compilations of census and routine survey data are publicly accessible, much of the metadata is not conducive to reporting in line with IPCC’s 2006 </w:t>
      </w:r>
      <w:r w:rsidRPr="00AA2617">
        <w:rPr>
          <w:i/>
          <w:sz w:val="22"/>
          <w:lang w:val="en-GB"/>
        </w:rPr>
        <w:t>Guidelines</w:t>
      </w:r>
      <w:r w:rsidRPr="00AA2617">
        <w:rPr>
          <w:sz w:val="22"/>
          <w:lang w:val="en-GB"/>
        </w:rPr>
        <w:t xml:space="preserve">. </w:t>
      </w:r>
    </w:p>
    <w:p w14:paraId="4AC6B34B" w14:textId="77777777" w:rsidR="00983E9B" w:rsidRPr="00AA2617" w:rsidRDefault="00983E9B" w:rsidP="00AA2617">
      <w:pPr>
        <w:pStyle w:val="NumberedParagraph"/>
        <w:ind w:left="360"/>
        <w:rPr>
          <w:sz w:val="22"/>
          <w:lang w:val="en-GB"/>
        </w:rPr>
      </w:pPr>
      <w:r w:rsidRPr="00AA2617">
        <w:rPr>
          <w:sz w:val="22"/>
          <w:lang w:val="en-GB"/>
        </w:rPr>
        <w:t xml:space="preserve">There is no central database system which can cater national GHG inventory. During stakeholder meeting, various technical barriers were presented which are given below; </w:t>
      </w:r>
    </w:p>
    <w:p w14:paraId="5D5D7AC6" w14:textId="77777777" w:rsidR="00D50190" w:rsidRPr="00AA2617" w:rsidRDefault="00D50190" w:rsidP="00AA2617">
      <w:pPr>
        <w:pStyle w:val="NumberedParagraph"/>
        <w:numPr>
          <w:ilvl w:val="0"/>
          <w:numId w:val="45"/>
        </w:numPr>
        <w:spacing w:before="120"/>
        <w:ind w:left="547"/>
        <w:contextualSpacing/>
      </w:pPr>
      <w:r w:rsidRPr="00AA2617">
        <w:t>Quality Control (QC) and Quality Assurance (QA) of Activity Data</w:t>
      </w:r>
    </w:p>
    <w:p w14:paraId="663BD478" w14:textId="77777777" w:rsidR="00D50190" w:rsidRPr="00AA2617" w:rsidRDefault="00D50190" w:rsidP="00AA2617">
      <w:pPr>
        <w:pStyle w:val="NumberedParagraph"/>
        <w:numPr>
          <w:ilvl w:val="0"/>
          <w:numId w:val="45"/>
        </w:numPr>
        <w:spacing w:before="120"/>
        <w:ind w:left="547"/>
        <w:contextualSpacing/>
      </w:pPr>
      <w:r w:rsidRPr="00AA2617">
        <w:t>Lack of Measuring, Reporting and Verification system (for GHGI and MO)</w:t>
      </w:r>
    </w:p>
    <w:p w14:paraId="2052F7EE" w14:textId="77777777" w:rsidR="00D50190" w:rsidRPr="00AA2617" w:rsidRDefault="00D50190" w:rsidP="00AA2617">
      <w:pPr>
        <w:pStyle w:val="NumberedParagraph"/>
        <w:numPr>
          <w:ilvl w:val="0"/>
          <w:numId w:val="45"/>
        </w:numPr>
        <w:spacing w:before="120"/>
        <w:ind w:left="547"/>
        <w:contextualSpacing/>
      </w:pPr>
      <w:r w:rsidRPr="00AA2617">
        <w:t>Variations in estimates of  Activity Data</w:t>
      </w:r>
    </w:p>
    <w:p w14:paraId="29FE345D" w14:textId="77777777" w:rsidR="00D50190" w:rsidRPr="00AA2617" w:rsidRDefault="00D50190" w:rsidP="00AA2617">
      <w:pPr>
        <w:pStyle w:val="NumberedParagraph"/>
        <w:numPr>
          <w:ilvl w:val="0"/>
          <w:numId w:val="45"/>
        </w:numPr>
        <w:spacing w:before="120"/>
        <w:ind w:left="547"/>
        <w:contextualSpacing/>
      </w:pPr>
      <w:r w:rsidRPr="00AA2617">
        <w:t>Variations in estimates of in Emission Factors</w:t>
      </w:r>
    </w:p>
    <w:p w14:paraId="182B9187" w14:textId="77777777" w:rsidR="00D50190" w:rsidRPr="00AA2617" w:rsidRDefault="00D50190" w:rsidP="00AA2617">
      <w:pPr>
        <w:pStyle w:val="NumberedParagraph"/>
        <w:numPr>
          <w:ilvl w:val="0"/>
          <w:numId w:val="45"/>
        </w:numPr>
        <w:spacing w:before="120"/>
        <w:ind w:left="547"/>
        <w:contextualSpacing/>
      </w:pPr>
      <w:r w:rsidRPr="00AA2617">
        <w:t>Unavailability of regular data collection mechanism and a Database</w:t>
      </w:r>
    </w:p>
    <w:p w14:paraId="5A7AB54B" w14:textId="77777777" w:rsidR="00D50190" w:rsidRPr="00AA2617" w:rsidRDefault="00D50190" w:rsidP="00AA2617">
      <w:pPr>
        <w:pStyle w:val="NumberedParagraph"/>
        <w:numPr>
          <w:ilvl w:val="0"/>
          <w:numId w:val="45"/>
        </w:numPr>
        <w:spacing w:before="120"/>
        <w:ind w:left="547"/>
        <w:contextualSpacing/>
      </w:pPr>
      <w:r w:rsidRPr="00AA2617">
        <w:t>Lack of Knowledge on Climate Change, GHG emission sources and mitigation measures at ground level data collectors</w:t>
      </w:r>
    </w:p>
    <w:p w14:paraId="3089E280" w14:textId="76D243E8" w:rsidR="00D50190" w:rsidRPr="00AA2617" w:rsidRDefault="00D50190" w:rsidP="00AA2617">
      <w:pPr>
        <w:pStyle w:val="NumberedParagraph"/>
        <w:numPr>
          <w:ilvl w:val="0"/>
          <w:numId w:val="45"/>
        </w:numPr>
        <w:spacing w:before="120"/>
        <w:ind w:left="547"/>
        <w:contextualSpacing/>
      </w:pPr>
      <w:r w:rsidRPr="00AA2617">
        <w:t>Lack of routine studies to generate ‘Tier 2’ and ‘tier 3’ country and sector specific emission factors</w:t>
      </w:r>
    </w:p>
    <w:p w14:paraId="7B8409A6" w14:textId="77777777" w:rsidR="00A5782F" w:rsidRPr="00AA2617" w:rsidRDefault="00A5782F" w:rsidP="00AA2617">
      <w:pPr>
        <w:pStyle w:val="NumberedParagraph"/>
        <w:numPr>
          <w:ilvl w:val="0"/>
          <w:numId w:val="0"/>
        </w:numPr>
        <w:spacing w:before="120"/>
        <w:ind w:left="547"/>
        <w:contextualSpacing/>
      </w:pPr>
    </w:p>
    <w:p w14:paraId="6F3B56C7" w14:textId="53D243B5" w:rsidR="00D50190" w:rsidRPr="00AA2617" w:rsidRDefault="00D50190" w:rsidP="00AA2617">
      <w:pPr>
        <w:pStyle w:val="NumberedParagraph"/>
        <w:ind w:left="360"/>
        <w:rPr>
          <w:sz w:val="22"/>
          <w:lang w:val="en-GB"/>
        </w:rPr>
      </w:pPr>
      <w:r w:rsidRPr="00AA2617">
        <w:rPr>
          <w:sz w:val="22"/>
          <w:lang w:val="en-GB"/>
        </w:rPr>
        <w:t xml:space="preserve"> Further, the TNC </w:t>
      </w:r>
      <w:r w:rsidR="00FD2E39" w:rsidRPr="00AA2617">
        <w:rPr>
          <w:sz w:val="22"/>
          <w:lang w:val="en-GB"/>
        </w:rPr>
        <w:t xml:space="preserve">faces some challenges such as need for </w:t>
      </w:r>
      <w:r w:rsidRPr="00AA2617">
        <w:rPr>
          <w:sz w:val="22"/>
          <w:lang w:val="en-GB"/>
        </w:rPr>
        <w:t xml:space="preserve">capacity </w:t>
      </w:r>
      <w:r w:rsidR="00FD2E39" w:rsidRPr="00AA2617">
        <w:rPr>
          <w:sz w:val="22"/>
          <w:lang w:val="en-GB"/>
        </w:rPr>
        <w:t xml:space="preserve">improvements </w:t>
      </w:r>
      <w:r w:rsidRPr="00AA2617">
        <w:rPr>
          <w:sz w:val="22"/>
          <w:lang w:val="en-GB"/>
        </w:rPr>
        <w:t xml:space="preserve">in sourcing updated information of AFOLU sectors due to limited technical expertise and capacity of CCS in this regard. In addition, the obligations of BUR and thematic studies also have been delayed through lack of </w:t>
      </w:r>
      <w:r w:rsidR="003F1257" w:rsidRPr="00AA2617">
        <w:rPr>
          <w:sz w:val="22"/>
          <w:lang w:val="en-GB"/>
        </w:rPr>
        <w:t xml:space="preserve">data </w:t>
      </w:r>
      <w:r w:rsidR="000F35AB" w:rsidRPr="00AA2617">
        <w:rPr>
          <w:sz w:val="22"/>
          <w:lang w:val="en-GB"/>
        </w:rPr>
        <w:t>a</w:t>
      </w:r>
      <w:r w:rsidR="003F1257" w:rsidRPr="00AA2617">
        <w:rPr>
          <w:sz w:val="22"/>
          <w:lang w:val="en-GB"/>
        </w:rPr>
        <w:t>nd coordination between stakeholders</w:t>
      </w:r>
    </w:p>
    <w:p w14:paraId="20FF6E9F" w14:textId="4EA18A1C" w:rsidR="001A3FBB" w:rsidRPr="00AA2617" w:rsidRDefault="001A3FBB" w:rsidP="00AA2617">
      <w:pPr>
        <w:pStyle w:val="NumberedParagraph"/>
        <w:ind w:left="360"/>
        <w:rPr>
          <w:sz w:val="22"/>
          <w:lang w:val="en-GB"/>
        </w:rPr>
      </w:pPr>
      <w:r w:rsidRPr="00AA2617">
        <w:rPr>
          <w:i/>
          <w:sz w:val="22"/>
          <w:lang w:val="en-GB"/>
        </w:rPr>
        <w:t>Data-archiving.</w:t>
      </w:r>
      <w:r w:rsidRPr="00AA2617">
        <w:rPr>
          <w:sz w:val="22"/>
          <w:lang w:val="en-GB"/>
        </w:rPr>
        <w:t xml:space="preserve"> A host agency has not been designated for an archival system, and no such system is operational.  Related SOPs have not been drafted and there are no plans to fund the associated human and technological resources, operation and maintenance, etc.</w:t>
      </w:r>
    </w:p>
    <w:p w14:paraId="1B5D32EB" w14:textId="447C6233" w:rsidR="00D50190" w:rsidRPr="00AA2617" w:rsidRDefault="00D50190" w:rsidP="00AA2617">
      <w:pPr>
        <w:pStyle w:val="NumberedParagraph"/>
        <w:ind w:left="360"/>
        <w:rPr>
          <w:sz w:val="22"/>
          <w:lang w:val="en-GB"/>
        </w:rPr>
      </w:pPr>
      <w:r w:rsidRPr="00AA2617">
        <w:rPr>
          <w:i/>
          <w:sz w:val="22"/>
          <w:lang w:val="en-GB"/>
        </w:rPr>
        <w:t>Uncertainty analyses.</w:t>
      </w:r>
      <w:r w:rsidRPr="00AA2617">
        <w:rPr>
          <w:sz w:val="22"/>
          <w:lang w:val="en-GB"/>
        </w:rPr>
        <w:t xml:space="preserve">  This is a major technical challenge in Sri Lanka’s GHG estimation process. Many institutions  do not hold data in the format which is required for GHG inventory, which makes CCS’s job difficult for analysis and it leads to higher uncertainty in results. Some uncertainty analyses have been conducted based on expert judgement and comparisons with default global and regional values.  The process is hindered by the fact that few data providers communicate their data-collection methodology or uncertainty estimates (e.g.,</w:t>
      </w:r>
      <w:r w:rsidR="00FD2E39" w:rsidRPr="00AA2617">
        <w:rPr>
          <w:sz w:val="22"/>
          <w:lang w:val="en-GB"/>
        </w:rPr>
        <w:t xml:space="preserve"> </w:t>
      </w:r>
      <w:r w:rsidRPr="00AA2617">
        <w:rPr>
          <w:sz w:val="22"/>
          <w:lang w:val="en-GB"/>
        </w:rPr>
        <w:t xml:space="preserve">confidence intervals of estimates or standard errors). MMDE seeks funding for a full survey of relevant metadata, including methods and uncertainties..  </w:t>
      </w:r>
    </w:p>
    <w:p w14:paraId="5DE0FEC1" w14:textId="5876CB63" w:rsidR="00D50190" w:rsidRPr="00AA2617" w:rsidRDefault="00D50190" w:rsidP="00AA2617">
      <w:pPr>
        <w:pStyle w:val="NumberedParagraph"/>
        <w:ind w:left="360"/>
        <w:rPr>
          <w:sz w:val="22"/>
          <w:lang w:val="en-GB"/>
        </w:rPr>
      </w:pPr>
      <w:r w:rsidRPr="00AA2617">
        <w:rPr>
          <w:i/>
          <w:sz w:val="22"/>
          <w:lang w:val="en-GB"/>
        </w:rPr>
        <w:lastRenderedPageBreak/>
        <w:t>Verification and quality assurance (QA).</w:t>
      </w:r>
      <w:r w:rsidRPr="00AA2617">
        <w:rPr>
          <w:sz w:val="22"/>
          <w:lang w:val="en-GB"/>
        </w:rPr>
        <w:t xml:space="preserve">  It is a major technical barrier as presented by CCS during stakeholder’s consultation workshop. CCS plans to prepare a Relational Normalized Database system with proper data entry form</w:t>
      </w:r>
      <w:r w:rsidR="00FD2E39" w:rsidRPr="00AA2617">
        <w:rPr>
          <w:sz w:val="22"/>
          <w:lang w:val="en-GB"/>
        </w:rPr>
        <w:t>s</w:t>
      </w:r>
      <w:r w:rsidRPr="00AA2617">
        <w:rPr>
          <w:sz w:val="22"/>
          <w:lang w:val="en-GB"/>
        </w:rPr>
        <w:t xml:space="preserve"> to collect data from various departments</w:t>
      </w:r>
      <w:r w:rsidR="00F27DD0" w:rsidRPr="00AA2617">
        <w:rPr>
          <w:sz w:val="22"/>
          <w:lang w:val="en-GB"/>
        </w:rPr>
        <w:t xml:space="preserve"> which would also allow more timeline quality assurance processes</w:t>
      </w:r>
      <w:r w:rsidRPr="00AA2617">
        <w:rPr>
          <w:sz w:val="22"/>
          <w:lang w:val="en-GB"/>
        </w:rPr>
        <w:t>. This is a challenging task requiring funding</w:t>
      </w:r>
      <w:r w:rsidR="00F27DD0" w:rsidRPr="00AA2617">
        <w:rPr>
          <w:sz w:val="22"/>
          <w:lang w:val="en-GB"/>
        </w:rPr>
        <w:t>, capacity and coordination</w:t>
      </w:r>
      <w:r w:rsidRPr="00AA2617">
        <w:rPr>
          <w:sz w:val="22"/>
          <w:lang w:val="en-GB"/>
        </w:rPr>
        <w:t xml:space="preserve"> support. The improvement of data management is a high priority in the Sri Lanka. This is very important for t</w:t>
      </w:r>
      <w:r w:rsidRPr="00AA2617">
        <w:rPr>
          <w:sz w:val="22"/>
        </w:rPr>
        <w:t xml:space="preserve">he commitment to enhance transparency of National Status, NCs, </w:t>
      </w:r>
      <w:r w:rsidR="00FD2E39" w:rsidRPr="00AA2617">
        <w:rPr>
          <w:sz w:val="22"/>
        </w:rPr>
        <w:t>BTRs</w:t>
      </w:r>
      <w:r w:rsidRPr="00AA2617">
        <w:rPr>
          <w:sz w:val="22"/>
        </w:rPr>
        <w:t xml:space="preserve"> and thematic assessments (Article 13, The Paris Agreement), to establish and implement National MRV system on GHGI and MO, to set NDC targets and assess the progress of achieving NDC targets and AFOLU sector needs </w:t>
      </w:r>
      <w:r w:rsidR="00FD2E39" w:rsidRPr="00AA2617">
        <w:rPr>
          <w:sz w:val="22"/>
        </w:rPr>
        <w:t xml:space="preserve">for </w:t>
      </w:r>
      <w:r w:rsidRPr="00AA2617">
        <w:rPr>
          <w:sz w:val="22"/>
        </w:rPr>
        <w:t xml:space="preserve">both Climate Change Mitigation and Adaptation measures . </w:t>
      </w:r>
    </w:p>
    <w:p w14:paraId="6BA49F1E" w14:textId="77777777" w:rsidR="00820164" w:rsidRPr="00AA2617" w:rsidRDefault="00820164" w:rsidP="00AA2617">
      <w:pPr>
        <w:pStyle w:val="Heading3"/>
        <w:rPr>
          <w:b/>
          <w:lang w:val="en-GB"/>
        </w:rPr>
      </w:pPr>
      <w:bookmarkStart w:id="22" w:name="_Toc9249176"/>
      <w:r w:rsidRPr="00AA2617">
        <w:rPr>
          <w:b/>
          <w:lang w:val="en-GB"/>
        </w:rPr>
        <w:t>Differences between mitigation and adaptation capacities</w:t>
      </w:r>
      <w:bookmarkEnd w:id="22"/>
    </w:p>
    <w:p w14:paraId="2808D158" w14:textId="2E58A682" w:rsidR="00D50190" w:rsidRPr="00AA2617" w:rsidRDefault="00D50190" w:rsidP="00AA2617">
      <w:pPr>
        <w:pStyle w:val="NumberedParagraph"/>
        <w:ind w:left="360"/>
        <w:rPr>
          <w:sz w:val="22"/>
          <w:lang w:val="en-GB"/>
        </w:rPr>
      </w:pPr>
      <w:r w:rsidRPr="00AA2617">
        <w:rPr>
          <w:sz w:val="22"/>
          <w:lang w:val="en-GB"/>
        </w:rPr>
        <w:t>Sri Lanka came up with National Adaptation Plans</w:t>
      </w:r>
      <w:r w:rsidRPr="00AA2617">
        <w:rPr>
          <w:vertAlign w:val="superscript"/>
        </w:rPr>
        <w:footnoteReference w:id="27"/>
      </w:r>
      <w:r w:rsidRPr="00AA2617">
        <w:rPr>
          <w:sz w:val="22"/>
          <w:lang w:val="en-GB"/>
        </w:rPr>
        <w:t xml:space="preserve"> </w:t>
      </w:r>
      <w:r w:rsidR="00F27DD0" w:rsidRPr="00AA2617">
        <w:rPr>
          <w:sz w:val="22"/>
          <w:lang w:val="en-GB"/>
        </w:rPr>
        <w:t xml:space="preserve">for </w:t>
      </w:r>
      <w:r w:rsidRPr="00AA2617">
        <w:rPr>
          <w:sz w:val="22"/>
          <w:lang w:val="en-GB"/>
        </w:rPr>
        <w:t xml:space="preserve">2016 to 2025, which outlines details of priority actions in food security, water resource, coastal and marine sector, health, human settlement and infrastructure, ecosystem and biodiversity, tourism and recreation, export agriculture, industry energy and transportation and several cross-cutting needs of adaptation in various sectors.  The National Adaptation Plan of Sri Lanka identified agriculture, fisheries, water, human health, coastal and marine, ecosystems and biodiversity, infrastructure and human settlements as the most vulnerable sectors to the adverse effects of climate change. The details of desired action are listed in the NAP document. On the other hand, mitigation MRV process is at a better status.. This difference is largely a function of the global nature of mitigation concerns, which are more amenable to common approaches (e.g., via international MRV guidelines, protocols, default values, etc.), versus the local nature of adaptation concerns, which require tailoring to national circumstances.   </w:t>
      </w:r>
    </w:p>
    <w:p w14:paraId="1E3C42C7" w14:textId="77777777" w:rsidR="00D50190" w:rsidRPr="00AA2617" w:rsidRDefault="00D50190" w:rsidP="00AA2617">
      <w:pPr>
        <w:pStyle w:val="NumberedParagraph"/>
        <w:ind w:left="360"/>
        <w:rPr>
          <w:sz w:val="22"/>
          <w:lang w:val="en-GB"/>
        </w:rPr>
      </w:pPr>
      <w:r w:rsidRPr="00AA2617">
        <w:rPr>
          <w:sz w:val="22"/>
          <w:lang w:val="en-GB"/>
        </w:rPr>
        <w:t>Although the details of climate-related adaptation are country-specific, the challenges of a tailored approach are not unique to Sri Lanka.  As described in greater detail under Component 3, this project will make use of the substantial resources available to guide a structured approach to addressing the particular challenges of creating a nationally tailored approach to climate-change adaptation related NDC targets.</w:t>
      </w:r>
    </w:p>
    <w:p w14:paraId="7C9309EB" w14:textId="77777777" w:rsidR="00692C1F" w:rsidRPr="00AA2617" w:rsidRDefault="0076348A" w:rsidP="00AA2617">
      <w:pPr>
        <w:pStyle w:val="Heading3"/>
        <w:rPr>
          <w:b/>
          <w:lang w:val="en-GB"/>
        </w:rPr>
      </w:pPr>
      <w:bookmarkStart w:id="23" w:name="_Toc9249177"/>
      <w:r w:rsidRPr="00AA2617">
        <w:rPr>
          <w:b/>
          <w:lang w:val="en-GB"/>
        </w:rPr>
        <w:t>Baseline</w:t>
      </w:r>
      <w:r w:rsidR="00692C1F" w:rsidRPr="00AA2617">
        <w:rPr>
          <w:b/>
          <w:lang w:val="en-GB"/>
        </w:rPr>
        <w:t xml:space="preserve"> ratings for CBIT tracking tool</w:t>
      </w:r>
      <w:bookmarkEnd w:id="23"/>
    </w:p>
    <w:p w14:paraId="2FF08591" w14:textId="77777777" w:rsidR="00F1155D" w:rsidRPr="00AA2617" w:rsidRDefault="00F1155D" w:rsidP="00AA2617">
      <w:pPr>
        <w:pStyle w:val="NumberedParagraph"/>
        <w:ind w:left="360"/>
        <w:rPr>
          <w:sz w:val="22"/>
          <w:lang w:val="en-GB"/>
        </w:rPr>
      </w:pPr>
      <w:r w:rsidRPr="00AA2617">
        <w:rPr>
          <w:sz w:val="22"/>
          <w:lang w:val="en-GB"/>
        </w:rPr>
        <w:t xml:space="preserve">Based on </w:t>
      </w:r>
      <w:r w:rsidR="00692C1F" w:rsidRPr="00AA2617">
        <w:rPr>
          <w:sz w:val="22"/>
          <w:lang w:val="en-GB"/>
        </w:rPr>
        <w:t>stakeholder consultations during this project’s design phase and stakeholder ratings during the PPG inception workshop, the following baseline ratings have been determined for the CBIT tracking tool</w:t>
      </w:r>
      <w:r w:rsidR="0076348A" w:rsidRPr="00AA2617">
        <w:rPr>
          <w:sz w:val="22"/>
          <w:lang w:val="en-GB"/>
        </w:rPr>
        <w:t xml:space="preserve"> (see Table </w:t>
      </w:r>
      <w:r w:rsidR="00BE79EE" w:rsidRPr="00AA2617">
        <w:rPr>
          <w:sz w:val="22"/>
          <w:lang w:val="en-GB"/>
        </w:rPr>
        <w:t>5</w:t>
      </w:r>
      <w:r w:rsidR="0076348A" w:rsidRPr="00AA2617">
        <w:rPr>
          <w:sz w:val="22"/>
          <w:lang w:val="en-GB"/>
        </w:rPr>
        <w:t>)</w:t>
      </w:r>
      <w:r w:rsidR="00692C1F" w:rsidRPr="00AA2617">
        <w:rPr>
          <w:sz w:val="22"/>
          <w:lang w:val="en-GB"/>
        </w:rPr>
        <w:t>.</w:t>
      </w:r>
      <w:r w:rsidR="00D3012B" w:rsidRPr="00AA2617">
        <w:rPr>
          <w:sz w:val="22"/>
          <w:lang w:val="en-GB"/>
        </w:rPr>
        <w:t xml:space="preserve">  These ratings comport with those estimated in the PIF.</w:t>
      </w:r>
    </w:p>
    <w:p w14:paraId="3940D5A1" w14:textId="77777777" w:rsidR="00D3012B" w:rsidRPr="00AA2617" w:rsidRDefault="0076348A" w:rsidP="00AA2617">
      <w:pPr>
        <w:pStyle w:val="NumberedParagraph"/>
        <w:keepNext/>
        <w:numPr>
          <w:ilvl w:val="0"/>
          <w:numId w:val="0"/>
        </w:numPr>
        <w:spacing w:before="240"/>
        <w:jc w:val="center"/>
        <w:rPr>
          <w:sz w:val="22"/>
          <w:lang w:val="en-GB"/>
        </w:rPr>
      </w:pPr>
      <w:r w:rsidRPr="00AA2617">
        <w:rPr>
          <w:sz w:val="22"/>
          <w:lang w:val="en-GB"/>
        </w:rPr>
        <w:t xml:space="preserve">Table </w:t>
      </w:r>
      <w:r w:rsidR="00BE79EE" w:rsidRPr="00AA2617">
        <w:rPr>
          <w:sz w:val="22"/>
          <w:lang w:val="en-GB"/>
        </w:rPr>
        <w:t>5</w:t>
      </w:r>
      <w:r w:rsidR="005242D0" w:rsidRPr="00AA2617">
        <w:rPr>
          <w:sz w:val="22"/>
          <w:lang w:val="en-GB"/>
        </w:rPr>
        <w:t>.  Baseline Ratings for CBIT Tracking T</w:t>
      </w:r>
      <w:r w:rsidRPr="00AA2617">
        <w:rPr>
          <w:sz w:val="22"/>
          <w:lang w:val="en-GB"/>
        </w:rPr>
        <w:t>ool</w:t>
      </w:r>
    </w:p>
    <w:tbl>
      <w:tblPr>
        <w:tblStyle w:val="TableGrid"/>
        <w:tblW w:w="9120" w:type="dxa"/>
        <w:jc w:val="center"/>
        <w:tblLook w:val="04A0" w:firstRow="1" w:lastRow="0" w:firstColumn="1" w:lastColumn="0" w:noHBand="0" w:noVBand="1"/>
      </w:tblPr>
      <w:tblGrid>
        <w:gridCol w:w="2657"/>
        <w:gridCol w:w="900"/>
        <w:gridCol w:w="810"/>
        <w:gridCol w:w="4753"/>
      </w:tblGrid>
      <w:tr w:rsidR="00D3012B" w:rsidRPr="00AA2617" w14:paraId="1605F80C" w14:textId="77777777" w:rsidTr="0076348A">
        <w:trPr>
          <w:jc w:val="center"/>
        </w:trPr>
        <w:tc>
          <w:tcPr>
            <w:tcW w:w="2657" w:type="dxa"/>
            <w:shd w:val="clear" w:color="auto" w:fill="B4C6E7" w:themeFill="accent1" w:themeFillTint="66"/>
            <w:vAlign w:val="center"/>
          </w:tcPr>
          <w:p w14:paraId="0750660C" w14:textId="77777777" w:rsidR="00D3012B" w:rsidRPr="00AA2617" w:rsidRDefault="00D3012B" w:rsidP="00AA2617">
            <w:pPr>
              <w:pStyle w:val="NumberedParagraph"/>
              <w:keepLines/>
              <w:numPr>
                <w:ilvl w:val="0"/>
                <w:numId w:val="0"/>
              </w:numPr>
              <w:spacing w:before="40" w:after="40"/>
              <w:jc w:val="center"/>
              <w:rPr>
                <w:sz w:val="22"/>
                <w:lang w:val="en-GB"/>
              </w:rPr>
            </w:pPr>
            <w:r w:rsidRPr="00AA2617">
              <w:rPr>
                <w:sz w:val="22"/>
                <w:lang w:val="en-GB"/>
              </w:rPr>
              <w:t>Indicator</w:t>
            </w:r>
          </w:p>
        </w:tc>
        <w:tc>
          <w:tcPr>
            <w:tcW w:w="900" w:type="dxa"/>
            <w:shd w:val="clear" w:color="auto" w:fill="B4C6E7" w:themeFill="accent1" w:themeFillTint="66"/>
            <w:vAlign w:val="center"/>
          </w:tcPr>
          <w:p w14:paraId="326784B2" w14:textId="77777777" w:rsidR="00D3012B" w:rsidRPr="00AA2617" w:rsidRDefault="00D3012B" w:rsidP="00AA2617">
            <w:pPr>
              <w:pStyle w:val="NumberedParagraph"/>
              <w:keepLines/>
              <w:numPr>
                <w:ilvl w:val="0"/>
                <w:numId w:val="0"/>
              </w:numPr>
              <w:spacing w:before="40" w:after="40"/>
              <w:jc w:val="center"/>
              <w:rPr>
                <w:sz w:val="22"/>
                <w:lang w:val="en-GB"/>
              </w:rPr>
            </w:pPr>
            <w:r w:rsidRPr="00AA2617">
              <w:rPr>
                <w:sz w:val="22"/>
                <w:lang w:val="en-GB"/>
              </w:rPr>
              <w:t>Scale</w:t>
            </w:r>
          </w:p>
        </w:tc>
        <w:tc>
          <w:tcPr>
            <w:tcW w:w="810" w:type="dxa"/>
            <w:shd w:val="clear" w:color="auto" w:fill="B4C6E7" w:themeFill="accent1" w:themeFillTint="66"/>
            <w:vAlign w:val="center"/>
          </w:tcPr>
          <w:p w14:paraId="485A6C31" w14:textId="77777777" w:rsidR="00D3012B" w:rsidRPr="00AA2617" w:rsidRDefault="00D3012B" w:rsidP="00AA2617">
            <w:pPr>
              <w:pStyle w:val="NumberedParagraph"/>
              <w:keepLines/>
              <w:numPr>
                <w:ilvl w:val="0"/>
                <w:numId w:val="0"/>
              </w:numPr>
              <w:spacing w:before="40" w:after="40"/>
              <w:jc w:val="center"/>
              <w:rPr>
                <w:sz w:val="22"/>
                <w:lang w:val="en-GB"/>
              </w:rPr>
            </w:pPr>
            <w:r w:rsidRPr="00AA2617">
              <w:rPr>
                <w:sz w:val="22"/>
                <w:lang w:val="en-GB"/>
              </w:rPr>
              <w:t>Rating</w:t>
            </w:r>
          </w:p>
        </w:tc>
        <w:tc>
          <w:tcPr>
            <w:tcW w:w="4753" w:type="dxa"/>
            <w:shd w:val="clear" w:color="auto" w:fill="B4C6E7" w:themeFill="accent1" w:themeFillTint="66"/>
            <w:vAlign w:val="center"/>
          </w:tcPr>
          <w:p w14:paraId="4FF5713C" w14:textId="77777777" w:rsidR="00D3012B" w:rsidRPr="00AA2617" w:rsidRDefault="00D3012B" w:rsidP="00AA2617">
            <w:pPr>
              <w:pStyle w:val="NumberedParagraph"/>
              <w:keepLines/>
              <w:numPr>
                <w:ilvl w:val="0"/>
                <w:numId w:val="0"/>
              </w:numPr>
              <w:spacing w:before="40" w:after="40"/>
              <w:jc w:val="center"/>
              <w:rPr>
                <w:sz w:val="22"/>
                <w:lang w:val="en-GB"/>
              </w:rPr>
            </w:pPr>
            <w:r w:rsidRPr="00AA2617">
              <w:rPr>
                <w:sz w:val="22"/>
                <w:lang w:val="en-GB"/>
              </w:rPr>
              <w:t>Description</w:t>
            </w:r>
          </w:p>
        </w:tc>
      </w:tr>
      <w:tr w:rsidR="00D3012B" w:rsidRPr="00AA2617" w14:paraId="1DF804AD" w14:textId="77777777" w:rsidTr="0076348A">
        <w:trPr>
          <w:jc w:val="center"/>
        </w:trPr>
        <w:tc>
          <w:tcPr>
            <w:tcW w:w="2657" w:type="dxa"/>
          </w:tcPr>
          <w:p w14:paraId="7E099163" w14:textId="77777777" w:rsidR="00D3012B" w:rsidRPr="00AA2617" w:rsidRDefault="00D3012B" w:rsidP="00AA2617">
            <w:pPr>
              <w:pStyle w:val="NumberedParagraph"/>
              <w:keepLines/>
              <w:numPr>
                <w:ilvl w:val="0"/>
                <w:numId w:val="0"/>
              </w:numPr>
              <w:spacing w:before="40" w:after="40"/>
              <w:ind w:left="299" w:hanging="270"/>
              <w:jc w:val="left"/>
              <w:rPr>
                <w:sz w:val="22"/>
                <w:lang w:val="en-GB"/>
              </w:rPr>
            </w:pPr>
            <w:r w:rsidRPr="00AA2617">
              <w:rPr>
                <w:sz w:val="22"/>
                <w:lang w:val="en-GB"/>
              </w:rPr>
              <w:t>3.  Quality of MRV systems</w:t>
            </w:r>
          </w:p>
        </w:tc>
        <w:tc>
          <w:tcPr>
            <w:tcW w:w="900" w:type="dxa"/>
          </w:tcPr>
          <w:p w14:paraId="501B8989" w14:textId="77777777" w:rsidR="00D3012B" w:rsidRPr="00AA2617" w:rsidRDefault="00D3012B" w:rsidP="00AA2617">
            <w:pPr>
              <w:pStyle w:val="NumberedParagraph"/>
              <w:keepLines/>
              <w:numPr>
                <w:ilvl w:val="0"/>
                <w:numId w:val="0"/>
              </w:numPr>
              <w:spacing w:before="40" w:after="40"/>
              <w:jc w:val="center"/>
              <w:rPr>
                <w:sz w:val="22"/>
                <w:lang w:val="en-GB"/>
              </w:rPr>
            </w:pPr>
            <w:r w:rsidRPr="00AA2617">
              <w:rPr>
                <w:sz w:val="22"/>
                <w:lang w:val="en-GB"/>
              </w:rPr>
              <w:t>1 – 10</w:t>
            </w:r>
          </w:p>
        </w:tc>
        <w:tc>
          <w:tcPr>
            <w:tcW w:w="810" w:type="dxa"/>
          </w:tcPr>
          <w:p w14:paraId="4B782F4D" w14:textId="75AA46AC" w:rsidR="00D3012B" w:rsidRPr="00AA2617" w:rsidRDefault="009A6CE5" w:rsidP="00AA2617">
            <w:pPr>
              <w:pStyle w:val="NumberedParagraph"/>
              <w:keepLines/>
              <w:numPr>
                <w:ilvl w:val="0"/>
                <w:numId w:val="0"/>
              </w:numPr>
              <w:spacing w:before="40" w:after="40"/>
              <w:jc w:val="center"/>
              <w:rPr>
                <w:sz w:val="22"/>
                <w:lang w:val="en-GB"/>
              </w:rPr>
            </w:pPr>
            <w:r w:rsidRPr="00AA2617">
              <w:rPr>
                <w:sz w:val="22"/>
                <w:lang w:val="en-GB"/>
              </w:rPr>
              <w:t>2</w:t>
            </w:r>
          </w:p>
        </w:tc>
        <w:tc>
          <w:tcPr>
            <w:tcW w:w="4753" w:type="dxa"/>
          </w:tcPr>
          <w:p w14:paraId="5CBB7157" w14:textId="77777777" w:rsidR="00D3012B" w:rsidRPr="00AA2617" w:rsidRDefault="00D3012B" w:rsidP="00AA2617">
            <w:pPr>
              <w:keepLines/>
              <w:spacing w:before="40" w:after="40"/>
              <w:rPr>
                <w:sz w:val="22"/>
                <w:lang w:val="en-GB"/>
              </w:rPr>
            </w:pPr>
            <w:r w:rsidRPr="00AA2617">
              <w:rPr>
                <w:sz w:val="22"/>
                <w:lang w:val="en-GB"/>
              </w:rPr>
              <w:t>Measurement systems are in place for a few activities, improved data quality and methodologies, but not cost or time efficient; wider access to reporting is still limited and information is partial; verification is rudimentary/non-standardized</w:t>
            </w:r>
          </w:p>
        </w:tc>
      </w:tr>
      <w:tr w:rsidR="00D3012B" w:rsidRPr="00AA2617" w14:paraId="6BCFD748" w14:textId="77777777" w:rsidTr="0076348A">
        <w:trPr>
          <w:jc w:val="center"/>
        </w:trPr>
        <w:tc>
          <w:tcPr>
            <w:tcW w:w="2657" w:type="dxa"/>
          </w:tcPr>
          <w:p w14:paraId="4ED8342B" w14:textId="77777777" w:rsidR="00D3012B" w:rsidRPr="00AA2617" w:rsidRDefault="0076348A" w:rsidP="00AA2617">
            <w:pPr>
              <w:pStyle w:val="NumberedParagraph"/>
              <w:keepLines/>
              <w:numPr>
                <w:ilvl w:val="0"/>
                <w:numId w:val="0"/>
              </w:numPr>
              <w:spacing w:before="40" w:after="40"/>
              <w:ind w:left="299" w:hanging="270"/>
              <w:jc w:val="left"/>
              <w:rPr>
                <w:sz w:val="22"/>
                <w:lang w:val="en-GB"/>
              </w:rPr>
            </w:pPr>
            <w:r w:rsidRPr="00AA2617">
              <w:rPr>
                <w:sz w:val="22"/>
                <w:lang w:val="en-GB"/>
              </w:rPr>
              <w:lastRenderedPageBreak/>
              <w:t>5</w:t>
            </w:r>
            <w:r w:rsidR="00D3012B" w:rsidRPr="00AA2617">
              <w:rPr>
                <w:sz w:val="22"/>
                <w:lang w:val="en-GB"/>
              </w:rPr>
              <w:t>.  Qualitative assessment of institutional capacity for transparency-related activities</w:t>
            </w:r>
          </w:p>
        </w:tc>
        <w:tc>
          <w:tcPr>
            <w:tcW w:w="900" w:type="dxa"/>
          </w:tcPr>
          <w:p w14:paraId="57562EDC" w14:textId="77777777" w:rsidR="00D3012B" w:rsidRPr="00AA2617" w:rsidRDefault="00D3012B" w:rsidP="00AA2617">
            <w:pPr>
              <w:pStyle w:val="NumberedParagraph"/>
              <w:keepLines/>
              <w:numPr>
                <w:ilvl w:val="0"/>
                <w:numId w:val="0"/>
              </w:numPr>
              <w:spacing w:before="40" w:after="40"/>
              <w:jc w:val="center"/>
              <w:rPr>
                <w:sz w:val="22"/>
                <w:lang w:val="en-GB"/>
              </w:rPr>
            </w:pPr>
            <w:r w:rsidRPr="00AA2617">
              <w:rPr>
                <w:sz w:val="22"/>
                <w:lang w:val="en-GB"/>
              </w:rPr>
              <w:t>1 – 4</w:t>
            </w:r>
          </w:p>
        </w:tc>
        <w:tc>
          <w:tcPr>
            <w:tcW w:w="810" w:type="dxa"/>
          </w:tcPr>
          <w:p w14:paraId="20509493" w14:textId="77777777" w:rsidR="00D3012B" w:rsidRPr="00AA2617" w:rsidRDefault="00D3012B" w:rsidP="00AA2617">
            <w:pPr>
              <w:pStyle w:val="NumberedParagraph"/>
              <w:keepLines/>
              <w:numPr>
                <w:ilvl w:val="0"/>
                <w:numId w:val="0"/>
              </w:numPr>
              <w:spacing w:before="40" w:after="40"/>
              <w:jc w:val="center"/>
              <w:rPr>
                <w:sz w:val="22"/>
                <w:lang w:val="en-GB"/>
              </w:rPr>
            </w:pPr>
            <w:r w:rsidRPr="00AA2617">
              <w:rPr>
                <w:sz w:val="22"/>
                <w:lang w:val="en-GB"/>
              </w:rPr>
              <w:t>2</w:t>
            </w:r>
          </w:p>
        </w:tc>
        <w:tc>
          <w:tcPr>
            <w:tcW w:w="4753" w:type="dxa"/>
          </w:tcPr>
          <w:p w14:paraId="4E609F65" w14:textId="43BB555B" w:rsidR="00D3012B" w:rsidRPr="00AA2617" w:rsidRDefault="00D3012B" w:rsidP="00AA2617">
            <w:pPr>
              <w:keepLines/>
              <w:spacing w:before="40" w:after="40"/>
              <w:rPr>
                <w:sz w:val="22"/>
                <w:lang w:val="en-GB"/>
              </w:rPr>
            </w:pPr>
            <w:r w:rsidRPr="00AA2617">
              <w:rPr>
                <w:sz w:val="22"/>
                <w:lang w:val="en-GB"/>
              </w:rPr>
              <w:t xml:space="preserve">Designated transparency institution exists, but with limited staff and capacity to support and coordinate implementation of transparency activities under Article 13 of Paris Agreement. Institution </w:t>
            </w:r>
            <w:r w:rsidR="009A6CE5" w:rsidRPr="00AA2617">
              <w:rPr>
                <w:sz w:val="22"/>
                <w:lang w:val="en-GB"/>
              </w:rPr>
              <w:t xml:space="preserve">needs to upgrade </w:t>
            </w:r>
            <w:r w:rsidRPr="00AA2617">
              <w:rPr>
                <w:sz w:val="22"/>
                <w:lang w:val="en-GB"/>
              </w:rPr>
              <w:t>to coordinate transparency activities under Article 13.</w:t>
            </w:r>
          </w:p>
        </w:tc>
      </w:tr>
    </w:tbl>
    <w:p w14:paraId="1F82CD16" w14:textId="77777777" w:rsidR="00A32340" w:rsidRPr="00AA2617" w:rsidRDefault="003B36A9" w:rsidP="00AA2617">
      <w:pPr>
        <w:pStyle w:val="Heading2"/>
        <w:rPr>
          <w:b/>
          <w:lang w:val="en-GB"/>
        </w:rPr>
      </w:pPr>
      <w:bookmarkStart w:id="24" w:name="_Toc9249178"/>
      <w:r w:rsidRPr="00AA2617">
        <w:rPr>
          <w:b/>
          <w:lang w:val="en-GB"/>
        </w:rPr>
        <w:t>Project D</w:t>
      </w:r>
      <w:r w:rsidR="00A32340" w:rsidRPr="00AA2617">
        <w:rPr>
          <w:b/>
          <w:lang w:val="en-GB"/>
        </w:rPr>
        <w:t>escription</w:t>
      </w:r>
      <w:bookmarkEnd w:id="24"/>
    </w:p>
    <w:p w14:paraId="78027611" w14:textId="77777777" w:rsidR="003B36A9" w:rsidRPr="00AA2617" w:rsidRDefault="003B36A9" w:rsidP="00AA2617">
      <w:pPr>
        <w:pStyle w:val="Heading3"/>
        <w:rPr>
          <w:b/>
          <w:lang w:val="en-GB"/>
        </w:rPr>
      </w:pPr>
      <w:bookmarkStart w:id="25" w:name="_Toc9249179"/>
      <w:r w:rsidRPr="00AA2617">
        <w:rPr>
          <w:b/>
          <w:lang w:val="en-GB"/>
        </w:rPr>
        <w:t xml:space="preserve">Project </w:t>
      </w:r>
      <w:r w:rsidR="0015074C" w:rsidRPr="00AA2617">
        <w:rPr>
          <w:b/>
          <w:lang w:val="en-GB"/>
        </w:rPr>
        <w:t xml:space="preserve">objective and </w:t>
      </w:r>
      <w:r w:rsidRPr="00AA2617">
        <w:rPr>
          <w:b/>
          <w:lang w:val="en-GB"/>
        </w:rPr>
        <w:t>approach</w:t>
      </w:r>
      <w:bookmarkEnd w:id="25"/>
    </w:p>
    <w:p w14:paraId="49388CDE" w14:textId="77777777" w:rsidR="00C8609E" w:rsidRPr="00AA2617" w:rsidRDefault="00C8609E" w:rsidP="00AA2617">
      <w:pPr>
        <w:pStyle w:val="NumberedParagraph"/>
        <w:ind w:left="360"/>
        <w:rPr>
          <w:sz w:val="22"/>
          <w:lang w:val="en-GB"/>
        </w:rPr>
      </w:pPr>
      <w:r w:rsidRPr="00AA2617">
        <w:rPr>
          <w:i/>
          <w:sz w:val="22"/>
          <w:lang w:val="en-GB"/>
        </w:rPr>
        <w:t>Purpose</w:t>
      </w:r>
      <w:r w:rsidRPr="00AA2617">
        <w:rPr>
          <w:sz w:val="22"/>
          <w:lang w:val="en-GB"/>
        </w:rPr>
        <w:t xml:space="preserve">.  Sri Lanka’s various climate-related national communications articulate the national priorities in moving toward resilient, low-carbon economic development.  The aim of this project is not to conduct activities that directly mitigate climate change or improve Sri Lanka’s climate-related adaption, but rather to enhance the quality of information related to those issues by aligning MRV practices with global standards.  Specifically, the </w:t>
      </w:r>
      <w:r w:rsidRPr="00AA2617">
        <w:rPr>
          <w:rFonts w:eastAsia="MS Mincho"/>
          <w:sz w:val="22"/>
          <w:lang w:val="en-GB" w:eastAsia="en-GB"/>
        </w:rPr>
        <w:t>objective of this project is to enable Sri Lanka</w:t>
      </w:r>
      <w:r w:rsidRPr="00AA2617">
        <w:rPr>
          <w:rFonts w:eastAsia="MS Mincho"/>
          <w:i/>
          <w:sz w:val="22"/>
          <w:lang w:val="en-GB" w:eastAsia="en-GB"/>
        </w:rPr>
        <w:t xml:space="preserve"> to report to the UNFCCC under the Paris Agreement’s Enhanced Transparency Framework (ETF) with strengthened agricultural and land-use sector components including inventories of greenhouse gases by sources and sinks, and information necessary to track progress against priority actions identified in Sri Lanka’s NDC for these sectors.</w:t>
      </w:r>
    </w:p>
    <w:p w14:paraId="47A60A7C" w14:textId="77777777" w:rsidR="00C8609E" w:rsidRPr="00AA2617" w:rsidRDefault="00C8609E" w:rsidP="00AA2617">
      <w:pPr>
        <w:pStyle w:val="NumberedParagraph"/>
        <w:ind w:left="360"/>
        <w:rPr>
          <w:sz w:val="22"/>
          <w:lang w:val="en-GB"/>
        </w:rPr>
      </w:pPr>
      <w:bookmarkStart w:id="26" w:name="_Hlk3665538"/>
      <w:r w:rsidRPr="00AA2617">
        <w:rPr>
          <w:i/>
          <w:sz w:val="22"/>
          <w:lang w:val="en-GB"/>
        </w:rPr>
        <w:t>Priorities</w:t>
      </w:r>
      <w:r w:rsidRPr="00AA2617">
        <w:rPr>
          <w:sz w:val="22"/>
          <w:lang w:val="en-GB"/>
        </w:rPr>
        <w:t>.  The overall aim of this project is to improve the quality of information available to all stakeholders regarding climate change in Sri Lanka’s AFOLU sector.  That aim is reflected in several considerations in the design of the project.  First, implementation of this project will work to ensure that all stakeholders benefit from the resulting MRV improvements.  In order to ensure that the project efficiently yields benefits, implementation will focus foremost on addressing coordination and measurement gaps that preclude reporting.  That is, the project will first ensure complete reporting, even if only at Tier 1.  Then, the project will work to ensure broad accessibility and Tier 2 information for key categories.</w:t>
      </w:r>
    </w:p>
    <w:p w14:paraId="4E8DD874" w14:textId="77777777" w:rsidR="00C8609E" w:rsidRPr="00AA2617" w:rsidRDefault="00C8609E" w:rsidP="00AA2617">
      <w:pPr>
        <w:pStyle w:val="NumberedParagraph"/>
        <w:ind w:left="360"/>
        <w:rPr>
          <w:sz w:val="22"/>
          <w:lang w:val="en-GB"/>
        </w:rPr>
      </w:pPr>
      <w:bookmarkStart w:id="27" w:name="_Hlk3665556"/>
      <w:bookmarkEnd w:id="26"/>
      <w:r w:rsidRPr="00AA2617">
        <w:rPr>
          <w:sz w:val="22"/>
          <w:lang w:val="en-GB"/>
        </w:rPr>
        <w:t>The project will prioritize ensuring that Sri Lanka fulfils its commitment for mitigation-related reporting under the Paris Agreement while supporting efforts to advance Sri Lanka’s adaptation-related M&amp;R, for which the National Adaptation Plan is prepared.  The project places equal emphasis on strengthening systems for mitigation and adaption, though gaps are more relevant to adaptation. The project will emplace scalable solutions in order to facilitate future MRV enhancements. Lastly, the project’s overall approach emphasizes financial sustainability by identifying cost-efficient options (e.g., proxy measures) and facilitating a transition to nationally sustainable financing of AFOLU MRV.</w:t>
      </w:r>
      <w:r w:rsidRPr="00AA2617">
        <w:rPr>
          <w:rStyle w:val="FootnoteReference"/>
          <w:sz w:val="22"/>
          <w:lang w:val="en-GB"/>
        </w:rPr>
        <w:footnoteReference w:id="28"/>
      </w:r>
    </w:p>
    <w:bookmarkEnd w:id="27"/>
    <w:p w14:paraId="675EB249" w14:textId="19F8A29E" w:rsidR="00C8609E" w:rsidRPr="00AA2617" w:rsidRDefault="00C8609E" w:rsidP="00AA2617">
      <w:pPr>
        <w:pStyle w:val="NumberedParagraph"/>
        <w:ind w:left="360"/>
        <w:rPr>
          <w:sz w:val="22"/>
          <w:lang w:val="en-GB"/>
        </w:rPr>
      </w:pPr>
      <w:r w:rsidRPr="00AA2617">
        <w:rPr>
          <w:i/>
          <w:sz w:val="22"/>
          <w:lang w:val="en-GB"/>
        </w:rPr>
        <w:t>Intra-sectoral focus</w:t>
      </w:r>
      <w:r w:rsidRPr="00AA2617">
        <w:rPr>
          <w:sz w:val="22"/>
          <w:lang w:val="en-GB"/>
        </w:rPr>
        <w:t>.  Baseline capacity and MRV assessments during this project’s preparatory phase indicate that the forestry sector has stronger MRV capacities compared to the rest of the AFOLU sectors, as a result of substantial and sustained forestry efforts from the MMDE, Government of Sri Lanka and supportive initiatives, such as REDD+.  Therefore, this project’s interventions will build on those advances to enhance related capacities for agriculture and other land uses.</w:t>
      </w:r>
    </w:p>
    <w:p w14:paraId="71F3C724" w14:textId="36A6D1CB" w:rsidR="00C8609E" w:rsidRPr="00AA2617" w:rsidRDefault="00C8609E" w:rsidP="00AA2617">
      <w:pPr>
        <w:pStyle w:val="NumberedParagraph"/>
        <w:ind w:left="360"/>
        <w:rPr>
          <w:sz w:val="22"/>
          <w:lang w:val="en-GB"/>
        </w:rPr>
      </w:pPr>
      <w:r w:rsidRPr="00AA2617">
        <w:rPr>
          <w:i/>
          <w:sz w:val="22"/>
          <w:lang w:val="en-GB"/>
        </w:rPr>
        <w:t>Delineating between measurement, reporting, and verification</w:t>
      </w:r>
      <w:r w:rsidRPr="00AA2617">
        <w:rPr>
          <w:sz w:val="22"/>
          <w:lang w:val="en-GB"/>
        </w:rPr>
        <w:t xml:space="preserve">. Sri Lanka’s institutional arrangements for climate-related MRV take advantage of existing capacities and decentralization across various governmental agencies.  Many ETF-related measurement requirements entail extensive collection efforts throughout the country, where different governmental agencies have local offices that regularly collect various information, some of which pertains to the ETF.  In order </w:t>
      </w:r>
      <w:r w:rsidRPr="00AA2617">
        <w:rPr>
          <w:sz w:val="22"/>
          <w:lang w:val="en-GB"/>
        </w:rPr>
        <w:lastRenderedPageBreak/>
        <w:t xml:space="preserve">to achieve efficiencies and reduce data-collection redundancies, CCS primarily coordinates and compiles information collected by other agencies. Various agencies collect the data (the “measurement” of MRV) and CCS compiles it for analysis and reporting (the “reporting” of MRV).  CCS is also tasked with ensuring that relevant governmental agencies collect and provide data sufficient to fulfil Sri Lanka’s commitments under the Paris Agreement.  Capacity building initiatives under this project will </w:t>
      </w:r>
      <w:r w:rsidR="00F27DD0" w:rsidRPr="00AA2617">
        <w:rPr>
          <w:sz w:val="22"/>
          <w:lang w:val="en-GB"/>
        </w:rPr>
        <w:t xml:space="preserve">help Sri Lanka </w:t>
      </w:r>
      <w:r w:rsidRPr="00AA2617">
        <w:rPr>
          <w:sz w:val="22"/>
          <w:lang w:val="en-GB"/>
        </w:rPr>
        <w:t xml:space="preserve">establish guidelines for </w:t>
      </w:r>
      <w:r w:rsidR="00F27DD0" w:rsidRPr="00AA2617">
        <w:rPr>
          <w:sz w:val="22"/>
          <w:lang w:val="en-GB"/>
        </w:rPr>
        <w:t>(</w:t>
      </w:r>
      <w:r w:rsidRPr="00AA2617">
        <w:rPr>
          <w:sz w:val="22"/>
          <w:lang w:val="en-GB"/>
        </w:rPr>
        <w:t>meta</w:t>
      </w:r>
      <w:r w:rsidR="00F27DD0" w:rsidRPr="00AA2617">
        <w:rPr>
          <w:sz w:val="22"/>
          <w:lang w:val="en-GB"/>
        </w:rPr>
        <w:t>)</w:t>
      </w:r>
      <w:r w:rsidRPr="00AA2617">
        <w:rPr>
          <w:sz w:val="22"/>
          <w:lang w:val="en-GB"/>
        </w:rPr>
        <w:t xml:space="preserve">data parameters, collection and documentation protocols, etc. that ensure QC, establish a basis for QA, and enable </w:t>
      </w:r>
      <w:r w:rsidR="00F27DD0" w:rsidRPr="00AA2617">
        <w:rPr>
          <w:sz w:val="22"/>
          <w:lang w:val="en-GB"/>
        </w:rPr>
        <w:t xml:space="preserve">reporting and </w:t>
      </w:r>
      <w:r w:rsidRPr="00AA2617">
        <w:rPr>
          <w:sz w:val="22"/>
          <w:lang w:val="en-GB"/>
        </w:rPr>
        <w:t>verification.</w:t>
      </w:r>
    </w:p>
    <w:p w14:paraId="46F3F5C2" w14:textId="2877D1BE" w:rsidR="004F4D94" w:rsidRPr="00AA2617" w:rsidRDefault="004F4D94" w:rsidP="00AA2617">
      <w:pPr>
        <w:pStyle w:val="NumberedParagraph"/>
        <w:ind w:left="360"/>
        <w:rPr>
          <w:sz w:val="22"/>
          <w:lang w:val="en-GB"/>
        </w:rPr>
      </w:pPr>
      <w:r w:rsidRPr="00AA2617">
        <w:rPr>
          <w:sz w:val="22"/>
          <w:lang w:val="en-GB"/>
        </w:rPr>
        <w:t xml:space="preserve">The design of this project reflects </w:t>
      </w:r>
      <w:r w:rsidR="005D15F8" w:rsidRPr="00AA2617">
        <w:rPr>
          <w:sz w:val="22"/>
          <w:lang w:val="en-GB"/>
        </w:rPr>
        <w:t>the existing</w:t>
      </w:r>
      <w:r w:rsidRPr="00AA2617">
        <w:rPr>
          <w:sz w:val="22"/>
          <w:lang w:val="en-GB"/>
        </w:rPr>
        <w:t xml:space="preserve"> </w:t>
      </w:r>
      <w:r w:rsidR="005D15F8" w:rsidRPr="00AA2617">
        <w:rPr>
          <w:sz w:val="22"/>
          <w:lang w:val="en-GB"/>
        </w:rPr>
        <w:t xml:space="preserve">delineation in </w:t>
      </w:r>
      <w:r w:rsidRPr="00AA2617">
        <w:rPr>
          <w:sz w:val="22"/>
          <w:lang w:val="en-GB"/>
        </w:rPr>
        <w:t xml:space="preserve">institutional </w:t>
      </w:r>
      <w:r w:rsidR="005D15F8" w:rsidRPr="00AA2617">
        <w:rPr>
          <w:sz w:val="22"/>
          <w:lang w:val="en-GB"/>
        </w:rPr>
        <w:t>coordination</w:t>
      </w:r>
      <w:r w:rsidR="00D921A8" w:rsidRPr="00AA2617">
        <w:rPr>
          <w:sz w:val="22"/>
          <w:lang w:val="en-GB"/>
        </w:rPr>
        <w:t xml:space="preserve"> between measurement (data-</w:t>
      </w:r>
      <w:r w:rsidRPr="00AA2617">
        <w:rPr>
          <w:sz w:val="22"/>
          <w:lang w:val="en-GB"/>
        </w:rPr>
        <w:t>collection</w:t>
      </w:r>
      <w:r w:rsidR="00533F16" w:rsidRPr="00AA2617">
        <w:rPr>
          <w:sz w:val="22"/>
          <w:lang w:val="en-GB"/>
        </w:rPr>
        <w:t xml:space="preserve"> and QC</w:t>
      </w:r>
      <w:r w:rsidR="005D15F8" w:rsidRPr="00AA2617">
        <w:rPr>
          <w:sz w:val="22"/>
          <w:lang w:val="en-GB"/>
        </w:rPr>
        <w:t>),</w:t>
      </w:r>
      <w:r w:rsidRPr="00AA2617">
        <w:rPr>
          <w:sz w:val="22"/>
          <w:lang w:val="en-GB"/>
        </w:rPr>
        <w:t xml:space="preserve"> reporting (sharing, compiling, </w:t>
      </w:r>
      <w:r w:rsidR="00D21356" w:rsidRPr="00AA2617">
        <w:rPr>
          <w:sz w:val="22"/>
          <w:lang w:val="en-GB"/>
        </w:rPr>
        <w:t xml:space="preserve">analyzing, </w:t>
      </w:r>
      <w:r w:rsidRPr="00AA2617">
        <w:rPr>
          <w:sz w:val="22"/>
          <w:lang w:val="en-GB"/>
        </w:rPr>
        <w:t xml:space="preserve">and </w:t>
      </w:r>
      <w:r w:rsidR="00D21356" w:rsidRPr="00AA2617">
        <w:rPr>
          <w:sz w:val="22"/>
          <w:lang w:val="en-GB"/>
        </w:rPr>
        <w:t>reporting)</w:t>
      </w:r>
      <w:r w:rsidR="0043498E" w:rsidRPr="00AA2617">
        <w:rPr>
          <w:rStyle w:val="FootnoteReference"/>
          <w:sz w:val="22"/>
          <w:lang w:val="en-GB"/>
        </w:rPr>
        <w:footnoteReference w:id="29"/>
      </w:r>
      <w:r w:rsidR="005D15F8" w:rsidRPr="00AA2617">
        <w:rPr>
          <w:sz w:val="22"/>
          <w:lang w:val="en-GB"/>
        </w:rPr>
        <w:t>, and verification (documentation and QA)</w:t>
      </w:r>
      <w:r w:rsidR="00D21356" w:rsidRPr="00AA2617">
        <w:rPr>
          <w:sz w:val="22"/>
          <w:lang w:val="en-GB"/>
        </w:rPr>
        <w:t>.</w:t>
      </w:r>
      <w:r w:rsidR="00375940" w:rsidRPr="00AA2617">
        <w:rPr>
          <w:sz w:val="22"/>
          <w:lang w:val="en-GB"/>
        </w:rPr>
        <w:t xml:space="preserve">  Component 1 covers activities related to reporting functions, such as information-sharing and stakeholder coordination.</w:t>
      </w:r>
      <w:r w:rsidR="00A24098" w:rsidRPr="00AA2617">
        <w:rPr>
          <w:sz w:val="22"/>
          <w:lang w:val="en-GB"/>
        </w:rPr>
        <w:t xml:space="preserve"> Component</w:t>
      </w:r>
      <w:r w:rsidR="00375940" w:rsidRPr="00AA2617">
        <w:rPr>
          <w:sz w:val="22"/>
          <w:lang w:val="en-GB"/>
        </w:rPr>
        <w:t xml:space="preserve"> 2 covers activities related to measurement and verific</w:t>
      </w:r>
      <w:r w:rsidR="00A24098" w:rsidRPr="00AA2617">
        <w:rPr>
          <w:sz w:val="22"/>
          <w:lang w:val="en-GB"/>
        </w:rPr>
        <w:t xml:space="preserve">ation for climate-change </w:t>
      </w:r>
      <w:r w:rsidR="00A24098" w:rsidRPr="00AA2617">
        <w:rPr>
          <w:i/>
          <w:sz w:val="22"/>
          <w:lang w:val="en-GB"/>
        </w:rPr>
        <w:t>mitigation</w:t>
      </w:r>
      <w:r w:rsidR="00375940" w:rsidRPr="00AA2617">
        <w:rPr>
          <w:sz w:val="22"/>
          <w:lang w:val="en-GB"/>
        </w:rPr>
        <w:t>.</w:t>
      </w:r>
      <w:r w:rsidR="00030987" w:rsidRPr="00AA2617">
        <w:rPr>
          <w:sz w:val="22"/>
          <w:lang w:val="en-GB"/>
        </w:rPr>
        <w:t xml:space="preserve"> </w:t>
      </w:r>
      <w:r w:rsidR="00A24098" w:rsidRPr="00AA2617">
        <w:rPr>
          <w:sz w:val="22"/>
          <w:lang w:val="en-GB"/>
        </w:rPr>
        <w:t>Component</w:t>
      </w:r>
      <w:r w:rsidR="00375940" w:rsidRPr="00AA2617">
        <w:rPr>
          <w:sz w:val="22"/>
          <w:lang w:val="en-GB"/>
        </w:rPr>
        <w:t xml:space="preserve"> 3 covers activities related to measurement</w:t>
      </w:r>
      <w:r w:rsidR="00D921A8" w:rsidRPr="00AA2617">
        <w:rPr>
          <w:rStyle w:val="FootnoteReference"/>
          <w:sz w:val="22"/>
          <w:lang w:val="en-GB"/>
        </w:rPr>
        <w:footnoteReference w:id="30"/>
      </w:r>
      <w:r w:rsidR="00375940" w:rsidRPr="00AA2617">
        <w:rPr>
          <w:sz w:val="22"/>
          <w:lang w:val="en-GB"/>
        </w:rPr>
        <w:t xml:space="preserve"> for </w:t>
      </w:r>
      <w:r w:rsidR="00A24098" w:rsidRPr="00AA2617">
        <w:rPr>
          <w:sz w:val="22"/>
          <w:lang w:val="en-GB"/>
        </w:rPr>
        <w:t xml:space="preserve">climate-change </w:t>
      </w:r>
      <w:r w:rsidR="00375940" w:rsidRPr="00AA2617">
        <w:rPr>
          <w:i/>
          <w:sz w:val="22"/>
          <w:lang w:val="en-GB"/>
        </w:rPr>
        <w:t>adaptation</w:t>
      </w:r>
      <w:r w:rsidR="00375940" w:rsidRPr="00AA2617">
        <w:rPr>
          <w:sz w:val="22"/>
          <w:lang w:val="en-GB"/>
        </w:rPr>
        <w:t>.  Thus, Components 2 and 3 focus on what data are collected, how, and by whom, whereas Component 1 focuses on how those data are shared, analyzed, and reported.</w:t>
      </w:r>
      <w:r w:rsidR="00A24098" w:rsidRPr="00AA2617">
        <w:rPr>
          <w:sz w:val="22"/>
          <w:lang w:val="en-GB"/>
        </w:rPr>
        <w:t xml:space="preserve">  </w:t>
      </w:r>
      <w:r w:rsidR="00375940" w:rsidRPr="00AA2617">
        <w:rPr>
          <w:sz w:val="22"/>
          <w:lang w:val="en-GB"/>
        </w:rPr>
        <w:t xml:space="preserve">Component 1 </w:t>
      </w:r>
      <w:r w:rsidR="00A24098" w:rsidRPr="00AA2617">
        <w:rPr>
          <w:sz w:val="22"/>
          <w:lang w:val="en-GB"/>
        </w:rPr>
        <w:t xml:space="preserve">also facilitates operationalization of </w:t>
      </w:r>
      <w:r w:rsidR="00030987" w:rsidRPr="00AA2617">
        <w:rPr>
          <w:sz w:val="22"/>
          <w:lang w:val="en-GB"/>
        </w:rPr>
        <w:t xml:space="preserve">Sri Lanka’s </w:t>
      </w:r>
      <w:r w:rsidR="00D55A4E" w:rsidRPr="00AA2617">
        <w:rPr>
          <w:sz w:val="22"/>
          <w:lang w:val="en-GB"/>
        </w:rPr>
        <w:t xml:space="preserve">reporting </w:t>
      </w:r>
      <w:r w:rsidR="00A24098" w:rsidRPr="00AA2617">
        <w:rPr>
          <w:sz w:val="22"/>
          <w:lang w:val="en-GB"/>
        </w:rPr>
        <w:t>commitments under the Paris Agreement</w:t>
      </w:r>
      <w:r w:rsidR="00C8609E" w:rsidRPr="00AA2617">
        <w:rPr>
          <w:sz w:val="22"/>
          <w:lang w:val="en-GB"/>
        </w:rPr>
        <w:t>.</w:t>
      </w:r>
    </w:p>
    <w:p w14:paraId="1827FF87" w14:textId="4A0B98EC" w:rsidR="005F0684" w:rsidRPr="00AA2617" w:rsidRDefault="005F0684" w:rsidP="00AA2617">
      <w:pPr>
        <w:pStyle w:val="Heading3"/>
        <w:rPr>
          <w:b/>
          <w:szCs w:val="22"/>
          <w:lang w:val="en-GB"/>
        </w:rPr>
      </w:pPr>
      <w:bookmarkStart w:id="28" w:name="_Toc9249180"/>
      <w:r w:rsidRPr="00AA2617">
        <w:rPr>
          <w:b/>
          <w:szCs w:val="22"/>
          <w:lang w:val="en-GB"/>
        </w:rPr>
        <w:t>Component 1</w:t>
      </w:r>
      <w:bookmarkEnd w:id="28"/>
    </w:p>
    <w:p w14:paraId="04341C64" w14:textId="77777777" w:rsidR="00F27DD0" w:rsidRPr="00AA2617" w:rsidRDefault="00F27DD0" w:rsidP="00AA2617">
      <w:pPr>
        <w:pStyle w:val="GEFFieldtoFillout"/>
        <w:ind w:left="288"/>
        <w:jc w:val="both"/>
        <w:rPr>
          <w:i/>
          <w:lang w:val="en-GB"/>
        </w:rPr>
      </w:pPr>
      <w:r w:rsidRPr="00AA2617">
        <w:rPr>
          <w:i/>
          <w:lang w:val="en-GB"/>
        </w:rPr>
        <w:t>Component 1: Institutional arrangements to coordinate preparation of ETF reports for agriculture, forestry, land-use and other relevant sectors enhanced</w:t>
      </w:r>
    </w:p>
    <w:p w14:paraId="078F4775" w14:textId="38CB1A3C" w:rsidR="005F0684" w:rsidRPr="00AA2617" w:rsidRDefault="000350B1" w:rsidP="00AA2617">
      <w:pPr>
        <w:pStyle w:val="NumberedParagraph"/>
        <w:ind w:left="360"/>
        <w:rPr>
          <w:sz w:val="22"/>
          <w:lang w:val="en-GB"/>
        </w:rPr>
      </w:pPr>
      <w:r w:rsidRPr="00AA2617">
        <w:rPr>
          <w:sz w:val="22"/>
          <w:lang w:val="en-GB"/>
        </w:rPr>
        <w:t>Component 1</w:t>
      </w:r>
      <w:r w:rsidR="005F0684" w:rsidRPr="00AA2617">
        <w:rPr>
          <w:sz w:val="22"/>
          <w:lang w:val="en-GB"/>
        </w:rPr>
        <w:t xml:space="preserve"> address</w:t>
      </w:r>
      <w:r w:rsidRPr="00AA2617">
        <w:rPr>
          <w:sz w:val="22"/>
          <w:lang w:val="en-GB"/>
        </w:rPr>
        <w:t>es</w:t>
      </w:r>
      <w:r w:rsidR="005F0684" w:rsidRPr="00AA2617">
        <w:rPr>
          <w:sz w:val="22"/>
          <w:lang w:val="en-GB"/>
        </w:rPr>
        <w:t xml:space="preserve"> the institutional barriers to ETF-compliant AFOLU MRV</w:t>
      </w:r>
      <w:r w:rsidRPr="00AA2617">
        <w:rPr>
          <w:sz w:val="22"/>
          <w:lang w:val="en-GB"/>
        </w:rPr>
        <w:t xml:space="preserve"> by improving stakeholders’ awareness, capacities, and coordination</w:t>
      </w:r>
      <w:r w:rsidR="005F0684" w:rsidRPr="00AA2617">
        <w:rPr>
          <w:sz w:val="22"/>
          <w:lang w:val="en-GB"/>
        </w:rPr>
        <w:t xml:space="preserve">.  </w:t>
      </w:r>
      <w:r w:rsidR="00A24098" w:rsidRPr="00AA2617">
        <w:rPr>
          <w:sz w:val="22"/>
          <w:lang w:val="en-GB"/>
        </w:rPr>
        <w:t xml:space="preserve">As noted above, Component 1 focuses on </w:t>
      </w:r>
      <w:r w:rsidR="00D55A4E" w:rsidRPr="00AA2617">
        <w:rPr>
          <w:sz w:val="22"/>
          <w:lang w:val="en-GB"/>
        </w:rPr>
        <w:t xml:space="preserve">defining </w:t>
      </w:r>
      <w:r w:rsidR="000A50D5" w:rsidRPr="00AA2617">
        <w:rPr>
          <w:sz w:val="22"/>
          <w:lang w:val="en-GB"/>
        </w:rPr>
        <w:t xml:space="preserve">Sri Lanka’s </w:t>
      </w:r>
      <w:r w:rsidR="00D55A4E" w:rsidRPr="00AA2617">
        <w:rPr>
          <w:sz w:val="22"/>
          <w:lang w:val="en-GB"/>
        </w:rPr>
        <w:t xml:space="preserve">reporting commitments and facilitating stakeholder coordination to </w:t>
      </w:r>
      <w:r w:rsidR="002A3DC8" w:rsidRPr="00AA2617">
        <w:rPr>
          <w:sz w:val="22"/>
          <w:lang w:val="en-GB"/>
        </w:rPr>
        <w:t>fulfil</w:t>
      </w:r>
      <w:r w:rsidR="00D55A4E" w:rsidRPr="00AA2617">
        <w:rPr>
          <w:sz w:val="22"/>
          <w:lang w:val="en-GB"/>
        </w:rPr>
        <w:t xml:space="preserve"> those commitments.</w:t>
      </w:r>
    </w:p>
    <w:p w14:paraId="50B4318D" w14:textId="77777777" w:rsidR="00953AFB" w:rsidRPr="00AA2617" w:rsidRDefault="00953AFB" w:rsidP="00AA2617">
      <w:pPr>
        <w:pStyle w:val="GEFFieldtoFillout"/>
        <w:ind w:left="288"/>
        <w:jc w:val="both"/>
        <w:rPr>
          <w:i/>
          <w:lang w:val="en-GB"/>
        </w:rPr>
      </w:pPr>
      <w:r w:rsidRPr="00AA2617">
        <w:rPr>
          <w:i/>
          <w:lang w:val="en-GB"/>
        </w:rPr>
        <w:t>Outcome 1.1: Institutional arrangements coordinating information and data collection from the agriculture and land use sectors into ETF processes and reports enhanced.</w:t>
      </w:r>
    </w:p>
    <w:p w14:paraId="2BDDC7B0" w14:textId="77777777" w:rsidR="00953AFB" w:rsidRPr="00AA2617" w:rsidRDefault="00953AFB" w:rsidP="00AA2617">
      <w:pPr>
        <w:pStyle w:val="GEFFieldtoFillout"/>
        <w:ind w:left="288"/>
        <w:jc w:val="both"/>
        <w:rPr>
          <w:i/>
          <w:lang w:val="en-GB"/>
        </w:rPr>
      </w:pPr>
      <w:r w:rsidRPr="00AA2617">
        <w:rPr>
          <w:i/>
          <w:lang w:val="en-GB"/>
        </w:rPr>
        <w:t>Output: 1.1.1 Coordination mechanism established/strengthened integrating relevant authorities from the agriculture and land use sector into national UNFCCC reporting processes.</w:t>
      </w:r>
    </w:p>
    <w:p w14:paraId="598558B7" w14:textId="5BF91FDF" w:rsidR="005D1CD5" w:rsidRPr="00AA2617" w:rsidRDefault="005D1CD5" w:rsidP="00AA2617">
      <w:pPr>
        <w:pStyle w:val="ListParagraph"/>
        <w:spacing w:before="240"/>
        <w:outlineLvl w:val="3"/>
        <w:rPr>
          <w:i/>
          <w:sz w:val="22"/>
          <w:lang w:val="en-GB"/>
        </w:rPr>
      </w:pPr>
      <w:r w:rsidRPr="00AA2617">
        <w:rPr>
          <w:i/>
          <w:sz w:val="22"/>
          <w:lang w:val="en-GB"/>
        </w:rPr>
        <w:t>Activity 1.1.1.1.  Conduct a stakeholder/coordination mapping for AFOLU sectors</w:t>
      </w:r>
    </w:p>
    <w:p w14:paraId="6572D9F6" w14:textId="0101940C" w:rsidR="00BC4916" w:rsidRPr="00AA2617" w:rsidRDefault="00BC4916" w:rsidP="00AA2617">
      <w:pPr>
        <w:pStyle w:val="NumberedParagraph"/>
        <w:ind w:left="360"/>
        <w:rPr>
          <w:sz w:val="22"/>
          <w:lang w:val="en-GB"/>
        </w:rPr>
      </w:pPr>
      <w:r w:rsidRPr="00AA2617">
        <w:rPr>
          <w:rFonts w:cstheme="minorHAnsi"/>
          <w:sz w:val="22"/>
          <w:lang w:val="en-GB"/>
        </w:rPr>
        <w:t xml:space="preserve">While a listing of the agencies linked by function and by information provision related to CC considerations in AFOLU sectors already exists, a detailed mapping with respect to the nature of information and frequency of generation, type of data collection methodology and the details of verification (if any) are not available. This mapping exercise becomes complex due to the fact that nearly 30 different government agencies alone are directly involved. The stakeholder mapping will have to accommodate mitigation and adaptation separately while noting cross-cutting relations. The purpose of this activity to create a detailed understanding and readiness among the different parties involved, </w:t>
      </w:r>
      <w:r w:rsidR="006D76D2" w:rsidRPr="00AA2617">
        <w:rPr>
          <w:rFonts w:cstheme="minorHAnsi"/>
          <w:sz w:val="22"/>
          <w:lang w:val="en-GB"/>
        </w:rPr>
        <w:t xml:space="preserve">without leaving any significant contributors or stakeholders </w:t>
      </w:r>
      <w:r w:rsidRPr="00AA2617">
        <w:rPr>
          <w:rFonts w:cstheme="minorHAnsi"/>
          <w:sz w:val="22"/>
          <w:lang w:val="en-GB"/>
        </w:rPr>
        <w:t>while making ETF compliant MRV framework an institutional priority for each agency.</w:t>
      </w:r>
    </w:p>
    <w:p w14:paraId="61827F50" w14:textId="1BDAC433" w:rsidR="00D7073C" w:rsidRPr="00AA2617" w:rsidRDefault="00D7073C" w:rsidP="00AA2617">
      <w:pPr>
        <w:spacing w:before="240"/>
        <w:ind w:left="567"/>
        <w:outlineLvl w:val="3"/>
        <w:rPr>
          <w:rFonts w:cs="Times New Roman"/>
          <w:i/>
          <w:sz w:val="22"/>
          <w:lang w:val="en-GB"/>
        </w:rPr>
      </w:pPr>
      <w:r w:rsidRPr="00AA2617">
        <w:rPr>
          <w:rFonts w:cs="Times New Roman"/>
          <w:i/>
          <w:sz w:val="22"/>
          <w:lang w:val="en-GB"/>
        </w:rPr>
        <w:t>"Activity 1.1.1.2.  Create an AFOLU MRV technical working group (TWG)s and link TWGs to the advisory responsibilities for NCs.</w:t>
      </w:r>
    </w:p>
    <w:p w14:paraId="665AFC72" w14:textId="77777777" w:rsidR="00D7073C" w:rsidRPr="00AA2617" w:rsidRDefault="00D7073C" w:rsidP="00AA2617">
      <w:pPr>
        <w:pStyle w:val="NumberedParagraph"/>
        <w:ind w:left="360"/>
        <w:rPr>
          <w:sz w:val="22"/>
          <w:lang w:val="en-GB"/>
        </w:rPr>
      </w:pPr>
      <w:r w:rsidRPr="00AA2617">
        <w:rPr>
          <w:rFonts w:cstheme="minorHAnsi"/>
          <w:sz w:val="22"/>
          <w:lang w:val="en-GB"/>
        </w:rPr>
        <w:t xml:space="preserve">Various extant technical working groups (TWGs) exist on a project-by-project basis, constituting and dissolving with each project, often with limited overlap.  This project will attempt to involve a wide range of stakeholders who are relevant to AFOLU sector including both policy and technical </w:t>
      </w:r>
      <w:r w:rsidRPr="00AA2617">
        <w:rPr>
          <w:rFonts w:cstheme="minorHAnsi"/>
          <w:sz w:val="22"/>
          <w:lang w:val="en-GB"/>
        </w:rPr>
        <w:lastRenderedPageBreak/>
        <w:t>expertise.  The intention is to constitute a group that persists over a wide span of time, which will greatly improve the quality of engagement and the consistency of approach.</w:t>
      </w:r>
    </w:p>
    <w:p w14:paraId="4B93A031" w14:textId="77777777" w:rsidR="00D7073C" w:rsidRPr="00AA2617" w:rsidRDefault="00D7073C" w:rsidP="00AA2617">
      <w:pPr>
        <w:pStyle w:val="NumberedParagraph"/>
        <w:ind w:left="360"/>
        <w:rPr>
          <w:sz w:val="22"/>
          <w:lang w:val="en-GB"/>
        </w:rPr>
      </w:pPr>
      <w:r w:rsidRPr="00AA2617">
        <w:rPr>
          <w:rFonts w:cstheme="minorHAnsi"/>
          <w:sz w:val="22"/>
          <w:lang w:val="en-GB"/>
        </w:rPr>
        <w:t>The TWG, including any potential sub-committees, will provide relevant technical expertise for the design and conduct of AFOLU MRV approaches during and after this project, including the the roles under activity 1.1.1.2 above.  Input from the working group will not only benefit the technical soundness of MRV approaches and take advantage of existing national capacities, but will also achieve broader and deeper inter-agency engagement in processes pertaining to MEAs and UNFCCC.  CCS will coordinate the membership, activities, and inputs of the TWG.</w:t>
      </w:r>
    </w:p>
    <w:p w14:paraId="79755E86" w14:textId="77777777" w:rsidR="00D7073C" w:rsidRPr="00AA2617" w:rsidRDefault="00D7073C" w:rsidP="00AA2617">
      <w:pPr>
        <w:pStyle w:val="NumberedParagraph"/>
        <w:ind w:left="360"/>
        <w:rPr>
          <w:sz w:val="22"/>
          <w:lang w:val="en-GB"/>
        </w:rPr>
      </w:pPr>
      <w:r w:rsidRPr="00AA2617">
        <w:rPr>
          <w:rFonts w:cstheme="minorHAnsi"/>
          <w:sz w:val="22"/>
          <w:lang w:val="en-GB"/>
        </w:rPr>
        <w:t>The composition and focus of the TWG may evolve, but it is currently anticipated that the project will ensure functional working groups or sub-committees for a. crops, b. livestock, c. fisheries,  d. forestry,  e. land-use and land-use change (including issues of land management, tenure, and administration), f. climate-change adaptation, and g. data and information management.  The TWG will comprise members of relevant governmental agencies, academic/ research institutions, private sector, and NGOs/ CSOs representing small-holders or vulnerable groups (at least one representative per sub-committee).  The TWG will directly advise on numerous activities and outputs in this project, such as by recommending cost-effective proxy measures.</w:t>
      </w:r>
    </w:p>
    <w:p w14:paraId="26B83C02" w14:textId="2FE78078" w:rsidR="00D7073C" w:rsidRPr="00AA2617" w:rsidRDefault="00D7073C" w:rsidP="00AA2617">
      <w:pPr>
        <w:spacing w:before="240"/>
        <w:ind w:left="567"/>
        <w:outlineLvl w:val="3"/>
        <w:rPr>
          <w:rFonts w:cs="Times New Roman"/>
          <w:i/>
          <w:sz w:val="22"/>
          <w:lang w:val="en-GB"/>
        </w:rPr>
      </w:pPr>
      <w:r w:rsidRPr="00AA2617">
        <w:rPr>
          <w:rFonts w:cs="Times New Roman"/>
          <w:i/>
          <w:sz w:val="22"/>
          <w:lang w:val="en-GB"/>
        </w:rPr>
        <w:t>Activity 1.1.1.3.  Build a framework for CCS to obtain TWG support for ETF transition and management.</w:t>
      </w:r>
    </w:p>
    <w:p w14:paraId="04E2DFFD" w14:textId="460718B3" w:rsidR="00D7073C" w:rsidRPr="00AA2617" w:rsidRDefault="00D7073C" w:rsidP="00AA2617">
      <w:pPr>
        <w:pStyle w:val="NumberedParagraph"/>
        <w:ind w:left="360"/>
        <w:rPr>
          <w:sz w:val="22"/>
          <w:lang w:val="en-GB"/>
        </w:rPr>
      </w:pPr>
      <w:r w:rsidRPr="00AA2617">
        <w:rPr>
          <w:rFonts w:cstheme="minorHAnsi"/>
          <w:sz w:val="22"/>
          <w:lang w:val="en-GB"/>
        </w:rPr>
        <w:t xml:space="preserve">This activity will focus on an appropriate institutional scheme that will enable the continuity and active participation of TWG membership. Also, the terms of reference of the TWG to the CCS and vice versa need to be identified for smooth functioning. While the TWG will primarily work on the MRV framework, it will advise on adopting the ETF needs both to the routines of CCS and the procedures of the line agencies. In this respect, the terms of engagement of the TWG with authorities of stakeholder agencies also need to be clarified. </w:t>
      </w:r>
    </w:p>
    <w:p w14:paraId="34040A91" w14:textId="03E5A9E5" w:rsidR="00D7073C" w:rsidRPr="00AA2617" w:rsidRDefault="00D7073C" w:rsidP="00AA2617">
      <w:pPr>
        <w:spacing w:before="240"/>
        <w:ind w:left="567"/>
        <w:outlineLvl w:val="3"/>
        <w:rPr>
          <w:rFonts w:cs="Times New Roman"/>
          <w:i/>
          <w:sz w:val="22"/>
          <w:lang w:val="en-GB"/>
        </w:rPr>
      </w:pPr>
      <w:r w:rsidRPr="00AA2617">
        <w:rPr>
          <w:rFonts w:cs="Times New Roman"/>
          <w:i/>
          <w:sz w:val="22"/>
          <w:lang w:val="en-GB"/>
        </w:rPr>
        <w:t>Activity 1.1.1.4.  Create multi-party</w:t>
      </w:r>
      <w:r w:rsidR="00BD7295" w:rsidRPr="00AA2617">
        <w:rPr>
          <w:rFonts w:cs="Times New Roman"/>
          <w:i/>
          <w:sz w:val="22"/>
          <w:lang w:val="en-GB"/>
        </w:rPr>
        <w:t xml:space="preserve"> Internal arrangements (agreements/circulars/memo)</w:t>
      </w:r>
      <w:r w:rsidRPr="00AA2617">
        <w:rPr>
          <w:rFonts w:cs="Times New Roman"/>
          <w:i/>
          <w:sz w:val="22"/>
          <w:lang w:val="en-GB"/>
        </w:rPr>
        <w:t xml:space="preserve"> for relevant data-sharing.</w:t>
      </w:r>
    </w:p>
    <w:p w14:paraId="1A163073" w14:textId="77777777" w:rsidR="00D7073C" w:rsidRPr="00AA2617" w:rsidRDefault="00D7073C" w:rsidP="00AA2617">
      <w:pPr>
        <w:pStyle w:val="NumberedParagraph"/>
        <w:ind w:left="360"/>
        <w:rPr>
          <w:sz w:val="22"/>
          <w:lang w:val="en-GB"/>
        </w:rPr>
      </w:pPr>
      <w:r w:rsidRPr="00AA2617">
        <w:rPr>
          <w:rFonts w:cstheme="minorHAnsi"/>
          <w:sz w:val="22"/>
          <w:lang w:val="en-GB"/>
        </w:rPr>
        <w:t xml:space="preserve">CCS has to play a major part in playing the convenor role among many AFOLU stakeholders in order to achieve the necessary coordination/ management necessities of ETF-compliant MRV.  In addition to liaising with local authorities CCS has to possess the capacity to successfully engage with international agencies, donors, scientific and academic bodies in building links. This activity attempts to first build the necessary capacities relative to (i) establishing systematic data-sharing arrangements between stakeholders, (ii) developing MRV and decision-support capacities related to climate adaptation, and (iii) establishing cost-efficient proxy measures.  </w:t>
      </w:r>
    </w:p>
    <w:p w14:paraId="604D6219" w14:textId="1CB36A45" w:rsidR="00D7073C" w:rsidRPr="00AA2617" w:rsidRDefault="00D7073C" w:rsidP="00AA2617">
      <w:pPr>
        <w:pStyle w:val="NumberedParagraph"/>
        <w:ind w:left="360"/>
        <w:rPr>
          <w:sz w:val="22"/>
          <w:lang w:val="en-GB"/>
        </w:rPr>
      </w:pPr>
      <w:r w:rsidRPr="00AA2617">
        <w:rPr>
          <w:sz w:val="22"/>
          <w:lang w:val="en-GB"/>
        </w:rPr>
        <w:t xml:space="preserve">Currently, information-sharing and reporting is conducted pursuant to ad hoc requests for information and information gathering visits to various agencies. With respect to data sharing </w:t>
      </w:r>
      <w:r w:rsidRPr="00AA2617">
        <w:rPr>
          <w:rFonts w:cstheme="minorHAnsi"/>
          <w:sz w:val="22"/>
          <w:lang w:val="en-GB"/>
        </w:rPr>
        <w:t>on</w:t>
      </w:r>
      <w:r w:rsidRPr="00AA2617">
        <w:rPr>
          <w:sz w:val="22"/>
          <w:lang w:val="en-GB"/>
        </w:rPr>
        <w:t xml:space="preserve"> climate related activities, there are no </w:t>
      </w:r>
      <w:r w:rsidR="00BD7295" w:rsidRPr="00AA2617">
        <w:rPr>
          <w:sz w:val="22"/>
          <w:lang w:val="en-GB"/>
        </w:rPr>
        <w:t xml:space="preserve">existing internal arrangements exist </w:t>
      </w:r>
      <w:r w:rsidRPr="00AA2617">
        <w:rPr>
          <w:sz w:val="22"/>
          <w:lang w:val="en-GB"/>
        </w:rPr>
        <w:t>between agencies.  The only substantive understanding on data sharing is between the DFC and the national focal point to UNFCCC. This is mainly due to REDD+ activities which involved FRL estimations. In the other AFOLU sectors, reporting relationships across agencies are either weak or non-existent.</w:t>
      </w:r>
    </w:p>
    <w:p w14:paraId="13B94D60" w14:textId="257EE95C" w:rsidR="00D7073C" w:rsidRPr="00AA2617" w:rsidRDefault="00D7073C" w:rsidP="00AA2617">
      <w:pPr>
        <w:spacing w:before="240"/>
        <w:ind w:left="567"/>
        <w:outlineLvl w:val="3"/>
        <w:rPr>
          <w:rFonts w:cs="Times New Roman"/>
          <w:i/>
          <w:sz w:val="22"/>
          <w:lang w:val="en-GB"/>
        </w:rPr>
      </w:pPr>
      <w:r w:rsidRPr="00AA2617">
        <w:rPr>
          <w:rFonts w:cs="Times New Roman"/>
          <w:i/>
          <w:sz w:val="22"/>
          <w:lang w:val="en-GB"/>
        </w:rPr>
        <w:t>Activity 1.1.1.5.  Create an online portal for ETF-related information on CCS with mobile uploading capability.</w:t>
      </w:r>
    </w:p>
    <w:p w14:paraId="46DA0BC1" w14:textId="77777777" w:rsidR="00D7073C" w:rsidRPr="00AA2617" w:rsidRDefault="00D7073C" w:rsidP="00AA2617">
      <w:pPr>
        <w:pStyle w:val="NumberedParagraph"/>
        <w:ind w:left="360"/>
        <w:rPr>
          <w:sz w:val="22"/>
          <w:lang w:val="en-GB"/>
        </w:rPr>
      </w:pPr>
      <w:r w:rsidRPr="00AA2617">
        <w:rPr>
          <w:sz w:val="22"/>
          <w:lang w:val="en-GB"/>
        </w:rPr>
        <w:t xml:space="preserve">Considering the distance and time constraints related to communicating effectively between central agencies and local offices, the need for an online portal with mobile uploading options was highlighted at the stakeholder workshop.  Such a portal, if configured correctly, will enable conversion of the measurements that the line agencies collect into the format that CCS requires for reporting. On the other hand, a well-designed mobile application can be part of the training of field staff of the relevant agencies. Once measures are recorded, the application can be programmed to automatically convert to the format required by CCS. </w:t>
      </w:r>
    </w:p>
    <w:p w14:paraId="65021020" w14:textId="2A0095C3" w:rsidR="00986060" w:rsidRPr="00AA2617" w:rsidRDefault="00986060" w:rsidP="00AA2617">
      <w:pPr>
        <w:spacing w:before="240"/>
        <w:outlineLvl w:val="3"/>
        <w:rPr>
          <w:rFonts w:cs="Times New Roman"/>
          <w:i/>
          <w:sz w:val="22"/>
          <w:lang w:val="en-GB"/>
        </w:rPr>
      </w:pPr>
      <w:r w:rsidRPr="00AA2617">
        <w:rPr>
          <w:rFonts w:cs="Times New Roman"/>
          <w:i/>
          <w:sz w:val="22"/>
          <w:lang w:val="en-GB"/>
        </w:rPr>
        <w:lastRenderedPageBreak/>
        <w:t>Output: 1.1.2. Assessment prepared to assess institutional, data collection, analysis and reporting capacity gaps and needs for meeting ETF requirements with specific focus on the  NDC actions for the agriculture, forestry and land-use sectors.</w:t>
      </w:r>
    </w:p>
    <w:p w14:paraId="1B319AB5" w14:textId="20DB3415" w:rsidR="00986060" w:rsidRPr="00AA2617" w:rsidRDefault="00986060" w:rsidP="00AA2617">
      <w:pPr>
        <w:pStyle w:val="NumberedParagraph"/>
        <w:ind w:left="360"/>
        <w:rPr>
          <w:sz w:val="22"/>
          <w:lang w:val="en-GB"/>
        </w:rPr>
      </w:pPr>
      <w:r w:rsidRPr="00AA2617">
        <w:rPr>
          <w:rFonts w:cstheme="minorHAnsi"/>
          <w:sz w:val="22"/>
          <w:lang w:val="en-GB"/>
        </w:rPr>
        <w:t>This output will facilitate the broader, deeper, and more systematic engagement of governmental stakeholders across multiple agencies and levels.  This strengthened engagement will not only benefit the MRV processes, but will also help to improve awareness of various agencies’ roles in fulfilling international commitments under MEAs, particularly the Paris Agreement.  When possible, the project will strengthen or consolidate existing coordination mechanisms rather than duplicating them.</w:t>
      </w:r>
    </w:p>
    <w:p w14:paraId="39854F97" w14:textId="5F7DDC95" w:rsidR="00D7073C" w:rsidRPr="00AA2617" w:rsidRDefault="00D7073C" w:rsidP="00AA2617">
      <w:pPr>
        <w:pStyle w:val="ListParagraph"/>
        <w:spacing w:before="240"/>
        <w:outlineLvl w:val="3"/>
        <w:rPr>
          <w:i/>
          <w:sz w:val="22"/>
          <w:lang w:val="en-GB"/>
        </w:rPr>
      </w:pPr>
      <w:r w:rsidRPr="00AA2617">
        <w:rPr>
          <w:i/>
          <w:sz w:val="22"/>
          <w:lang w:val="en-GB"/>
        </w:rPr>
        <w:t>Activity 1.1.1.1.  Develop a AFOLU MRV assessment framework.</w:t>
      </w:r>
    </w:p>
    <w:p w14:paraId="4A4B2CB8" w14:textId="77777777" w:rsidR="00D7073C" w:rsidRPr="00AA2617" w:rsidRDefault="00D7073C" w:rsidP="00AA2617">
      <w:pPr>
        <w:pStyle w:val="NumberedParagraph"/>
        <w:ind w:left="360"/>
        <w:rPr>
          <w:sz w:val="22"/>
          <w:lang w:val="en-GB"/>
        </w:rPr>
      </w:pPr>
      <w:r w:rsidRPr="00AA2617">
        <w:rPr>
          <w:rFonts w:cstheme="minorHAnsi"/>
          <w:sz w:val="22"/>
          <w:lang w:val="en-GB"/>
        </w:rPr>
        <w:t>While it is nearly impossible to capture all activities of AFOLU sector in a single analytical /logical framework, it is important to identify the key pathways of emissions and related vulnerabilities. An AFOLU MRV framework will be a laborious exercise compared to similar frameworks in energy or transport sectors. The MRV framework development will have to be conducted through multidisciplinary expertise in the sector using a participatory methodology. AFOLU is an area where national circumstances will emerge very significantly. Measurement routines have to integrate with the existing information collection process but frequencies will have to synchronised. The cross institutional reporting role of the framework will be borne by CCS. Verification steps will need the participation of stakeholders and independent external agencies.</w:t>
      </w:r>
    </w:p>
    <w:p w14:paraId="63D6B562" w14:textId="737E1242" w:rsidR="00986060" w:rsidRPr="00AA2617" w:rsidRDefault="00986060" w:rsidP="00AA2617">
      <w:pPr>
        <w:spacing w:before="240"/>
        <w:outlineLvl w:val="3"/>
        <w:rPr>
          <w:rFonts w:cs="Times New Roman"/>
          <w:i/>
          <w:sz w:val="22"/>
          <w:lang w:val="en-GB"/>
        </w:rPr>
      </w:pPr>
      <w:r w:rsidRPr="00AA2617">
        <w:rPr>
          <w:rFonts w:cs="Times New Roman"/>
          <w:i/>
          <w:sz w:val="22"/>
          <w:lang w:val="en-GB"/>
        </w:rPr>
        <w:t xml:space="preserve">Output: 1.1.3. National ETF monitoring and reporting roadmap for the </w:t>
      </w:r>
      <w:r w:rsidR="00BD7295" w:rsidRPr="00AA2617">
        <w:rPr>
          <w:rFonts w:cs="Times New Roman"/>
          <w:i/>
          <w:sz w:val="22"/>
          <w:lang w:val="en-GB"/>
        </w:rPr>
        <w:t>AFOLU</w:t>
      </w:r>
      <w:r w:rsidRPr="00AA2617">
        <w:rPr>
          <w:rFonts w:cs="Times New Roman"/>
          <w:i/>
          <w:sz w:val="22"/>
          <w:lang w:val="en-GB"/>
        </w:rPr>
        <w:t xml:space="preserve"> sectors prepared and adopted</w:t>
      </w:r>
    </w:p>
    <w:p w14:paraId="3EF96A23" w14:textId="77777777" w:rsidR="00986060" w:rsidRPr="00AA2617" w:rsidRDefault="00986060" w:rsidP="00AA2617">
      <w:pPr>
        <w:rPr>
          <w:rFonts w:eastAsia="Times New Roman" w:cs="Times New Roman"/>
          <w:i/>
          <w:color w:val="000000"/>
          <w:sz w:val="22"/>
        </w:rPr>
      </w:pPr>
      <w:r w:rsidRPr="00AA2617">
        <w:rPr>
          <w:rFonts w:cs="Times New Roman"/>
          <w:i/>
          <w:sz w:val="22"/>
          <w:lang w:val="en-GB"/>
        </w:rPr>
        <w:tab/>
      </w:r>
      <w:r w:rsidRPr="00AA2617">
        <w:rPr>
          <w:rFonts w:eastAsia="Times New Roman" w:cs="Times New Roman"/>
          <w:i/>
          <w:color w:val="000000"/>
          <w:sz w:val="22"/>
        </w:rPr>
        <w:t>Activity 1.1.3.1.  Produce an ETF-compliant MRV protocol for the agricultural and land-use sectors.</w:t>
      </w:r>
    </w:p>
    <w:p w14:paraId="01698C06" w14:textId="61BEACEE" w:rsidR="00986060" w:rsidRPr="00AA2617" w:rsidRDefault="00986060" w:rsidP="00AA2617">
      <w:pPr>
        <w:pStyle w:val="NumberedParagraph"/>
        <w:spacing w:before="240"/>
        <w:ind w:left="360"/>
        <w:outlineLvl w:val="3"/>
        <w:rPr>
          <w:sz w:val="22"/>
          <w:lang w:val="en-GB"/>
        </w:rPr>
      </w:pPr>
      <w:r w:rsidRPr="00AA2617">
        <w:rPr>
          <w:sz w:val="22"/>
          <w:lang w:val="en-GB"/>
        </w:rPr>
        <w:t>A national AFOLU sector ETF compliant MRV protocol will enable fulfilling the following objectives:</w:t>
      </w:r>
      <w:r w:rsidR="00727EF9" w:rsidRPr="00AA2617">
        <w:rPr>
          <w:sz w:val="22"/>
          <w:lang w:val="en-GB"/>
        </w:rPr>
        <w:t xml:space="preserve"> </w:t>
      </w:r>
      <w:r w:rsidRPr="00AA2617">
        <w:rPr>
          <w:sz w:val="22"/>
          <w:lang w:val="en-GB"/>
        </w:rPr>
        <w:t>(a) Improve monitoring and reporting of activity data and/or emission data;</w:t>
      </w:r>
      <w:r w:rsidR="00727EF9" w:rsidRPr="00AA2617">
        <w:rPr>
          <w:sz w:val="22"/>
          <w:lang w:val="en-GB"/>
        </w:rPr>
        <w:t xml:space="preserve"> </w:t>
      </w:r>
      <w:r w:rsidRPr="00AA2617">
        <w:rPr>
          <w:sz w:val="22"/>
          <w:lang w:val="en-GB"/>
        </w:rPr>
        <w:t>(b) Improve data validation and verification processes;</w:t>
      </w:r>
      <w:r w:rsidR="00727EF9" w:rsidRPr="00AA2617">
        <w:rPr>
          <w:sz w:val="22"/>
          <w:lang w:val="en-GB"/>
        </w:rPr>
        <w:t xml:space="preserve"> </w:t>
      </w:r>
      <w:r w:rsidRPr="00AA2617">
        <w:rPr>
          <w:sz w:val="22"/>
          <w:lang w:val="en-GB"/>
        </w:rPr>
        <w:t>(c) Build awareness and confidence in the estimates for AFOLU sector;</w:t>
      </w:r>
      <w:r w:rsidR="00727EF9" w:rsidRPr="00AA2617">
        <w:rPr>
          <w:sz w:val="22"/>
          <w:lang w:val="en-GB"/>
        </w:rPr>
        <w:t xml:space="preserve"> </w:t>
      </w:r>
      <w:r w:rsidRPr="00AA2617">
        <w:rPr>
          <w:sz w:val="22"/>
          <w:lang w:val="en-GB"/>
        </w:rPr>
        <w:t>(d) Track and document Sri Lanka’s contributions to climate change mitigation and adaptation in AFOLU sectors;</w:t>
      </w:r>
      <w:r w:rsidR="00727EF9" w:rsidRPr="00AA2617">
        <w:rPr>
          <w:sz w:val="22"/>
          <w:lang w:val="en-GB"/>
        </w:rPr>
        <w:t xml:space="preserve"> </w:t>
      </w:r>
      <w:r w:rsidRPr="00AA2617">
        <w:rPr>
          <w:sz w:val="22"/>
          <w:lang w:val="en-GB"/>
        </w:rPr>
        <w:t xml:space="preserve">(e) Facilitate data sharing among agencies; and (f) Build institutional capacity within CCS with </w:t>
      </w:r>
      <w:r w:rsidR="00727EF9" w:rsidRPr="00AA2617">
        <w:rPr>
          <w:sz w:val="22"/>
          <w:lang w:val="en-GB"/>
        </w:rPr>
        <w:t>r</w:t>
      </w:r>
      <w:r w:rsidRPr="00AA2617">
        <w:rPr>
          <w:sz w:val="22"/>
          <w:lang w:val="en-GB"/>
        </w:rPr>
        <w:t>e</w:t>
      </w:r>
      <w:r w:rsidR="00727EF9" w:rsidRPr="00AA2617">
        <w:rPr>
          <w:sz w:val="22"/>
          <w:lang w:val="en-GB"/>
        </w:rPr>
        <w:t>s</w:t>
      </w:r>
      <w:r w:rsidRPr="00AA2617">
        <w:rPr>
          <w:sz w:val="22"/>
          <w:lang w:val="en-GB"/>
        </w:rPr>
        <w:t>pect to AFOLU sectors.</w:t>
      </w:r>
    </w:p>
    <w:p w14:paraId="492D6459" w14:textId="468F6590" w:rsidR="00986060" w:rsidRPr="00AA2617" w:rsidRDefault="00986060" w:rsidP="00AA2617">
      <w:pPr>
        <w:spacing w:before="240"/>
        <w:outlineLvl w:val="3"/>
        <w:rPr>
          <w:rFonts w:cs="Times New Roman"/>
          <w:i/>
          <w:sz w:val="22"/>
          <w:lang w:val="en-GB"/>
        </w:rPr>
      </w:pPr>
      <w:r w:rsidRPr="00AA2617">
        <w:rPr>
          <w:rFonts w:cs="Times New Roman"/>
          <w:i/>
          <w:sz w:val="22"/>
          <w:lang w:val="en-GB"/>
        </w:rPr>
        <w:t xml:space="preserve">Output: 1.1.4. Capacity developed to clarify measurement and reporting of key NDC information (baselines, Business-As-Usual targets) and support provided for ETF reporting in </w:t>
      </w:r>
      <w:r w:rsidR="00BD7295" w:rsidRPr="00AA2617">
        <w:rPr>
          <w:rFonts w:cs="Times New Roman"/>
          <w:i/>
          <w:sz w:val="22"/>
          <w:lang w:val="en-GB"/>
        </w:rPr>
        <w:t>AFOLU</w:t>
      </w:r>
      <w:r w:rsidRPr="00AA2617">
        <w:rPr>
          <w:rFonts w:cs="Times New Roman"/>
          <w:i/>
          <w:sz w:val="22"/>
          <w:lang w:val="en-GB"/>
        </w:rPr>
        <w:t>sectors.</w:t>
      </w:r>
    </w:p>
    <w:p w14:paraId="69317480" w14:textId="7F7C0745" w:rsidR="00986060" w:rsidRPr="00AA2617" w:rsidRDefault="00986060" w:rsidP="00AA2617">
      <w:pPr>
        <w:spacing w:before="240"/>
        <w:ind w:left="360"/>
        <w:outlineLvl w:val="3"/>
        <w:rPr>
          <w:rFonts w:cs="Times New Roman"/>
          <w:i/>
          <w:sz w:val="22"/>
          <w:lang w:val="en-GB"/>
        </w:rPr>
      </w:pPr>
      <w:r w:rsidRPr="00AA2617">
        <w:rPr>
          <w:rFonts w:cs="Times New Roman"/>
          <w:i/>
          <w:sz w:val="22"/>
          <w:lang w:val="en-GB"/>
        </w:rPr>
        <w:t>"Activity 1.1.4.1.  Provide training and necessary capacity for CCS to liaise with AFOLU stakeholders: to train stakeholders to generate data necessary for UNFCCC reporting.</w:t>
      </w:r>
    </w:p>
    <w:p w14:paraId="5EBDC7C2" w14:textId="77777777" w:rsidR="00986060" w:rsidRPr="00AA2617" w:rsidRDefault="00986060" w:rsidP="00AA2617">
      <w:pPr>
        <w:pStyle w:val="NumberedParagraph"/>
        <w:spacing w:before="240"/>
        <w:ind w:left="360"/>
        <w:outlineLvl w:val="3"/>
        <w:rPr>
          <w:sz w:val="22"/>
          <w:lang w:val="en-GB"/>
        </w:rPr>
      </w:pPr>
      <w:r w:rsidRPr="00AA2617">
        <w:rPr>
          <w:sz w:val="22"/>
          <w:lang w:val="en-GB"/>
        </w:rPr>
        <w:t>Sri Lanka formulated a “Readiness Plan for NDC implementation” in 2016 to identify policy and institutional gaps, as well as the technical capacity and resources required to implement policies and actions under its NDC. The plan is intended to inform the work plan for relevant ministries during the “Readiness Phase” between 2017 and 2019. This period is earmarked for training and capacity building. This activity will carry out a chain of such capacity building efforts in all AFOLU agencies. The agencies will be sensitised to the data requirement for UNFCCC reporting and presented with appropriate terms of engagement with CCS which includes institutional support and training opportunities for the stakeholder agencies.</w:t>
      </w:r>
    </w:p>
    <w:p w14:paraId="2AD7A9A2" w14:textId="77777777" w:rsidR="00986060" w:rsidRPr="00AA2617" w:rsidRDefault="00986060" w:rsidP="00AA2617">
      <w:pPr>
        <w:spacing w:before="240"/>
        <w:ind w:left="360"/>
        <w:outlineLvl w:val="3"/>
        <w:rPr>
          <w:rFonts w:cs="Times New Roman"/>
          <w:i/>
          <w:sz w:val="22"/>
          <w:lang w:val="en-GB"/>
        </w:rPr>
      </w:pPr>
      <w:r w:rsidRPr="00AA2617">
        <w:rPr>
          <w:rFonts w:cs="Times New Roman"/>
          <w:i/>
          <w:sz w:val="22"/>
          <w:lang w:val="en-GB"/>
        </w:rPr>
        <w:t>Activity 1.1.4.2.  Create national ETF-complaint reports covering mitigation and adaptation-related activities in accordance with NDC commitments for the AFOLU sector.</w:t>
      </w:r>
    </w:p>
    <w:p w14:paraId="6A494251" w14:textId="77777777" w:rsidR="00986060" w:rsidRPr="00AA2617" w:rsidRDefault="00986060" w:rsidP="00AA2617">
      <w:pPr>
        <w:pStyle w:val="NumberedParagraph"/>
        <w:rPr>
          <w:lang w:val="en-GB"/>
        </w:rPr>
      </w:pPr>
      <w:r w:rsidRPr="00AA2617">
        <w:rPr>
          <w:lang w:val="en-GB"/>
        </w:rPr>
        <w:t>T</w:t>
      </w:r>
      <w:r w:rsidRPr="00AA2617">
        <w:rPr>
          <w:sz w:val="22"/>
          <w:lang w:val="en-GB"/>
        </w:rPr>
        <w:t>his activity identifies the need for a comprehensive reporting framework which is peer-reviewed and subjected to the verification process after a window for public review. The reporting should take into account and treat the following types of reporting requirements separately:</w:t>
      </w:r>
    </w:p>
    <w:p w14:paraId="17821F48" w14:textId="77777777" w:rsidR="00986060" w:rsidRPr="00AA2617" w:rsidRDefault="00986060" w:rsidP="00AA2617">
      <w:pPr>
        <w:autoSpaceDE w:val="0"/>
        <w:autoSpaceDN w:val="0"/>
        <w:adjustRightInd w:val="0"/>
        <w:spacing w:after="0"/>
        <w:jc w:val="left"/>
        <w:rPr>
          <w:rFonts w:ascii="Calibri" w:eastAsia="MS Mincho" w:hAnsi="Calibri" w:cs="Calibri"/>
          <w:color w:val="000000"/>
          <w:sz w:val="24"/>
          <w:szCs w:val="24"/>
          <w:lang w:eastAsia="en-GB"/>
        </w:rPr>
      </w:pPr>
    </w:p>
    <w:p w14:paraId="75F6B850" w14:textId="77777777" w:rsidR="00986060" w:rsidRPr="00AA2617" w:rsidRDefault="00986060" w:rsidP="00AA2617">
      <w:pPr>
        <w:pStyle w:val="ListParagraph"/>
        <w:numPr>
          <w:ilvl w:val="0"/>
          <w:numId w:val="46"/>
        </w:numPr>
        <w:autoSpaceDE w:val="0"/>
        <w:autoSpaceDN w:val="0"/>
        <w:adjustRightInd w:val="0"/>
        <w:spacing w:after="18"/>
        <w:jc w:val="left"/>
        <w:rPr>
          <w:rFonts w:eastAsia="MS Mincho" w:cs="Times New Roman"/>
          <w:color w:val="000000"/>
          <w:sz w:val="22"/>
          <w:lang w:eastAsia="en-GB"/>
        </w:rPr>
      </w:pPr>
      <w:r w:rsidRPr="00AA2617">
        <w:rPr>
          <w:rFonts w:eastAsia="MS Mincho" w:cs="Times New Roman"/>
          <w:i/>
          <w:iCs/>
          <w:color w:val="000000"/>
          <w:sz w:val="22"/>
          <w:lang w:eastAsia="en-GB"/>
        </w:rPr>
        <w:t xml:space="preserve">Statutory reporting: </w:t>
      </w:r>
      <w:r w:rsidRPr="00AA2617">
        <w:rPr>
          <w:rFonts w:eastAsia="MS Mincho" w:cs="Times New Roman"/>
          <w:color w:val="000000"/>
          <w:sz w:val="22"/>
          <w:lang w:eastAsia="en-GB"/>
        </w:rPr>
        <w:t xml:space="preserve">The domestic and international legal obligations placed on administrators to report specific data at specific times within the ‘compliance’ cycle. </w:t>
      </w:r>
    </w:p>
    <w:p w14:paraId="1509C6E2" w14:textId="77777777" w:rsidR="00986060" w:rsidRPr="00AA2617" w:rsidRDefault="00986060" w:rsidP="00AA2617">
      <w:pPr>
        <w:pStyle w:val="ListParagraph"/>
        <w:numPr>
          <w:ilvl w:val="0"/>
          <w:numId w:val="46"/>
        </w:numPr>
        <w:autoSpaceDE w:val="0"/>
        <w:autoSpaceDN w:val="0"/>
        <w:adjustRightInd w:val="0"/>
        <w:spacing w:after="0"/>
        <w:jc w:val="left"/>
        <w:rPr>
          <w:rFonts w:eastAsia="MS Mincho" w:cs="Times New Roman"/>
          <w:color w:val="000000"/>
          <w:sz w:val="22"/>
          <w:lang w:eastAsia="en-GB"/>
        </w:rPr>
      </w:pPr>
      <w:r w:rsidRPr="00AA2617">
        <w:rPr>
          <w:rFonts w:eastAsia="MS Mincho" w:cs="Times New Roman"/>
          <w:i/>
          <w:iCs/>
          <w:color w:val="000000"/>
          <w:sz w:val="22"/>
          <w:lang w:eastAsia="en-GB"/>
        </w:rPr>
        <w:t>Ad-hoc reporting</w:t>
      </w:r>
      <w:r w:rsidRPr="00AA2617">
        <w:rPr>
          <w:rFonts w:eastAsia="MS Mincho" w:cs="Times New Roman"/>
          <w:color w:val="000000"/>
          <w:sz w:val="22"/>
          <w:lang w:eastAsia="en-GB"/>
        </w:rPr>
        <w:t xml:space="preserve">: requests from internal or external parties interested in specific data queries. </w:t>
      </w:r>
    </w:p>
    <w:p w14:paraId="331F7C48" w14:textId="77777777" w:rsidR="00986060" w:rsidRPr="00AA2617" w:rsidRDefault="00986060" w:rsidP="00AA2617">
      <w:pPr>
        <w:pStyle w:val="ListParagraph"/>
        <w:numPr>
          <w:ilvl w:val="0"/>
          <w:numId w:val="46"/>
        </w:numPr>
        <w:autoSpaceDE w:val="0"/>
        <w:autoSpaceDN w:val="0"/>
        <w:adjustRightInd w:val="0"/>
        <w:spacing w:after="18"/>
        <w:jc w:val="left"/>
        <w:rPr>
          <w:rFonts w:eastAsia="MS Mincho" w:cs="Times New Roman"/>
          <w:color w:val="000000"/>
          <w:sz w:val="22"/>
          <w:lang w:eastAsia="en-GB"/>
        </w:rPr>
      </w:pPr>
      <w:r w:rsidRPr="00AA2617">
        <w:rPr>
          <w:rFonts w:eastAsia="MS Mincho" w:cs="Times New Roman"/>
          <w:i/>
          <w:iCs/>
          <w:color w:val="000000"/>
          <w:sz w:val="22"/>
          <w:lang w:eastAsia="en-GB"/>
        </w:rPr>
        <w:t>Progress reporting</w:t>
      </w:r>
      <w:r w:rsidRPr="00AA2617">
        <w:rPr>
          <w:rFonts w:eastAsia="MS Mincho" w:cs="Times New Roman"/>
          <w:color w:val="000000"/>
          <w:sz w:val="22"/>
          <w:lang w:eastAsia="en-GB"/>
        </w:rPr>
        <w:t xml:space="preserve">: the degree of completion in various MRV cycles. </w:t>
      </w:r>
    </w:p>
    <w:p w14:paraId="59EFA820" w14:textId="77777777" w:rsidR="00986060" w:rsidRPr="00AA2617" w:rsidRDefault="00986060" w:rsidP="00AA2617">
      <w:pPr>
        <w:pStyle w:val="ListParagraph"/>
        <w:numPr>
          <w:ilvl w:val="0"/>
          <w:numId w:val="46"/>
        </w:numPr>
        <w:autoSpaceDE w:val="0"/>
        <w:autoSpaceDN w:val="0"/>
        <w:adjustRightInd w:val="0"/>
        <w:spacing w:after="18"/>
        <w:jc w:val="left"/>
        <w:rPr>
          <w:rFonts w:eastAsia="MS Mincho" w:cs="Times New Roman"/>
          <w:color w:val="000000"/>
          <w:sz w:val="22"/>
          <w:lang w:eastAsia="en-GB"/>
        </w:rPr>
      </w:pPr>
      <w:r w:rsidRPr="00AA2617">
        <w:rPr>
          <w:rFonts w:eastAsia="MS Mincho" w:cs="Times New Roman"/>
          <w:i/>
          <w:iCs/>
          <w:color w:val="000000"/>
          <w:sz w:val="22"/>
          <w:lang w:eastAsia="en-GB"/>
        </w:rPr>
        <w:t>Annual reporting</w:t>
      </w:r>
      <w:r w:rsidRPr="00AA2617">
        <w:rPr>
          <w:rFonts w:eastAsia="MS Mincho" w:cs="Times New Roman"/>
          <w:color w:val="000000"/>
          <w:sz w:val="22"/>
          <w:lang w:eastAsia="en-GB"/>
        </w:rPr>
        <w:t xml:space="preserve">: summary compilation of mitigation and adaptation related information </w:t>
      </w:r>
    </w:p>
    <w:p w14:paraId="77549091" w14:textId="06381B42" w:rsidR="00986060" w:rsidRPr="00AA2617" w:rsidRDefault="00986060" w:rsidP="00AA2617">
      <w:pPr>
        <w:spacing w:before="240"/>
        <w:outlineLvl w:val="3"/>
        <w:rPr>
          <w:rFonts w:cs="Times New Roman"/>
          <w:i/>
          <w:sz w:val="22"/>
          <w:lang w:val="en-GB"/>
        </w:rPr>
      </w:pPr>
      <w:r w:rsidRPr="00AA2617">
        <w:rPr>
          <w:rFonts w:cs="Times New Roman"/>
          <w:i/>
          <w:sz w:val="22"/>
          <w:lang w:val="en-GB"/>
        </w:rPr>
        <w:t xml:space="preserve">Output: 1.1.5. Sri Lanka's engagement strengthened in the </w:t>
      </w:r>
      <w:r w:rsidR="00BD7295" w:rsidRPr="00AA2617">
        <w:rPr>
          <w:rFonts w:cs="Times New Roman"/>
          <w:i/>
          <w:sz w:val="22"/>
          <w:lang w:val="en-GB"/>
        </w:rPr>
        <w:t xml:space="preserve">AFOLU </w:t>
      </w:r>
      <w:r w:rsidRPr="00AA2617">
        <w:rPr>
          <w:rFonts w:cs="Times New Roman"/>
          <w:i/>
          <w:sz w:val="22"/>
          <w:lang w:val="en-GB"/>
        </w:rPr>
        <w:t>sectors with international transparency-related processes under the UNFCCC.</w:t>
      </w:r>
    </w:p>
    <w:p w14:paraId="023AFE4B" w14:textId="77777777" w:rsidR="00986060" w:rsidRPr="00AA2617" w:rsidRDefault="00986060" w:rsidP="00AA2617">
      <w:pPr>
        <w:spacing w:before="240"/>
        <w:ind w:left="360"/>
        <w:outlineLvl w:val="3"/>
        <w:rPr>
          <w:rFonts w:cs="Times New Roman"/>
          <w:i/>
          <w:sz w:val="22"/>
          <w:lang w:val="en-GB"/>
        </w:rPr>
      </w:pPr>
      <w:r w:rsidRPr="00AA2617">
        <w:rPr>
          <w:rFonts w:cs="Times New Roman"/>
          <w:i/>
          <w:sz w:val="22"/>
          <w:lang w:val="en-GB"/>
        </w:rPr>
        <w:t>Activity 1.1.5.1.  Publish a peer-reviewed AFOLU sector ETF-compliant MRV document concurrently with National Communications.</w:t>
      </w:r>
    </w:p>
    <w:p w14:paraId="2C3A4137" w14:textId="77777777" w:rsidR="00986060" w:rsidRPr="00AA2617" w:rsidRDefault="00986060" w:rsidP="00AA2617">
      <w:pPr>
        <w:pStyle w:val="NumberedParagraph"/>
        <w:ind w:left="360"/>
        <w:rPr>
          <w:sz w:val="22"/>
          <w:lang w:val="en-GB"/>
        </w:rPr>
      </w:pPr>
      <w:r w:rsidRPr="00AA2617">
        <w:rPr>
          <w:rFonts w:cstheme="minorHAnsi"/>
          <w:sz w:val="22"/>
          <w:lang w:val="en-GB"/>
        </w:rPr>
        <w:t>. AFOLU MRV document has to be compiled to support the process of national communications. Its release has to be timetables based on the key national reporting requirements to UNFCCC. The ETF compliance has to verified by a review study and best practices in  terms of ETF has to be highlighted and communicated to stakeholders. CCS will conduct a dissemination workshop for release of ETF compliant MRV document.</w:t>
      </w:r>
    </w:p>
    <w:p w14:paraId="497918D3" w14:textId="77777777" w:rsidR="00986060" w:rsidRPr="00AA2617" w:rsidRDefault="00986060" w:rsidP="00AA2617">
      <w:pPr>
        <w:spacing w:before="240"/>
        <w:outlineLvl w:val="3"/>
        <w:rPr>
          <w:rFonts w:cs="Times New Roman"/>
          <w:i/>
          <w:sz w:val="22"/>
          <w:lang w:val="en-GB"/>
        </w:rPr>
      </w:pPr>
      <w:r w:rsidRPr="00AA2617">
        <w:rPr>
          <w:rFonts w:cs="Times New Roman"/>
          <w:i/>
          <w:sz w:val="22"/>
          <w:lang w:val="en-GB"/>
        </w:rPr>
        <w:t xml:space="preserve">Outcome 1.2 Best practices on ETF reporting processes, information gathering, system infrastructure, methodologies in the agriculture and land-use sectors disseminated to relevant priority sectors (e.g. energy, industry/trade, transportation). </w:t>
      </w:r>
    </w:p>
    <w:p w14:paraId="45BA29E6" w14:textId="77777777" w:rsidR="00986060" w:rsidRPr="00AA2617" w:rsidRDefault="00986060" w:rsidP="00AA2617">
      <w:pPr>
        <w:pStyle w:val="NumberedParagraph"/>
        <w:ind w:left="360"/>
        <w:rPr>
          <w:sz w:val="22"/>
          <w:lang w:val="en-GB"/>
        </w:rPr>
      </w:pPr>
      <w:r w:rsidRPr="00AA2617">
        <w:rPr>
          <w:sz w:val="22"/>
          <w:lang w:val="en-GB"/>
        </w:rPr>
        <w:t>Outputs and activities under Outcome 1.2 complement the sectoral work conducted under Outcome 1.1.  Many of the MRV challenges faced in Sri Lanka’s AFOLU sector are also faced in other sectors as well as by AFOLU counterparts in other countries.  Outcome 1.2 ensures that innovations and lessons learned from this project inform MRV solutions in other sectors and countries, and vice versa.  CCS will coordinate work under this outcome.</w:t>
      </w:r>
    </w:p>
    <w:p w14:paraId="469F3F6D" w14:textId="77777777" w:rsidR="00986060" w:rsidRPr="00AA2617" w:rsidRDefault="00986060" w:rsidP="00AA2617">
      <w:pPr>
        <w:rPr>
          <w:rFonts w:cstheme="minorHAnsi"/>
          <w:i/>
          <w:sz w:val="22"/>
          <w:lang w:val="en-GB"/>
        </w:rPr>
      </w:pPr>
      <w:r w:rsidRPr="00AA2617">
        <w:rPr>
          <w:rFonts w:cstheme="minorHAnsi"/>
          <w:i/>
          <w:sz w:val="22"/>
          <w:lang w:val="en-GB"/>
        </w:rPr>
        <w:t>Output 1.2.1 Multi-sectoral coordination mechanism strengthened integrating relevant authorities into national UNFCCC reporting processes.</w:t>
      </w:r>
    </w:p>
    <w:p w14:paraId="4E4E8F18" w14:textId="77777777" w:rsidR="00986060" w:rsidRPr="00AA2617" w:rsidRDefault="00986060" w:rsidP="00AA2617">
      <w:pPr>
        <w:pStyle w:val="NumberedParagraph"/>
        <w:ind w:left="360"/>
        <w:rPr>
          <w:sz w:val="22"/>
          <w:lang w:val="en-GB"/>
        </w:rPr>
      </w:pPr>
      <w:r w:rsidRPr="00AA2617">
        <w:rPr>
          <w:sz w:val="22"/>
          <w:lang w:val="en-GB"/>
        </w:rPr>
        <w:t>This output addresses the need to increase MRV efficiencies by reducing inter-sectoral redundancies.  Activities under this output will align closely with Outputs 1.1.2 and 1.1.3, particularly Activities 1.1.2.1, 1.1.2.2, and 1.1.2.5.  As a matter of practicality, work under this output will largely be conducted via improved coordination between sectoral TWGs.</w:t>
      </w:r>
    </w:p>
    <w:p w14:paraId="36D461E3" w14:textId="77777777" w:rsidR="00986060" w:rsidRPr="00AA2617" w:rsidRDefault="00986060" w:rsidP="00AA2617">
      <w:pPr>
        <w:rPr>
          <w:rFonts w:cstheme="minorHAnsi"/>
          <w:i/>
          <w:sz w:val="22"/>
          <w:lang w:val="en-GB"/>
        </w:rPr>
      </w:pPr>
    </w:p>
    <w:p w14:paraId="26C99883" w14:textId="542FE32B" w:rsidR="00986060" w:rsidRPr="00AA2617" w:rsidRDefault="00986060" w:rsidP="00AA2617">
      <w:pPr>
        <w:ind w:left="567"/>
        <w:jc w:val="left"/>
        <w:rPr>
          <w:rFonts w:cstheme="minorHAnsi"/>
          <w:i/>
          <w:sz w:val="22"/>
          <w:lang w:val="en-GB"/>
        </w:rPr>
      </w:pPr>
      <w:r w:rsidRPr="00AA2617">
        <w:rPr>
          <w:rFonts w:cstheme="minorHAnsi"/>
          <w:i/>
          <w:sz w:val="22"/>
          <w:lang w:val="en-GB"/>
        </w:rPr>
        <w:t>Activity 1.2.1.1.  Identify opportunities for inter-sectoral efficiencies and reduce redundancies in measurement and primary data storage.</w:t>
      </w:r>
    </w:p>
    <w:p w14:paraId="1EEC9576" w14:textId="77777777" w:rsidR="00986060" w:rsidRPr="00AA2617" w:rsidRDefault="00986060" w:rsidP="00AA2617">
      <w:pPr>
        <w:pStyle w:val="NumberedParagraph"/>
        <w:ind w:left="360"/>
        <w:rPr>
          <w:sz w:val="22"/>
          <w:lang w:val="en-GB"/>
        </w:rPr>
      </w:pPr>
      <w:r w:rsidRPr="00AA2617">
        <w:rPr>
          <w:sz w:val="22"/>
          <w:lang w:val="en-GB"/>
        </w:rPr>
        <w:t>Various agencies and sectors gather data using resources and methods with which AFOLU MRV can be integrated, thereby improving cost-efficiency and reducing redundancy (e.g., for survey respondents). Such cross-institution learning can be facilitated by a bi-annual stakeholder forum targeting the data and information processing divisions of all agencies in the MRV loop. The practices of each institution need to be documented in terms of methodologies and key indicators. The data storage mechanism also needs to be highlighted. The lessons and highlights of inter-institution consultations will be reported to the TWG for validation and secondary reporting to CCS.</w:t>
      </w:r>
    </w:p>
    <w:p w14:paraId="752E885C" w14:textId="77777777" w:rsidR="00986060" w:rsidRPr="00AA2617" w:rsidRDefault="00986060" w:rsidP="00AA2617">
      <w:pPr>
        <w:ind w:left="567"/>
        <w:jc w:val="left"/>
        <w:rPr>
          <w:rFonts w:cstheme="minorHAnsi"/>
          <w:i/>
          <w:sz w:val="22"/>
          <w:lang w:val="en-GB"/>
        </w:rPr>
      </w:pPr>
      <w:r w:rsidRPr="00AA2617">
        <w:rPr>
          <w:rFonts w:cstheme="minorHAnsi"/>
          <w:i/>
          <w:sz w:val="22"/>
          <w:lang w:val="en-GB"/>
        </w:rPr>
        <w:t xml:space="preserve">                                                                                                                                                                                          Activity 1.2.1.2.  Ensure that AFOLU data-sharing processes are integrated with broader inter-sectoral and national coordination for data-sharing.  </w:t>
      </w:r>
    </w:p>
    <w:p w14:paraId="41675BB8" w14:textId="6AFD12A8" w:rsidR="00986060" w:rsidRPr="00AA2617" w:rsidRDefault="00986060" w:rsidP="00AA2617">
      <w:pPr>
        <w:pStyle w:val="NumberedParagraph"/>
        <w:ind w:left="360"/>
        <w:rPr>
          <w:rFonts w:cstheme="minorHAnsi"/>
          <w:sz w:val="22"/>
          <w:u w:val="single"/>
          <w:lang w:val="en-GB"/>
        </w:rPr>
      </w:pPr>
      <w:r w:rsidRPr="00AA2617">
        <w:rPr>
          <w:rFonts w:cstheme="minorHAnsi"/>
          <w:i/>
          <w:sz w:val="22"/>
          <w:lang w:val="en-GB"/>
        </w:rPr>
        <w:t xml:space="preserve"> </w:t>
      </w:r>
      <w:r w:rsidRPr="00AA2617">
        <w:rPr>
          <w:rFonts w:cstheme="minorHAnsi"/>
          <w:sz w:val="22"/>
          <w:u w:val="single"/>
          <w:lang w:val="en-GB"/>
        </w:rPr>
        <w:t xml:space="preserve">MRV challenges are not unique to AFOLU  sectors. In fact, there are similar problems in other sectors such as energy, transport and waste. This compatibility can be ensured only by CCS since a reliable and regular coordination mechanisms or platforms  between AFOLU sectors and key </w:t>
      </w:r>
      <w:r w:rsidRPr="00AA2617">
        <w:rPr>
          <w:rFonts w:cstheme="minorHAnsi"/>
          <w:sz w:val="22"/>
          <w:u w:val="single"/>
          <w:lang w:val="en-GB"/>
        </w:rPr>
        <w:lastRenderedPageBreak/>
        <w:t>sectors in NDC are not available under the current institutional setting in Sri Lanka. I</w:t>
      </w:r>
      <w:r w:rsidR="00031A14" w:rsidRPr="00AA2617">
        <w:rPr>
          <w:rFonts w:cstheme="minorHAnsi"/>
          <w:sz w:val="22"/>
          <w:u w:val="single"/>
          <w:lang w:val="en-GB"/>
        </w:rPr>
        <w:t>n</w:t>
      </w:r>
      <w:r w:rsidRPr="00AA2617">
        <w:rPr>
          <w:rFonts w:cstheme="minorHAnsi"/>
          <w:sz w:val="22"/>
          <w:u w:val="single"/>
          <w:lang w:val="en-GB"/>
        </w:rPr>
        <w:t xml:space="preserve"> particular, t</w:t>
      </w:r>
      <w:r w:rsidRPr="00AA2617">
        <w:rPr>
          <w:sz w:val="22"/>
          <w:lang w:val="en-GB"/>
        </w:rPr>
        <w:t>he AFOLU portal, data-sharing MOUs, and other approaches should integrate with other sectors’ approaches.  This requires alignment of systems, protocols, and metadata as far as such alignments are within the limits of practical implementation subject to institution mandates.</w:t>
      </w:r>
    </w:p>
    <w:p w14:paraId="15C00069" w14:textId="77777777" w:rsidR="00986060" w:rsidRPr="00AA2617" w:rsidRDefault="00986060" w:rsidP="00AA2617">
      <w:pPr>
        <w:ind w:left="567"/>
        <w:jc w:val="left"/>
        <w:rPr>
          <w:rFonts w:cstheme="minorHAnsi"/>
          <w:i/>
          <w:sz w:val="22"/>
          <w:lang w:val="en-GB"/>
        </w:rPr>
      </w:pPr>
      <w:r w:rsidRPr="00AA2617">
        <w:rPr>
          <w:rFonts w:cstheme="minorHAnsi"/>
          <w:i/>
          <w:sz w:val="22"/>
          <w:lang w:val="en-GB"/>
        </w:rPr>
        <w:t xml:space="preserve">Activity 1.2.1.3.  Establish QC protocols for collecting, managing, and archiving data.                                                          </w:t>
      </w:r>
    </w:p>
    <w:p w14:paraId="0C1A8362" w14:textId="22173D23" w:rsidR="00986060" w:rsidRPr="00AA2617" w:rsidRDefault="00986060" w:rsidP="00AA2617">
      <w:pPr>
        <w:pStyle w:val="NumberedParagraph"/>
        <w:ind w:left="360"/>
        <w:rPr>
          <w:sz w:val="22"/>
          <w:lang w:val="en-GB"/>
        </w:rPr>
      </w:pPr>
      <w:r w:rsidRPr="00AA2617">
        <w:rPr>
          <w:sz w:val="22"/>
          <w:lang w:val="en-GB"/>
        </w:rPr>
        <w:t xml:space="preserve">While a robust collection of data is mandatory for a sound MRV framework, importance of management of database and archiving practices cannot be overstated This activity should not limit itself to ICT infrastructure and data administration which is a basic requirement of the activity. Compilation of data for secondary processing and modelling of data for scenario analysis are also part of quality control and needs guidance from expertise in related areas. </w:t>
      </w:r>
      <w:r w:rsidRPr="00AA2617">
        <w:rPr>
          <w:rFonts w:cstheme="minorHAnsi"/>
          <w:i/>
          <w:sz w:val="22"/>
          <w:lang w:val="en-GB"/>
        </w:rPr>
        <w:t xml:space="preserve">                                                                                                                                                                    </w:t>
      </w:r>
    </w:p>
    <w:p w14:paraId="702EFE6A" w14:textId="41B04B2E" w:rsidR="00986060" w:rsidRPr="00AA2617" w:rsidRDefault="00986060" w:rsidP="00AA2617">
      <w:pPr>
        <w:rPr>
          <w:rFonts w:cstheme="minorHAnsi"/>
          <w:i/>
          <w:sz w:val="22"/>
          <w:lang w:val="en-GB"/>
        </w:rPr>
      </w:pPr>
      <w:r w:rsidRPr="00AA2617">
        <w:rPr>
          <w:rFonts w:cstheme="minorHAnsi"/>
          <w:i/>
          <w:sz w:val="22"/>
          <w:lang w:val="en-GB"/>
        </w:rPr>
        <w:t xml:space="preserve">Output 1.2.2 ETF lessons learned from </w:t>
      </w:r>
      <w:r w:rsidR="00B33FBD" w:rsidRPr="00AA2617">
        <w:rPr>
          <w:rFonts w:cstheme="minorHAnsi"/>
          <w:i/>
          <w:sz w:val="22"/>
          <w:lang w:val="en-GB"/>
        </w:rPr>
        <w:t>AFOLU</w:t>
      </w:r>
      <w:r w:rsidRPr="00AA2617">
        <w:rPr>
          <w:rFonts w:cstheme="minorHAnsi"/>
          <w:i/>
          <w:sz w:val="22"/>
          <w:lang w:val="en-GB"/>
        </w:rPr>
        <w:t xml:space="preserve"> sectors monitored, captured, scaled up and shared to enhance wider national reporting.</w:t>
      </w:r>
    </w:p>
    <w:p w14:paraId="07536FAB" w14:textId="77777777" w:rsidR="00986060" w:rsidRPr="00AA2617" w:rsidRDefault="00986060" w:rsidP="00AA2617">
      <w:pPr>
        <w:pStyle w:val="NumberedParagraph"/>
        <w:ind w:left="360"/>
        <w:rPr>
          <w:sz w:val="22"/>
          <w:lang w:val="en-GB"/>
        </w:rPr>
      </w:pPr>
      <w:r w:rsidRPr="00AA2617">
        <w:rPr>
          <w:sz w:val="22"/>
          <w:lang w:val="en-GB"/>
        </w:rPr>
        <w:t>Activities under this output ensure that lessons learned in enhancing MRV in Sri Lanka’s AFOLU sector also benefit other sectors and countries.  Activities under this output are under the mandate of the national focal point, CCS.</w:t>
      </w:r>
    </w:p>
    <w:p w14:paraId="54BCD766" w14:textId="77777777" w:rsidR="00986060" w:rsidRPr="00AA2617" w:rsidRDefault="00986060" w:rsidP="00AA2617">
      <w:pPr>
        <w:ind w:left="567"/>
        <w:jc w:val="left"/>
        <w:rPr>
          <w:rFonts w:cstheme="minorHAnsi"/>
          <w:i/>
          <w:sz w:val="22"/>
          <w:lang w:val="en-GB"/>
        </w:rPr>
      </w:pPr>
      <w:r w:rsidRPr="00AA2617">
        <w:rPr>
          <w:rFonts w:cstheme="minorHAnsi"/>
          <w:i/>
          <w:sz w:val="22"/>
          <w:lang w:val="en-GB"/>
        </w:rPr>
        <w:t xml:space="preserve">Activity 1.2.2.1.  Conduct bi-annual Stakeholder feedback sessions.                                                                                                                               </w:t>
      </w:r>
    </w:p>
    <w:p w14:paraId="7C7EF6DA" w14:textId="77777777" w:rsidR="00986060" w:rsidRPr="00AA2617" w:rsidRDefault="00986060" w:rsidP="00AA2617">
      <w:pPr>
        <w:pStyle w:val="NumberedParagraph"/>
        <w:ind w:left="360"/>
        <w:rPr>
          <w:sz w:val="22"/>
          <w:lang w:val="en-GB"/>
        </w:rPr>
      </w:pPr>
      <w:r w:rsidRPr="00AA2617">
        <w:rPr>
          <w:sz w:val="22"/>
          <w:lang w:val="en-GB"/>
        </w:rPr>
        <w:t>In addition to obtaining regular feedback from stakeholders throughout the project’s implementation, structured stakeholder feedback will be sought explicitly on every six monthly basis.  Feedback will be sought regarding best practices, opportunities for improvement (including regarding quality and efficiency), and approaches to target for up-scaling (sectorally and geographically).  In each instance, feedback will be analyzed and summarized in a succinct report.</w:t>
      </w:r>
    </w:p>
    <w:p w14:paraId="481497C8" w14:textId="77777777" w:rsidR="00986060" w:rsidRPr="00AA2617" w:rsidRDefault="00986060" w:rsidP="00AA2617">
      <w:pPr>
        <w:ind w:left="567"/>
        <w:jc w:val="left"/>
        <w:rPr>
          <w:rFonts w:cstheme="minorHAnsi"/>
          <w:i/>
          <w:sz w:val="22"/>
          <w:lang w:val="en-GB"/>
        </w:rPr>
      </w:pPr>
      <w:r w:rsidRPr="00AA2617">
        <w:rPr>
          <w:rFonts w:cstheme="minorHAnsi"/>
          <w:i/>
          <w:sz w:val="22"/>
          <w:lang w:val="en-GB"/>
        </w:rPr>
        <w:t xml:space="preserve">Activity 1.2.2.2.  Compile AFOLU MRV best practices with relation to similar practices in other NDC sectors. </w:t>
      </w:r>
    </w:p>
    <w:p w14:paraId="4C6DF10E" w14:textId="77777777" w:rsidR="00986060" w:rsidRPr="00AA2617" w:rsidRDefault="00986060" w:rsidP="00AA2617">
      <w:pPr>
        <w:pStyle w:val="NumberedParagraph"/>
        <w:ind w:left="360"/>
        <w:rPr>
          <w:sz w:val="22"/>
          <w:lang w:val="en-GB"/>
        </w:rPr>
      </w:pPr>
      <w:r w:rsidRPr="00AA2617">
        <w:rPr>
          <w:sz w:val="22"/>
          <w:lang w:val="en-GB"/>
        </w:rPr>
        <w:t>A core feature in the  UNFCCC is sharing best practices across boundaries. Reporting across sectors means that best practices in the AFOLU sector benefit other sectors.  Additionally, CCS’s role in coordinating relevant TWGs ensures a convenient inter-sectoral venue for shared best practices.  This activity strengthens that process by formalizing and supporting the identification of best practices (e.g., see 1.2.2.1) and increasing the consistency of TWG membership (e.g., see 1.1.2.1).</w:t>
      </w:r>
    </w:p>
    <w:p w14:paraId="30C57E0E" w14:textId="1745F651" w:rsidR="00986060" w:rsidRPr="00AA2617" w:rsidRDefault="00986060" w:rsidP="00AA2617">
      <w:pPr>
        <w:ind w:left="567"/>
        <w:jc w:val="left"/>
        <w:rPr>
          <w:rFonts w:cstheme="minorHAnsi"/>
          <w:i/>
          <w:sz w:val="22"/>
          <w:lang w:val="en-GB"/>
        </w:rPr>
      </w:pPr>
      <w:r w:rsidRPr="00AA2617">
        <w:rPr>
          <w:rFonts w:cstheme="minorHAnsi"/>
          <w:i/>
          <w:sz w:val="22"/>
          <w:lang w:val="en-GB"/>
        </w:rPr>
        <w:t xml:space="preserve">                                                                                                                                              Activity 1.2.2.3.  Contribute to efforts via the CBIT global projects to share and up-scale relevant AFOLU MRV best practices and lessons learned.</w:t>
      </w:r>
    </w:p>
    <w:p w14:paraId="23819C01" w14:textId="77777777" w:rsidR="00986060" w:rsidRPr="00AA2617" w:rsidRDefault="00986060" w:rsidP="00AA2617">
      <w:pPr>
        <w:pStyle w:val="NumberedParagraph"/>
        <w:ind w:left="360"/>
        <w:rPr>
          <w:sz w:val="22"/>
          <w:lang w:val="en-GB"/>
        </w:rPr>
      </w:pPr>
      <w:r w:rsidRPr="00AA2617">
        <w:rPr>
          <w:sz w:val="22"/>
          <w:lang w:val="en-GB"/>
        </w:rPr>
        <w:t>The specific modes of this activity will depend on the engagement mechanisms established by the CBIT global projects.  The preceding activities ensure that the project is well positioned to contribute to those efforts. The membership and participation of CCS in such regional and international forums will help bring global and regional evidence. It is important that visit reports be compiled and presented within two weeks of such meetings for timely dissemination. The progress of global CBIT projects can also expedite the adoption of tier 2 and tier 3 estimates which are more relevant to NDCs.</w:t>
      </w:r>
    </w:p>
    <w:p w14:paraId="3E4A9FB1" w14:textId="77777777" w:rsidR="00986060" w:rsidRPr="00AA2617" w:rsidRDefault="00986060" w:rsidP="00AA2617">
      <w:pPr>
        <w:ind w:left="567"/>
        <w:jc w:val="left"/>
        <w:rPr>
          <w:rFonts w:cstheme="minorHAnsi"/>
          <w:i/>
          <w:sz w:val="22"/>
          <w:lang w:val="en-GB"/>
        </w:rPr>
      </w:pPr>
    </w:p>
    <w:p w14:paraId="4FDD0E29" w14:textId="77777777" w:rsidR="00986060" w:rsidRPr="00AA2617" w:rsidRDefault="00986060" w:rsidP="00AA2617">
      <w:pPr>
        <w:rPr>
          <w:rFonts w:cstheme="minorHAnsi"/>
          <w:i/>
          <w:sz w:val="22"/>
          <w:lang w:val="en-GB"/>
        </w:rPr>
      </w:pPr>
      <w:r w:rsidRPr="00AA2617">
        <w:rPr>
          <w:rFonts w:cstheme="minorHAnsi"/>
          <w:i/>
          <w:sz w:val="22"/>
          <w:lang w:val="en-GB"/>
        </w:rPr>
        <w:t>Output 1.2.3 Peer exchange program on transparency activities established for relevant priority sectors.</w:t>
      </w:r>
    </w:p>
    <w:p w14:paraId="6E7511F5" w14:textId="77777777" w:rsidR="00986060" w:rsidRPr="00AA2617" w:rsidRDefault="00986060" w:rsidP="00AA2617">
      <w:pPr>
        <w:ind w:left="360"/>
        <w:rPr>
          <w:rFonts w:cstheme="minorHAnsi"/>
          <w:i/>
          <w:sz w:val="22"/>
          <w:lang w:val="en-GB"/>
        </w:rPr>
      </w:pPr>
      <w:r w:rsidRPr="00AA2617">
        <w:rPr>
          <w:rFonts w:cstheme="minorHAnsi"/>
          <w:i/>
          <w:sz w:val="22"/>
          <w:lang w:val="en-GB"/>
        </w:rPr>
        <w:t>Activity 1.2.3.1.  Create a capacity building and conferencing platform for transparency improving modifications of MRV across sectors</w:t>
      </w:r>
    </w:p>
    <w:p w14:paraId="1C3EE6C2" w14:textId="77777777" w:rsidR="00986060" w:rsidRPr="00AA2617" w:rsidRDefault="00986060" w:rsidP="00AA2617">
      <w:pPr>
        <w:ind w:left="360"/>
        <w:rPr>
          <w:rFonts w:cstheme="minorHAnsi"/>
          <w:i/>
          <w:sz w:val="22"/>
          <w:lang w:val="en-GB"/>
        </w:rPr>
      </w:pPr>
    </w:p>
    <w:p w14:paraId="3427529B" w14:textId="77777777" w:rsidR="00986060" w:rsidRPr="00AA2617" w:rsidRDefault="00986060" w:rsidP="00AA2617">
      <w:pPr>
        <w:pStyle w:val="NumberedParagraph"/>
        <w:ind w:left="360"/>
        <w:rPr>
          <w:rFonts w:cstheme="minorHAnsi"/>
          <w:i/>
          <w:sz w:val="22"/>
          <w:lang w:val="en-GB"/>
        </w:rPr>
      </w:pPr>
      <w:r w:rsidRPr="00AA2617">
        <w:rPr>
          <w:rFonts w:cstheme="minorHAnsi"/>
          <w:sz w:val="22"/>
          <w:lang w:val="en-GB"/>
        </w:rPr>
        <w:t xml:space="preserve">The high priority areas of AFOLU sectors need constant knowledge sharing and updating of the personnel involved. Harmonising peer review protocols and sharing of background studies among different agencies can facilitate the transparency of the MRV practices. Such processes can also ensure the consistency of methods and practices across time and across agencies.   </w:t>
      </w:r>
    </w:p>
    <w:p w14:paraId="6398CBA3" w14:textId="77777777" w:rsidR="00986060" w:rsidRPr="00AA2617" w:rsidRDefault="00986060" w:rsidP="00AA2617">
      <w:pPr>
        <w:ind w:left="360"/>
        <w:rPr>
          <w:rFonts w:cstheme="minorHAnsi"/>
          <w:i/>
          <w:sz w:val="22"/>
          <w:lang w:val="en-GB"/>
        </w:rPr>
      </w:pPr>
    </w:p>
    <w:p w14:paraId="77C9296B" w14:textId="77777777" w:rsidR="00986060" w:rsidRPr="00AA2617" w:rsidRDefault="00986060" w:rsidP="00AA2617">
      <w:pPr>
        <w:pStyle w:val="NumberedParagraph"/>
        <w:ind w:left="360"/>
        <w:rPr>
          <w:sz w:val="22"/>
          <w:lang w:val="en-GB"/>
        </w:rPr>
      </w:pPr>
      <w:r w:rsidRPr="00AA2617">
        <w:rPr>
          <w:rFonts w:cstheme="minorHAnsi"/>
          <w:sz w:val="22"/>
          <w:lang w:val="en-GB"/>
        </w:rPr>
        <w:t>Figure 9 depicts the provisional framework for a MRV portal.  The portal will post ETF-relevant national publications and metadata for linked datasets.  Supporting agencies will provide timely updates to agency-hosted data and to respective links on the portal.  Enhancements to the portal will initially focus on core capabilities for the AFOLU sector, but the enhancements will be designed to be scalable for other sectors, functions, and content.  It is expected that CCS will coordinate enhancement and continued operation of the portal.  The project will coordinate with global CBIT projects to learn from other projects.  This activity will also raise awareness about the portal and how to use it.</w:t>
      </w:r>
    </w:p>
    <w:p w14:paraId="0B9D75C5" w14:textId="77777777" w:rsidR="00BC4916" w:rsidRPr="00AA2617" w:rsidRDefault="00BC4916" w:rsidP="00AA2617">
      <w:pPr>
        <w:pStyle w:val="GEFFieldtoFillout"/>
        <w:ind w:left="288"/>
        <w:rPr>
          <w:lang w:val="en-GB"/>
        </w:rPr>
      </w:pPr>
    </w:p>
    <w:p w14:paraId="1B7E1A32" w14:textId="38B108DC" w:rsidR="00EB3147" w:rsidRPr="00AA2617" w:rsidRDefault="000706A8" w:rsidP="00AA2617">
      <w:pPr>
        <w:spacing w:before="240"/>
        <w:outlineLvl w:val="3"/>
        <w:rPr>
          <w:rFonts w:cs="Times New Roman"/>
          <w:i/>
          <w:sz w:val="22"/>
          <w:lang w:val="en-GB"/>
        </w:rPr>
      </w:pPr>
      <w:r w:rsidRPr="00AA2617">
        <w:rPr>
          <w:rFonts w:cs="Times New Roman"/>
          <w:noProof/>
          <w:color w:val="0070C0"/>
          <w:u w:val="single"/>
        </w:rPr>
        <w:lastRenderedPageBreak/>
        <mc:AlternateContent>
          <mc:Choice Requires="wps">
            <w:drawing>
              <wp:anchor distT="0" distB="0" distL="114300" distR="114300" simplePos="0" relativeHeight="251804673" behindDoc="0" locked="0" layoutInCell="1" allowOverlap="1" wp14:anchorId="7AADA0E2" wp14:editId="5A66680A">
                <wp:simplePos x="0" y="0"/>
                <wp:positionH relativeFrom="column">
                  <wp:posOffset>1701630</wp:posOffset>
                </wp:positionH>
                <wp:positionV relativeFrom="paragraph">
                  <wp:posOffset>1341119</wp:posOffset>
                </wp:positionV>
                <wp:extent cx="980609" cy="4048885"/>
                <wp:effectExtent l="0" t="0" r="67310" b="66040"/>
                <wp:wrapNone/>
                <wp:docPr id="68" name="Straight Arrow Connector 68"/>
                <wp:cNvGraphicFramePr/>
                <a:graphic xmlns:a="http://schemas.openxmlformats.org/drawingml/2006/main">
                  <a:graphicData uri="http://schemas.microsoft.com/office/word/2010/wordprocessingShape">
                    <wps:wsp>
                      <wps:cNvCnPr/>
                      <wps:spPr>
                        <a:xfrm>
                          <a:off x="0" y="0"/>
                          <a:ext cx="980609" cy="404888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3B812733" id="Straight Arrow Connector 68" o:spid="_x0000_s1026" type="#_x0000_t32" style="position:absolute;margin-left:134pt;margin-top:105.6pt;width:77.2pt;height:318.8pt;z-index:25180467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" strokecolor="#4472c4 [3204]" strokeweight=".5pt">
                <v:stroke endarrow="block" joinstyle="miter"/>
              </v:shape>
            </w:pict>
          </mc:Fallback>
        </mc:AlternateContent>
      </w:r>
      <w:r w:rsidRPr="00AA2617">
        <w:rPr>
          <w:rFonts w:cs="Times New Roman"/>
          <w:noProof/>
          <w:color w:val="0070C0"/>
          <w:u w:val="single"/>
        </w:rPr>
        <mc:AlternateContent>
          <mc:Choice Requires="wps">
            <w:drawing>
              <wp:anchor distT="0" distB="0" distL="114300" distR="114300" simplePos="0" relativeHeight="251803649" behindDoc="0" locked="0" layoutInCell="1" allowOverlap="1" wp14:anchorId="7349B54C" wp14:editId="1B461B5D">
                <wp:simplePos x="0" y="0"/>
                <wp:positionH relativeFrom="column">
                  <wp:posOffset>1685760</wp:posOffset>
                </wp:positionH>
                <wp:positionV relativeFrom="paragraph">
                  <wp:posOffset>1325880</wp:posOffset>
                </wp:positionV>
                <wp:extent cx="1019340" cy="2110740"/>
                <wp:effectExtent l="0" t="0" r="85725" b="60960"/>
                <wp:wrapNone/>
                <wp:docPr id="67" name="Straight Arrow Connector 67"/>
                <wp:cNvGraphicFramePr/>
                <a:graphic xmlns:a="http://schemas.openxmlformats.org/drawingml/2006/main">
                  <a:graphicData uri="http://schemas.microsoft.com/office/word/2010/wordprocessingShape">
                    <wps:wsp>
                      <wps:cNvCnPr/>
                      <wps:spPr>
                        <a:xfrm>
                          <a:off x="0" y="0"/>
                          <a:ext cx="1019340" cy="21107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2D2A3E70" id="Straight Arrow Connector 67" o:spid="_x0000_s1026" type="#_x0000_t32" style="position:absolute;margin-left:132.75pt;margin-top:104.4pt;width:80.25pt;height:166.2pt;z-index:251803649;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" strokecolor="#4472c4 [3204]" strokeweight=".5pt">
                <v:stroke endarrow="block" joinstyle="miter"/>
              </v:shape>
            </w:pict>
          </mc:Fallback>
        </mc:AlternateContent>
      </w:r>
      <w:r w:rsidR="009A5CD7" w:rsidRPr="00AA2617">
        <w:rPr>
          <w:rFonts w:cs="Times New Roman"/>
          <w:noProof/>
          <w:color w:val="0070C0"/>
          <w:u w:val="single"/>
        </w:rPr>
        <mc:AlternateContent>
          <mc:Choice Requires="wpg">
            <w:drawing>
              <wp:inline distT="0" distB="0" distL="0" distR="0" wp14:anchorId="4221F108" wp14:editId="1100ED37">
                <wp:extent cx="6429374" cy="7892508"/>
                <wp:effectExtent l="0" t="0" r="0" b="0"/>
                <wp:docPr id="288" name="Group 288"/>
                <wp:cNvGraphicFramePr/>
                <a:graphic xmlns:a="http://schemas.openxmlformats.org/drawingml/2006/main">
                  <a:graphicData uri="http://schemas.microsoft.com/office/word/2010/wordprocessingGroup">
                    <wpg:wgp>
                      <wpg:cNvGrpSpPr/>
                      <wpg:grpSpPr>
                        <a:xfrm>
                          <a:off x="0" y="0"/>
                          <a:ext cx="6429374" cy="7892508"/>
                          <a:chOff x="-1" y="0"/>
                          <a:chExt cx="6429375" cy="7893161"/>
                        </a:xfrm>
                      </wpg:grpSpPr>
                      <wpg:grpSp>
                        <wpg:cNvPr id="26" name="Group 26"/>
                        <wpg:cNvGrpSpPr/>
                        <wpg:grpSpPr>
                          <a:xfrm>
                            <a:off x="-1" y="0"/>
                            <a:ext cx="6429375" cy="6505575"/>
                            <a:chOff x="-1" y="0"/>
                            <a:chExt cx="6429375" cy="6505575"/>
                          </a:xfrm>
                        </wpg:grpSpPr>
                        <wpg:grpSp>
                          <wpg:cNvPr id="21" name="Group 21"/>
                          <wpg:cNvGrpSpPr/>
                          <wpg:grpSpPr>
                            <a:xfrm>
                              <a:off x="9525" y="342900"/>
                              <a:ext cx="6372225" cy="6162675"/>
                              <a:chOff x="0" y="0"/>
                              <a:chExt cx="6372225" cy="6162675"/>
                            </a:xfrm>
                          </wpg:grpSpPr>
                          <wpg:grpSp>
                            <wpg:cNvPr id="19" name="Group 19"/>
                            <wpg:cNvGrpSpPr/>
                            <wpg:grpSpPr>
                              <a:xfrm>
                                <a:off x="228600" y="552450"/>
                                <a:ext cx="1463673" cy="5610225"/>
                                <a:chOff x="0" y="0"/>
                                <a:chExt cx="1463673" cy="5610225"/>
                              </a:xfrm>
                            </wpg:grpSpPr>
                            <wps:wsp>
                              <wps:cNvPr id="15" name="Rounded Rectangle 15"/>
                              <wps:cNvSpPr/>
                              <wps:spPr>
                                <a:xfrm>
                                  <a:off x="0" y="0"/>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Rounded Rectangle 13"/>
                              <wps:cNvSpPr/>
                              <wps:spPr>
                                <a:xfrm>
                                  <a:off x="0" y="29527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ounded Rectangle 10"/>
                              <wps:cNvSpPr/>
                              <wps:spPr>
                                <a:xfrm>
                                  <a:off x="0" y="590550"/>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Rounded Rectangle 25"/>
                              <wps:cNvSpPr/>
                              <wps:spPr>
                                <a:xfrm>
                                  <a:off x="723804" y="200012"/>
                                  <a:ext cx="739869" cy="43815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B2ED32C" w14:textId="6B991505" w:rsidR="0099059D" w:rsidRPr="00832B82" w:rsidRDefault="0099059D" w:rsidP="00A53713">
                                    <w:pPr>
                                      <w:rPr>
                                        <w:rFonts w:cs="Times New Roman"/>
                                        <w:color w:val="000000" w:themeColor="text1"/>
                                      </w:rPr>
                                    </w:pPr>
                                    <w:r>
                                      <w:rPr>
                                        <w:rFonts w:cs="Times New Roman"/>
                                        <w:color w:val="000000" w:themeColor="text1"/>
                                      </w:rPr>
                                      <w:t xml:space="preserve">National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Straight Arrow Connector 29"/>
                              <wps:cNvCnPr/>
                              <wps:spPr>
                                <a:xfrm>
                                  <a:off x="295275" y="123825"/>
                                  <a:ext cx="428625" cy="171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0" name="Straight Arrow Connector 30"/>
                              <wps:cNvCnPr/>
                              <wps:spPr>
                                <a:xfrm>
                                  <a:off x="295275" y="419100"/>
                                  <a:ext cx="42862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7" name="Straight Arrow Connector 7"/>
                              <wps:cNvCnPr/>
                              <wps:spPr>
                                <a:xfrm flipV="1">
                                  <a:off x="295275" y="523875"/>
                                  <a:ext cx="428625" cy="1809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2" name="Rounded Rectangle 32"/>
                              <wps:cNvSpPr/>
                              <wps:spPr>
                                <a:xfrm>
                                  <a:off x="0" y="479107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Rounded Rectangle 33"/>
                              <wps:cNvSpPr/>
                              <wps:spPr>
                                <a:xfrm>
                                  <a:off x="0" y="5086350"/>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Rounded Rectangle 34"/>
                              <wps:cNvSpPr/>
                              <wps:spPr>
                                <a:xfrm>
                                  <a:off x="0" y="538162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Rounded Rectangle 35"/>
                              <wps:cNvSpPr/>
                              <wps:spPr>
                                <a:xfrm>
                                  <a:off x="723900" y="4991100"/>
                                  <a:ext cx="676275" cy="43815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82EA39D" w14:textId="47723B52" w:rsidR="0099059D" w:rsidRPr="00832B82" w:rsidRDefault="0099059D" w:rsidP="006E3395">
                                    <w:pPr>
                                      <w:jc w:val="center"/>
                                      <w:rPr>
                                        <w:rFonts w:cs="Times New Roman"/>
                                        <w:color w:val="000000" w:themeColor="text1"/>
                                      </w:rPr>
                                    </w:pPr>
                                    <w:r>
                                      <w:rPr>
                                        <w:rFonts w:cs="Times New Roman"/>
                                        <w:color w:val="000000" w:themeColor="text1"/>
                                      </w:rPr>
                                      <w:t>Agency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Straight Arrow Connector 36"/>
                              <wps:cNvCnPr/>
                              <wps:spPr>
                                <a:xfrm>
                                  <a:off x="295275" y="4914900"/>
                                  <a:ext cx="428625" cy="171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7" name="Straight Arrow Connector 37"/>
                              <wps:cNvCnPr/>
                              <wps:spPr>
                                <a:xfrm>
                                  <a:off x="295275" y="5210175"/>
                                  <a:ext cx="42862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8" name="Straight Arrow Connector 38"/>
                              <wps:cNvCnPr/>
                              <wps:spPr>
                                <a:xfrm flipV="1">
                                  <a:off x="295275" y="5314950"/>
                                  <a:ext cx="428625" cy="1809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9" name="Rounded Rectangle 39"/>
                              <wps:cNvSpPr/>
                              <wps:spPr>
                                <a:xfrm>
                                  <a:off x="0" y="385762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Rounded Rectangle 40"/>
                              <wps:cNvSpPr/>
                              <wps:spPr>
                                <a:xfrm>
                                  <a:off x="0" y="4152900"/>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Rounded Rectangle 41"/>
                              <wps:cNvSpPr/>
                              <wps:spPr>
                                <a:xfrm>
                                  <a:off x="0" y="444817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Rounded Rectangle 42"/>
                              <wps:cNvSpPr/>
                              <wps:spPr>
                                <a:xfrm>
                                  <a:off x="723900" y="4057650"/>
                                  <a:ext cx="676275" cy="43815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39D74F0" w14:textId="3D085357" w:rsidR="0099059D" w:rsidRPr="00832B82" w:rsidRDefault="0099059D" w:rsidP="006E3395">
                                    <w:pPr>
                                      <w:jc w:val="center"/>
                                      <w:rPr>
                                        <w:rFonts w:cs="Times New Roman"/>
                                        <w:color w:val="000000" w:themeColor="text1"/>
                                      </w:rPr>
                                    </w:pPr>
                                    <w:r>
                                      <w:rPr>
                                        <w:rFonts w:cs="Times New Roman"/>
                                        <w:color w:val="000000" w:themeColor="text1"/>
                                      </w:rPr>
                                      <w:t>Agency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Straight Arrow Connector 43"/>
                              <wps:cNvCnPr/>
                              <wps:spPr>
                                <a:xfrm>
                                  <a:off x="295275" y="3981450"/>
                                  <a:ext cx="428625" cy="171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4" name="Straight Arrow Connector 44"/>
                              <wps:cNvCnPr/>
                              <wps:spPr>
                                <a:xfrm>
                                  <a:off x="295275" y="4276725"/>
                                  <a:ext cx="42862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5" name="Straight Arrow Connector 45"/>
                              <wps:cNvCnPr/>
                              <wps:spPr>
                                <a:xfrm flipV="1">
                                  <a:off x="295275" y="4381500"/>
                                  <a:ext cx="428625" cy="1809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6" name="Rounded Rectangle 46"/>
                              <wps:cNvSpPr/>
                              <wps:spPr>
                                <a:xfrm>
                                  <a:off x="0" y="193357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Rounded Rectangle 47"/>
                              <wps:cNvSpPr/>
                              <wps:spPr>
                                <a:xfrm>
                                  <a:off x="0" y="2228850"/>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ounded Rectangle 48"/>
                              <wps:cNvSpPr/>
                              <wps:spPr>
                                <a:xfrm>
                                  <a:off x="0" y="252412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Rounded Rectangle 49"/>
                              <wps:cNvSpPr/>
                              <wps:spPr>
                                <a:xfrm>
                                  <a:off x="723900" y="2133600"/>
                                  <a:ext cx="676275" cy="43815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C16BF16" w14:textId="217AD402" w:rsidR="0099059D" w:rsidRPr="00832B82" w:rsidRDefault="0099059D" w:rsidP="006E3395">
                                    <w:pPr>
                                      <w:jc w:val="center"/>
                                      <w:rPr>
                                        <w:rFonts w:cs="Times New Roman"/>
                                        <w:color w:val="000000" w:themeColor="text1"/>
                                      </w:rPr>
                                    </w:pPr>
                                    <w:r>
                                      <w:rPr>
                                        <w:rFonts w:cs="Times New Roman"/>
                                        <w:color w:val="000000" w:themeColor="text1"/>
                                      </w:rPr>
                                      <w:t>Agency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Straight Arrow Connector 50"/>
                              <wps:cNvCnPr/>
                              <wps:spPr>
                                <a:xfrm>
                                  <a:off x="295275" y="2057400"/>
                                  <a:ext cx="428625" cy="171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1" name="Straight Arrow Connector 51"/>
                              <wps:cNvCnPr/>
                              <wps:spPr>
                                <a:xfrm>
                                  <a:off x="295275" y="2352675"/>
                                  <a:ext cx="42862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2" name="Straight Arrow Connector 52"/>
                              <wps:cNvCnPr/>
                              <wps:spPr>
                                <a:xfrm flipV="1">
                                  <a:off x="295275" y="2457450"/>
                                  <a:ext cx="428625" cy="1809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3" name="Rounded Rectangle 53"/>
                              <wps:cNvSpPr/>
                              <wps:spPr>
                                <a:xfrm>
                                  <a:off x="0" y="96202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Rounded Rectangle 54"/>
                              <wps:cNvSpPr/>
                              <wps:spPr>
                                <a:xfrm>
                                  <a:off x="0" y="1257300"/>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Rounded Rectangle 55"/>
                              <wps:cNvSpPr/>
                              <wps:spPr>
                                <a:xfrm>
                                  <a:off x="0" y="155257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Rounded Rectangle 56"/>
                              <wps:cNvSpPr/>
                              <wps:spPr>
                                <a:xfrm>
                                  <a:off x="723900" y="1162050"/>
                                  <a:ext cx="676275" cy="43815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EB7CCF0" w14:textId="20C97666" w:rsidR="0099059D" w:rsidRPr="00832B82" w:rsidRDefault="0099059D" w:rsidP="006E3395">
                                    <w:pPr>
                                      <w:jc w:val="center"/>
                                      <w:rPr>
                                        <w:rFonts w:cs="Times New Roman"/>
                                        <w:color w:val="000000" w:themeColor="text1"/>
                                      </w:rPr>
                                    </w:pPr>
                                    <w:r>
                                      <w:rPr>
                                        <w:rFonts w:cs="Times New Roman"/>
                                        <w:color w:val="000000" w:themeColor="text1"/>
                                      </w:rPr>
                                      <w:t>Agency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Straight Arrow Connector 57"/>
                              <wps:cNvCnPr/>
                              <wps:spPr>
                                <a:xfrm>
                                  <a:off x="295275" y="1085850"/>
                                  <a:ext cx="428625" cy="171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8" name="Straight Arrow Connector 58"/>
                              <wps:cNvCnPr/>
                              <wps:spPr>
                                <a:xfrm>
                                  <a:off x="295275" y="1381125"/>
                                  <a:ext cx="42862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9" name="Straight Arrow Connector 59"/>
                              <wps:cNvCnPr/>
                              <wps:spPr>
                                <a:xfrm flipV="1">
                                  <a:off x="295275" y="1485900"/>
                                  <a:ext cx="428625" cy="1809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60" name="Rounded Rectangle 60"/>
                              <wps:cNvSpPr/>
                              <wps:spPr>
                                <a:xfrm>
                                  <a:off x="0" y="288607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ounded Rectangle 61"/>
                              <wps:cNvSpPr/>
                              <wps:spPr>
                                <a:xfrm>
                                  <a:off x="0" y="3181350"/>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ounded Rectangle 62"/>
                              <wps:cNvSpPr/>
                              <wps:spPr>
                                <a:xfrm>
                                  <a:off x="0" y="3476625"/>
                                  <a:ext cx="295275" cy="228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Rounded Rectangle 63"/>
                              <wps:cNvSpPr/>
                              <wps:spPr>
                                <a:xfrm>
                                  <a:off x="723900" y="3086100"/>
                                  <a:ext cx="676275" cy="43815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1D73364" w14:textId="056DDAC4" w:rsidR="0099059D" w:rsidRPr="00832B82" w:rsidRDefault="0099059D" w:rsidP="006E3395">
                                    <w:pPr>
                                      <w:jc w:val="center"/>
                                      <w:rPr>
                                        <w:rFonts w:cs="Times New Roman"/>
                                        <w:color w:val="000000" w:themeColor="text1"/>
                                      </w:rPr>
                                    </w:pPr>
                                    <w:r>
                                      <w:rPr>
                                        <w:rFonts w:cs="Times New Roman"/>
                                        <w:color w:val="000000" w:themeColor="text1"/>
                                      </w:rPr>
                                      <w:t>Agency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Straight Arrow Connector 64"/>
                              <wps:cNvCnPr/>
                              <wps:spPr>
                                <a:xfrm>
                                  <a:off x="295275" y="3009900"/>
                                  <a:ext cx="428625" cy="171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65" name="Straight Arrow Connector 65"/>
                              <wps:cNvCnPr/>
                              <wps:spPr>
                                <a:xfrm>
                                  <a:off x="295275" y="3305175"/>
                                  <a:ext cx="42862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66" name="Straight Arrow Connector 66"/>
                              <wps:cNvCnPr/>
                              <wps:spPr>
                                <a:xfrm flipV="1">
                                  <a:off x="295275" y="3409950"/>
                                  <a:ext cx="428625" cy="1809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cNvPr id="17" name="Group 17"/>
                            <wpg:cNvGrpSpPr/>
                            <wpg:grpSpPr>
                              <a:xfrm>
                                <a:off x="0" y="0"/>
                                <a:ext cx="6362700" cy="457200"/>
                                <a:chOff x="0" y="0"/>
                                <a:chExt cx="6362700" cy="457200"/>
                              </a:xfrm>
                            </wpg:grpSpPr>
                            <wps:wsp>
                              <wps:cNvPr id="14" name="Text Box 14"/>
                              <wps:cNvSpPr txBox="1"/>
                              <wps:spPr>
                                <a:xfrm>
                                  <a:off x="0" y="0"/>
                                  <a:ext cx="781050" cy="457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6EAFCD9" w14:textId="77777777" w:rsidR="0099059D" w:rsidRPr="00832B82" w:rsidRDefault="0099059D" w:rsidP="006E3395">
                                    <w:pPr>
                                      <w:pBdr>
                                        <w:bottom w:val="single" w:sz="4" w:space="1" w:color="auto"/>
                                      </w:pBdr>
                                      <w:jc w:val="center"/>
                                      <w:rPr>
                                        <w:rFonts w:cs="Times New Roman"/>
                                      </w:rPr>
                                    </w:pPr>
                                    <w:r w:rsidRPr="00832B82">
                                      <w:rPr>
                                        <w:rFonts w:cs="Times New Roman"/>
                                      </w:rPr>
                                      <w:t>Data Collection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Text Box 8"/>
                              <wps:cNvSpPr txBox="1"/>
                              <wps:spPr>
                                <a:xfrm>
                                  <a:off x="895350" y="0"/>
                                  <a:ext cx="781050" cy="457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6BCA7AB" w14:textId="77777777" w:rsidR="0099059D" w:rsidRPr="00832B82" w:rsidRDefault="0099059D" w:rsidP="006E3395">
                                    <w:pPr>
                                      <w:pBdr>
                                        <w:bottom w:val="single" w:sz="4" w:space="1" w:color="auto"/>
                                      </w:pBdr>
                                      <w:jc w:val="center"/>
                                      <w:rPr>
                                        <w:rFonts w:cs="Times New Roman"/>
                                      </w:rPr>
                                    </w:pPr>
                                    <w:r w:rsidRPr="00832B82">
                                      <w:rPr>
                                        <w:rFonts w:cs="Times New Roman"/>
                                      </w:rPr>
                                      <w:t>Agency Database</w:t>
                                    </w:r>
                                    <w:r>
                                      <w:rPr>
                                        <w:rFonts w:cs="Times New Roman"/>
                                        <w:vertAlign w:val="superscript"/>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Text Box 11"/>
                              <wps:cNvSpPr txBox="1"/>
                              <wps:spPr>
                                <a:xfrm>
                                  <a:off x="3943350" y="0"/>
                                  <a:ext cx="781050" cy="457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0A6FDF4" w14:textId="77777777" w:rsidR="0099059D" w:rsidRPr="00832B82" w:rsidRDefault="0099059D" w:rsidP="006E3395">
                                    <w:pPr>
                                      <w:pBdr>
                                        <w:bottom w:val="single" w:sz="4" w:space="1" w:color="auto"/>
                                      </w:pBdr>
                                      <w:jc w:val="center"/>
                                      <w:rPr>
                                        <w:rFonts w:cs="Times New Roman"/>
                                      </w:rPr>
                                    </w:pPr>
                                    <w:r w:rsidRPr="00832B82">
                                      <w:rPr>
                                        <w:rFonts w:cs="Times New Roman"/>
                                      </w:rPr>
                                      <w:t>MRV Portal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Text Box 12"/>
                              <wps:cNvSpPr txBox="1"/>
                              <wps:spPr>
                                <a:xfrm>
                                  <a:off x="2552700" y="0"/>
                                  <a:ext cx="781050" cy="457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39CE5DC" w14:textId="77777777" w:rsidR="0099059D" w:rsidRPr="00832B82" w:rsidRDefault="0099059D" w:rsidP="006E3395">
                                    <w:pPr>
                                      <w:pBdr>
                                        <w:bottom w:val="single" w:sz="4" w:space="1" w:color="auto"/>
                                      </w:pBdr>
                                      <w:jc w:val="center"/>
                                      <w:rPr>
                                        <w:rFonts w:cs="Times New Roman"/>
                                      </w:rPr>
                                    </w:pPr>
                                    <w:r w:rsidRPr="00832B82">
                                      <w:rPr>
                                        <w:rFonts w:cs="Times New Roman"/>
                                      </w:rPr>
                                      <w:t>Sectoral Node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8" name="Text Box 78"/>
                              <wps:cNvSpPr txBox="1"/>
                              <wps:spPr>
                                <a:xfrm>
                                  <a:off x="5581650" y="0"/>
                                  <a:ext cx="781050" cy="457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F0A1984" w14:textId="77777777" w:rsidR="0099059D" w:rsidRPr="00832B82" w:rsidRDefault="0099059D" w:rsidP="006E3395">
                                    <w:pPr>
                                      <w:pBdr>
                                        <w:bottom w:val="single" w:sz="4" w:space="1" w:color="auto"/>
                                      </w:pBdr>
                                      <w:jc w:val="center"/>
                                      <w:rPr>
                                        <w:rFonts w:cs="Times New Roman"/>
                                      </w:rPr>
                                    </w:pPr>
                                    <w:r>
                                      <w:rPr>
                                        <w:rFonts w:cs="Times New Roman"/>
                                      </w:rPr>
                                      <w:t>Data Users</w:t>
                                    </w:r>
                                    <w:r w:rsidRPr="00741DCC">
                                      <w:rPr>
                                        <w:rFonts w:cs="Times New Roman"/>
                                        <w:vertAlign w:val="superscript"/>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0" name="Group 20"/>
                            <wpg:cNvGrpSpPr/>
                            <wpg:grpSpPr>
                              <a:xfrm>
                                <a:off x="1628775" y="971550"/>
                                <a:ext cx="923925" cy="4791075"/>
                                <a:chOff x="0" y="0"/>
                                <a:chExt cx="923925" cy="4791075"/>
                              </a:xfrm>
                            </wpg:grpSpPr>
                            <wps:wsp>
                              <wps:cNvPr id="79" name="Straight Arrow Connector 79"/>
                              <wps:cNvCnPr/>
                              <wps:spPr>
                                <a:xfrm>
                                  <a:off x="0" y="0"/>
                                  <a:ext cx="866775" cy="342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0" name="Straight Arrow Connector 80"/>
                              <wps:cNvCnPr/>
                              <wps:spPr>
                                <a:xfrm flipV="1">
                                  <a:off x="0" y="495300"/>
                                  <a:ext cx="800100" cy="4667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1" name="Straight Arrow Connector 81"/>
                              <wps:cNvCnPr/>
                              <wps:spPr>
                                <a:xfrm>
                                  <a:off x="0" y="1933575"/>
                                  <a:ext cx="800100" cy="4000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2" name="Straight Arrow Connector 82"/>
                              <wps:cNvCnPr/>
                              <wps:spPr>
                                <a:xfrm flipV="1">
                                  <a:off x="0" y="2466975"/>
                                  <a:ext cx="866775" cy="4191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3" name="Straight Arrow Connector 83"/>
                              <wps:cNvCnPr/>
                              <wps:spPr>
                                <a:xfrm>
                                  <a:off x="0" y="3857625"/>
                                  <a:ext cx="866775" cy="3429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4" name="Straight Arrow Connector 84"/>
                              <wps:cNvCnPr/>
                              <wps:spPr>
                                <a:xfrm flipV="1">
                                  <a:off x="0" y="4429125"/>
                                  <a:ext cx="866775" cy="3619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5" name="Straight Arrow Connector 85"/>
                              <wps:cNvCnPr/>
                              <wps:spPr>
                                <a:xfrm>
                                  <a:off x="0" y="962025"/>
                                  <a:ext cx="923925" cy="1257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6" name="Straight Arrow Connector 86"/>
                              <wps:cNvCnPr/>
                              <wps:spPr>
                                <a:xfrm flipV="1">
                                  <a:off x="0" y="609600"/>
                                  <a:ext cx="923925" cy="3248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cNvPr id="18" name="Group 18"/>
                            <wpg:cNvGrpSpPr/>
                            <wpg:grpSpPr>
                              <a:xfrm>
                                <a:off x="2428875" y="1190625"/>
                                <a:ext cx="3943350" cy="4324350"/>
                                <a:chOff x="0" y="0"/>
                                <a:chExt cx="3943350" cy="4324350"/>
                              </a:xfrm>
                            </wpg:grpSpPr>
                            <wps:wsp>
                              <wps:cNvPr id="27" name="Oval 27"/>
                              <wps:cNvSpPr/>
                              <wps:spPr>
                                <a:xfrm>
                                  <a:off x="0" y="0"/>
                                  <a:ext cx="1000125" cy="495300"/>
                                </a:xfrm>
                                <a:prstGeom prst="ellipse">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D3C42CC" w14:textId="77777777" w:rsidR="0099059D" w:rsidRPr="00832B82" w:rsidRDefault="0099059D" w:rsidP="006E3395">
                                    <w:pPr>
                                      <w:jc w:val="center"/>
                                      <w:rPr>
                                        <w:rFonts w:cs="Times New Roman"/>
                                        <w:color w:val="000000" w:themeColor="text1"/>
                                      </w:rPr>
                                    </w:pPr>
                                    <w:r w:rsidRPr="00832B82">
                                      <w:rPr>
                                        <w:rFonts w:cs="Times New Roman"/>
                                        <w:color w:val="000000" w:themeColor="text1"/>
                                      </w:rPr>
                                      <w:t>AFOLU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 name="Oval 76"/>
                              <wps:cNvSpPr/>
                              <wps:spPr>
                                <a:xfrm>
                                  <a:off x="0" y="1895475"/>
                                  <a:ext cx="1000125" cy="495300"/>
                                </a:xfrm>
                                <a:prstGeom prst="ellipse">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63FC25D" w14:textId="77777777" w:rsidR="0099059D" w:rsidRPr="00832B82" w:rsidRDefault="0099059D" w:rsidP="006E3395">
                                    <w:pPr>
                                      <w:jc w:val="center"/>
                                      <w:rPr>
                                        <w:rFonts w:cs="Times New Roman"/>
                                        <w:color w:val="000000" w:themeColor="text1"/>
                                      </w:rPr>
                                    </w:pPr>
                                    <w:r>
                                      <w:rPr>
                                        <w:rFonts w:cs="Times New Roman"/>
                                        <w:color w:val="000000" w:themeColor="text1"/>
                                      </w:rPr>
                                      <w:t>Energy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 name="Oval 77"/>
                              <wps:cNvSpPr/>
                              <wps:spPr>
                                <a:xfrm>
                                  <a:off x="0" y="3829050"/>
                                  <a:ext cx="1000125" cy="495300"/>
                                </a:xfrm>
                                <a:prstGeom prst="ellipse">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24A8D79" w14:textId="6BBC282F" w:rsidR="0099059D" w:rsidRPr="00832B82" w:rsidRDefault="0099059D" w:rsidP="006E3395">
                                    <w:pPr>
                                      <w:jc w:val="center"/>
                                      <w:rPr>
                                        <w:rFonts w:cs="Times New Roman"/>
                                        <w:color w:val="000000" w:themeColor="text1"/>
                                      </w:rPr>
                                    </w:pPr>
                                    <w:r>
                                      <w:rPr>
                                        <w:rFonts w:cs="Times New Roman"/>
                                        <w:color w:val="000000" w:themeColor="text1"/>
                                      </w:rPr>
                                      <w:t>Others.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 name="Oval 87"/>
                              <wps:cNvSpPr/>
                              <wps:spPr>
                                <a:xfrm>
                                  <a:off x="1362075" y="1590675"/>
                                  <a:ext cx="1104900" cy="1057275"/>
                                </a:xfrm>
                                <a:prstGeom prst="ellipse">
                                  <a:avLst/>
                                </a:prstGeom>
                                <a:solidFill>
                                  <a:schemeClr val="accent1">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AD42AD0" w14:textId="77777777" w:rsidR="0099059D" w:rsidRPr="009466B7" w:rsidRDefault="0099059D" w:rsidP="006E3395">
                                    <w:pPr>
                                      <w:jc w:val="center"/>
                                      <w:rPr>
                                        <w:rFonts w:cs="Times New Roman"/>
                                        <w:color w:val="000000" w:themeColor="text1"/>
                                      </w:rPr>
                                    </w:pPr>
                                    <w:r w:rsidRPr="009466B7">
                                      <w:rPr>
                                        <w:rFonts w:cs="Times New Roman"/>
                                        <w:color w:val="000000" w:themeColor="text1"/>
                                      </w:rPr>
                                      <w:t>MRV Portal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 name="Rounded Rectangle 88"/>
                              <wps:cNvSpPr/>
                              <wps:spPr>
                                <a:xfrm>
                                  <a:off x="3152775" y="485775"/>
                                  <a:ext cx="781050" cy="2857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C01D101" w14:textId="77777777" w:rsidR="0099059D" w:rsidRPr="006C52D0" w:rsidRDefault="0099059D" w:rsidP="006E3395">
                                    <w:pPr>
                                      <w:jc w:val="center"/>
                                      <w:rPr>
                                        <w:rFonts w:cs="Times New Roman"/>
                                        <w:color w:val="000000" w:themeColor="text1"/>
                                      </w:rPr>
                                    </w:pPr>
                                    <w:r w:rsidRPr="006C52D0">
                                      <w:rPr>
                                        <w:rFonts w:cs="Times New Roman"/>
                                        <w:color w:val="000000" w:themeColor="text1"/>
                                      </w:rPr>
                                      <w:t>Public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0" name="Straight Connector 90"/>
                              <wps:cNvCnPr/>
                              <wps:spPr>
                                <a:xfrm>
                                  <a:off x="904875" y="419100"/>
                                  <a:ext cx="666750" cy="1295400"/>
                                </a:xfrm>
                                <a:prstGeom prst="line">
                                  <a:avLst/>
                                </a:prstGeom>
                                <a:ln>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91" name="Straight Connector 91"/>
                              <wps:cNvCnPr/>
                              <wps:spPr>
                                <a:xfrm flipV="1">
                                  <a:off x="857250" y="2524125"/>
                                  <a:ext cx="714375" cy="1332865"/>
                                </a:xfrm>
                                <a:prstGeom prst="line">
                                  <a:avLst/>
                                </a:prstGeom>
                                <a:ln>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92" name="Straight Connector 92"/>
                              <wps:cNvCnPr/>
                              <wps:spPr>
                                <a:xfrm>
                                  <a:off x="1009650" y="2162175"/>
                                  <a:ext cx="352425" cy="0"/>
                                </a:xfrm>
                                <a:prstGeom prst="line">
                                  <a:avLst/>
                                </a:prstGeom>
                                <a:ln>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94" name="Rounded Rectangle 94"/>
                              <wps:cNvSpPr/>
                              <wps:spPr>
                                <a:xfrm>
                                  <a:off x="3162300" y="1809731"/>
                                  <a:ext cx="781050" cy="46672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FC684A7" w14:textId="77777777" w:rsidR="0099059D" w:rsidRPr="006C52D0" w:rsidRDefault="0099059D" w:rsidP="006E3395">
                                    <w:pPr>
                                      <w:jc w:val="center"/>
                                      <w:rPr>
                                        <w:rFonts w:cs="Times New Roman"/>
                                        <w:color w:val="000000" w:themeColor="text1"/>
                                      </w:rPr>
                                    </w:pPr>
                                    <w:r>
                                      <w:rPr>
                                        <w:rFonts w:cs="Times New Roman"/>
                                        <w:color w:val="000000" w:themeColor="text1"/>
                                      </w:rPr>
                                      <w:t>Research Inst.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5" name="Rounded Rectangle 95"/>
                              <wps:cNvSpPr/>
                              <wps:spPr>
                                <a:xfrm>
                                  <a:off x="3162300" y="1057280"/>
                                  <a:ext cx="781050" cy="46672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BDADE2F" w14:textId="77777777" w:rsidR="0099059D" w:rsidRPr="006C52D0" w:rsidRDefault="0099059D" w:rsidP="006E3395">
                                    <w:pPr>
                                      <w:jc w:val="center"/>
                                      <w:rPr>
                                        <w:rFonts w:cs="Times New Roman"/>
                                        <w:color w:val="000000" w:themeColor="text1"/>
                                      </w:rPr>
                                    </w:pPr>
                                    <w:r>
                                      <w:rPr>
                                        <w:rFonts w:cs="Times New Roman"/>
                                        <w:color w:val="000000" w:themeColor="text1"/>
                                      </w:rPr>
                                      <w:t>Gov. Agencies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 name="Rounded Rectangle 96"/>
                              <wps:cNvSpPr/>
                              <wps:spPr>
                                <a:xfrm>
                                  <a:off x="3152775" y="3305175"/>
                                  <a:ext cx="781050" cy="46672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5F026218" w14:textId="77777777" w:rsidR="0099059D" w:rsidRPr="006C52D0" w:rsidRDefault="0099059D" w:rsidP="006E3395">
                                    <w:pPr>
                                      <w:jc w:val="center"/>
                                      <w:rPr>
                                        <w:rFonts w:cs="Times New Roman"/>
                                        <w:color w:val="000000" w:themeColor="text1"/>
                                      </w:rPr>
                                    </w:pPr>
                                    <w:r>
                                      <w:rPr>
                                        <w:rFonts w:cs="Times New Roman"/>
                                        <w:color w:val="000000" w:themeColor="text1"/>
                                      </w:rPr>
                                      <w:t>Int’l. Agencies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 name="Rounded Rectangle 97"/>
                              <wps:cNvSpPr/>
                              <wps:spPr>
                                <a:xfrm>
                                  <a:off x="3152775" y="2676525"/>
                                  <a:ext cx="781050" cy="46672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5C712267" w14:textId="77777777" w:rsidR="0099059D" w:rsidRPr="006C52D0" w:rsidRDefault="0099059D" w:rsidP="006E3395">
                                    <w:pPr>
                                      <w:jc w:val="center"/>
                                      <w:rPr>
                                        <w:rFonts w:cs="Times New Roman"/>
                                        <w:color w:val="000000" w:themeColor="text1"/>
                                      </w:rPr>
                                    </w:pPr>
                                    <w:r>
                                      <w:rPr>
                                        <w:rFonts w:cs="Times New Roman"/>
                                        <w:color w:val="000000" w:themeColor="text1"/>
                                      </w:rPr>
                                      <w:t>CSOs/ NGOs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 name="Straight Connector 99"/>
                              <wps:cNvCnPr/>
                              <wps:spPr>
                                <a:xfrm flipV="1">
                                  <a:off x="2295525" y="628650"/>
                                  <a:ext cx="857250" cy="1095375"/>
                                </a:xfrm>
                                <a:prstGeom prst="line">
                                  <a:avLst/>
                                </a:prstGeom>
                                <a:ln>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100" name="Straight Connector 100"/>
                              <wps:cNvCnPr>
                                <a:endCxn id="95" idx="1"/>
                              </wps:cNvCnPr>
                              <wps:spPr>
                                <a:xfrm flipV="1">
                                  <a:off x="2466975" y="1290609"/>
                                  <a:ext cx="695325" cy="690550"/>
                                </a:xfrm>
                                <a:prstGeom prst="line">
                                  <a:avLst/>
                                </a:prstGeom>
                                <a:ln>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101" name="Straight Connector 101"/>
                              <wps:cNvCnPr>
                                <a:endCxn id="94" idx="1"/>
                              </wps:cNvCnPr>
                              <wps:spPr>
                                <a:xfrm flipV="1">
                                  <a:off x="2466975" y="2043052"/>
                                  <a:ext cx="695325" cy="128604"/>
                                </a:xfrm>
                                <a:prstGeom prst="line">
                                  <a:avLst/>
                                </a:prstGeom>
                                <a:ln>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102" name="Straight Connector 102"/>
                              <wps:cNvCnPr/>
                              <wps:spPr>
                                <a:xfrm>
                                  <a:off x="2409825" y="2381250"/>
                                  <a:ext cx="742950" cy="514350"/>
                                </a:xfrm>
                                <a:prstGeom prst="line">
                                  <a:avLst/>
                                </a:prstGeom>
                                <a:ln>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103" name="Straight Connector 103"/>
                              <wps:cNvCnPr/>
                              <wps:spPr>
                                <a:xfrm>
                                  <a:off x="2295525" y="2514600"/>
                                  <a:ext cx="857250" cy="1009650"/>
                                </a:xfrm>
                                <a:prstGeom prst="line">
                                  <a:avLst/>
                                </a:prstGeom>
                                <a:ln>
                                  <a:prstDash val="lgDash"/>
                                  <a:tailEnd type="triangle"/>
                                </a:ln>
                              </wps:spPr>
                              <wps:style>
                                <a:lnRef idx="1">
                                  <a:schemeClr val="accent1"/>
                                </a:lnRef>
                                <a:fillRef idx="0">
                                  <a:schemeClr val="accent1"/>
                                </a:fillRef>
                                <a:effectRef idx="0">
                                  <a:schemeClr val="accent1"/>
                                </a:effectRef>
                                <a:fontRef idx="minor">
                                  <a:schemeClr val="tx1"/>
                                </a:fontRef>
                              </wps:style>
                              <wps:bodyPr/>
                            </wps:wsp>
                          </wpg:grpSp>
                          <wpg:grpSp>
                            <wpg:cNvPr id="16" name="Group 16"/>
                            <wpg:cNvGrpSpPr/>
                            <wpg:grpSpPr>
                              <a:xfrm>
                                <a:off x="4326255" y="5474382"/>
                                <a:ext cx="1834515" cy="619125"/>
                                <a:chOff x="-883920" y="-31068"/>
                                <a:chExt cx="1834515" cy="619125"/>
                              </a:xfrm>
                            </wpg:grpSpPr>
                            <wps:wsp>
                              <wps:cNvPr id="293" name="Straight Connector 293"/>
                              <wps:cNvCnPr/>
                              <wps:spPr>
                                <a:xfrm flipV="1">
                                  <a:off x="-876300" y="293364"/>
                                  <a:ext cx="323850" cy="9525"/>
                                </a:xfrm>
                                <a:prstGeom prst="line">
                                  <a:avLst/>
                                </a:prstGeom>
                                <a:ln>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294" name="Straight Arrow Connector 294"/>
                              <wps:cNvCnPr/>
                              <wps:spPr>
                                <a:xfrm>
                                  <a:off x="-883920" y="87626"/>
                                  <a:ext cx="3238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95" name="Text Box 2"/>
                              <wps:cNvSpPr txBox="1">
                                <a:spLocks noChangeArrowheads="1"/>
                              </wps:cNvSpPr>
                              <wps:spPr bwMode="auto">
                                <a:xfrm>
                                  <a:off x="-426720" y="-31068"/>
                                  <a:ext cx="1377315" cy="619125"/>
                                </a:xfrm>
                                <a:prstGeom prst="rect">
                                  <a:avLst/>
                                </a:prstGeom>
                                <a:solidFill>
                                  <a:srgbClr val="FFFFFF"/>
                                </a:solidFill>
                                <a:ln w="9525">
                                  <a:noFill/>
                                  <a:miter lim="800000"/>
                                  <a:headEnd/>
                                  <a:tailEnd/>
                                </a:ln>
                              </wps:spPr>
                              <wps:txbx>
                                <w:txbxContent>
                                  <w:p w14:paraId="206029CE" w14:textId="3FCC0EE7" w:rsidR="0099059D" w:rsidRPr="00E67337" w:rsidRDefault="0099059D" w:rsidP="0069547C">
                                    <w:pPr>
                                      <w:ind w:left="-86"/>
                                      <w:rPr>
                                        <w:rFonts w:cs="Times New Roman"/>
                                      </w:rPr>
                                    </w:pPr>
                                    <w:r>
                                      <w:rPr>
                                        <w:rFonts w:cs="Times New Roman"/>
                                      </w:rPr>
                                      <w:t>Data providers</w:t>
                                    </w:r>
                                  </w:p>
                                  <w:p w14:paraId="24308F4A" w14:textId="71CD7A21" w:rsidR="0099059D" w:rsidRPr="00E67337" w:rsidRDefault="0099059D" w:rsidP="0069547C">
                                    <w:pPr>
                                      <w:ind w:left="-86"/>
                                      <w:rPr>
                                        <w:rFonts w:cs="Times New Roman"/>
                                      </w:rPr>
                                    </w:pPr>
                                    <w:r>
                                      <w:rPr>
                                        <w:rFonts w:cs="Times New Roman"/>
                                      </w:rPr>
                                      <w:t>data dissemination</w:t>
                                    </w:r>
                                  </w:p>
                                </w:txbxContent>
                              </wps:txbx>
                              <wps:bodyPr rot="0" vert="horz" wrap="square" lIns="91440" tIns="45720" rIns="91440" bIns="45720" anchor="t" anchorCtr="0">
                                <a:noAutofit/>
                              </wps:bodyPr>
                            </wps:wsp>
                          </wpg:grpSp>
                        </wpg:grpSp>
                        <wps:wsp>
                          <wps:cNvPr id="307" name="Text Box 2"/>
                          <wps:cNvSpPr txBox="1">
                            <a:spLocks noChangeArrowheads="1"/>
                          </wps:cNvSpPr>
                          <wps:spPr bwMode="auto">
                            <a:xfrm>
                              <a:off x="-1" y="0"/>
                              <a:ext cx="6429375" cy="337847"/>
                            </a:xfrm>
                            <a:prstGeom prst="rect">
                              <a:avLst/>
                            </a:prstGeom>
                            <a:solidFill>
                              <a:srgbClr val="FFFFFF"/>
                            </a:solidFill>
                            <a:ln w="9525">
                              <a:noFill/>
                              <a:miter lim="800000"/>
                              <a:headEnd/>
                              <a:tailEnd/>
                            </a:ln>
                          </wps:spPr>
                          <wps:txbx>
                            <w:txbxContent>
                              <w:p w14:paraId="74ACA7B2" w14:textId="77777777" w:rsidR="0099059D" w:rsidRDefault="0099059D" w:rsidP="009D16C4">
                                <w:pPr>
                                  <w:jc w:val="center"/>
                                </w:pPr>
                                <w:r w:rsidRPr="00793045">
                                  <w:rPr>
                                    <w:sz w:val="22"/>
                                  </w:rPr>
                                  <w:t xml:space="preserve">Figure </w:t>
                                </w:r>
                                <w:r>
                                  <w:rPr>
                                    <w:sz w:val="22"/>
                                  </w:rPr>
                                  <w:t>9.  Simplified Diagram of Preliminary Structure for Sharing ETF-related Measurement D</w:t>
                                </w:r>
                                <w:r w:rsidRPr="00793045">
                                  <w:rPr>
                                    <w:sz w:val="22"/>
                                  </w:rPr>
                                  <w:t>ata</w:t>
                                </w:r>
                              </w:p>
                            </w:txbxContent>
                          </wps:txbx>
                          <wps:bodyPr rot="0" vert="horz" wrap="square" lIns="91440" tIns="45720" rIns="91440" bIns="45720" anchor="t" anchorCtr="0">
                            <a:spAutoFit/>
                          </wps:bodyPr>
                        </wps:wsp>
                      </wpg:grpSp>
                      <wps:wsp>
                        <wps:cNvPr id="28" name="Text Box 2"/>
                        <wps:cNvSpPr txBox="1">
                          <a:spLocks noChangeArrowheads="1"/>
                        </wps:cNvSpPr>
                        <wps:spPr bwMode="auto">
                          <a:xfrm>
                            <a:off x="114300" y="6534150"/>
                            <a:ext cx="5924550" cy="1359011"/>
                          </a:xfrm>
                          <a:prstGeom prst="rect">
                            <a:avLst/>
                          </a:prstGeom>
                          <a:solidFill>
                            <a:srgbClr val="FFFFFF"/>
                          </a:solidFill>
                          <a:ln w="9525">
                            <a:noFill/>
                            <a:miter lim="800000"/>
                            <a:headEnd/>
                            <a:tailEnd/>
                          </a:ln>
                        </wps:spPr>
                        <wps:txbx>
                          <w:txbxContent>
                            <w:p w14:paraId="06F6FD0A" w14:textId="77777777" w:rsidR="0099059D" w:rsidRPr="0069547C" w:rsidRDefault="0099059D" w:rsidP="00793045">
                              <w:pPr>
                                <w:keepLines/>
                                <w:tabs>
                                  <w:tab w:val="left" w:pos="2880"/>
                                </w:tabs>
                                <w:rPr>
                                  <w:rFonts w:cs="Times New Roman"/>
                                  <w:u w:val="single"/>
                                </w:rPr>
                              </w:pPr>
                              <w:r>
                                <w:rPr>
                                  <w:rFonts w:cs="Times New Roman"/>
                                  <w:u w:val="single"/>
                                </w:rPr>
                                <w:tab/>
                              </w:r>
                            </w:p>
                            <w:p w14:paraId="4C5615E4" w14:textId="77777777" w:rsidR="0099059D" w:rsidRPr="0069547C" w:rsidRDefault="0099059D" w:rsidP="00793045">
                              <w:pPr>
                                <w:keepLines/>
                                <w:rPr>
                                  <w:rFonts w:cs="Times New Roman"/>
                                  <w:sz w:val="20"/>
                                  <w:szCs w:val="20"/>
                                </w:rPr>
                              </w:pPr>
                              <w:r w:rsidRPr="0069547C">
                                <w:rPr>
                                  <w:rFonts w:cs="Times New Roman"/>
                                  <w:sz w:val="20"/>
                                  <w:szCs w:val="20"/>
                                  <w:vertAlign w:val="superscript"/>
                                </w:rPr>
                                <w:t>a</w:t>
                              </w:r>
                              <w:r w:rsidRPr="0069547C">
                                <w:rPr>
                                  <w:rFonts w:cs="Times New Roman"/>
                                  <w:sz w:val="20"/>
                                  <w:szCs w:val="20"/>
                                </w:rPr>
                                <w:t xml:space="preserve"> This diagram simplifies the multi-layered database structure that exists in many agencies.  Most agencies have databases with at least two levels:  one that is publicly inaccessible and one that is publicly accessible (a periodic mirror of a restricted subset of the non-public data).</w:t>
                              </w:r>
                            </w:p>
                            <w:p w14:paraId="1D929A95" w14:textId="77777777" w:rsidR="0099059D" w:rsidRDefault="0099059D" w:rsidP="00793045">
                              <w:r w:rsidRPr="0069547C">
                                <w:rPr>
                                  <w:rFonts w:cs="Times New Roman"/>
                                  <w:sz w:val="20"/>
                                  <w:szCs w:val="20"/>
                                  <w:vertAlign w:val="superscript"/>
                                </w:rPr>
                                <w:t>b</w:t>
                              </w:r>
                              <w:r w:rsidRPr="0069547C">
                                <w:rPr>
                                  <w:rFonts w:cs="Times New Roman"/>
                                  <w:sz w:val="20"/>
                                  <w:szCs w:val="20"/>
                                </w:rPr>
                                <w:t xml:space="preserve"> For clarity, this diagram omits the dashed lines connecting data users to the sectoral nodes and some publicly accessible agency data.  It is anticipated that data users will be able to access the sectoral nodes directly or via the MRV portal.  Likewise, some agencies’ websites will continue to allow direct public access to some data.</w:t>
                              </w:r>
                            </w:p>
                          </w:txbxContent>
                        </wps:txbx>
                        <wps:bodyPr rot="0" vert="horz" wrap="square" lIns="91440" tIns="45720" rIns="91440" bIns="45720" anchor="t" anchorCtr="0">
                          <a:spAutoFit/>
                        </wps:bodyPr>
                      </wps:wsp>
                    </wpg:wgp>
                  </a:graphicData>
                </a:graphic>
              </wp:inline>
            </w:drawing>
          </mc:Choice>
          <mc:Fallback>
            <w:pict>
              <v:group w14:anchorId="4221F108" id="Group 288" o:spid="_x0000_s1047" style="width:506.25pt;height:621.45pt;mso-position-horizontal-relative:char;mso-position-vertical-relative:line" coordorigin="" coordsize="64293,78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">
                <v:group id="Group 26" o:spid="_x0000_s1048" style="position:absolute;width:64293;height:65055" coordorigin="" coordsize="64293,6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group id="Group 21" o:spid="_x0000_s1049" style="position:absolute;left:95;top:3429;width:63722;height:61626" coordsize="63722,61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group id="Group 19" o:spid="_x0000_s1050" style="position:absolute;left:2286;top:5524;width:14636;height:56102" coordsize="14636,56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oundrect id="Rounded Rectangle 15" o:spid="_x0000_s1051" style="position:absolute;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" fillcolor="#4472c4 [3204]" strokecolor="#1f3763 [1604]" strokeweight="1pt">
                        <v:stroke joinstyle="miter"/>
                      </v:roundrect>
                      <v:roundrect id="Rounded Rectangle 13" o:spid="_x0000_s1052" style="position:absolute;top:2952;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" fillcolor="#4472c4 [3204]" strokecolor="#1f3763 [1604]" strokeweight="1pt">
                        <v:stroke joinstyle="miter"/>
                      </v:roundrect>
                      <v:roundrect id="Rounded Rectangle 10" o:spid="_x0000_s1053" style="position:absolute;top:5905;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" fillcolor="#4472c4 [3204]" strokecolor="#1f3763 [1604]" strokeweight="1pt">
                        <v:stroke joinstyle="miter"/>
                      </v:roundrect>
                      <v:roundrect id="Rounded Rectangle 25" o:spid="_x0000_s1054" style="position:absolute;left:7238;top:2000;width:7398;height:43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" fillcolor="#8eaadb [1940]" strokecolor="#1f3763 [1604]" strokeweight="1pt">
                        <v:stroke joinstyle="miter"/>
                        <v:textbox>
                          <w:txbxContent>
                            <w:p w14:paraId="0B2ED32C" w14:textId="6B991505" w:rsidR="0099059D" w:rsidRPr="00832B82" w:rsidRDefault="0099059D" w:rsidP="00A53713">
                              <w:pPr>
                                <w:rPr>
                                  <w:rFonts w:cs="Times New Roman"/>
                                  <w:color w:val="000000" w:themeColor="text1"/>
                                </w:rPr>
                              </w:pPr>
                              <w:r>
                                <w:rPr>
                                  <w:rFonts w:cs="Times New Roman"/>
                                  <w:color w:val="000000" w:themeColor="text1"/>
                                </w:rPr>
                                <w:t xml:space="preserve">National </w:t>
                              </w:r>
                            </w:p>
                          </w:txbxContent>
                        </v:textbox>
                      </v:roundrect>
                      <v:shape id="Straight Arrow Connector 29" o:spid="_x0000_s1055" type="#_x0000_t32" style="position:absolute;left:2952;top:1238;width:4287;height:171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" strokecolor="#4472c4 [3204]" strokeweight=".5pt">
                        <v:stroke endarrow="block" joinstyle="miter"/>
                      </v:shape>
                      <v:shape id="Straight Arrow Connector 30" o:spid="_x0000_s1056" type="#_x0000_t32" style="position:absolute;left:2952;top:4191;width:42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" strokecolor="#4472c4 [3204]" strokeweight=".5pt">
                        <v:stroke endarrow="block" joinstyle="miter"/>
                      </v:shape>
                      <v:shape id="Straight Arrow Connector 7" o:spid="_x0000_s1057" type="#_x0000_t32" style="position:absolute;left:2952;top:5238;width:4287;height:181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" strokecolor="#4472c4 [3204]" strokeweight=".5pt">
                        <v:stroke endarrow="block" joinstyle="miter"/>
                      </v:shape>
                      <v:roundrect id="Rounded Rectangle 32" o:spid="_x0000_s1058" style="position:absolute;top:47910;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" fillcolor="#4472c4 [3204]" strokecolor="#1f3763 [1604]" strokeweight="1pt">
                        <v:stroke joinstyle="miter"/>
                      </v:roundrect>
                      <v:roundrect id="Rounded Rectangle 33" o:spid="_x0000_s1059" style="position:absolute;top:50863;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" fillcolor="#4472c4 [3204]" strokecolor="#1f3763 [1604]" strokeweight="1pt">
                        <v:stroke joinstyle="miter"/>
                      </v:roundrect>
                      <v:roundrect id="Rounded Rectangle 34" o:spid="_x0000_s1060" style="position:absolute;top:53816;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" fillcolor="#4472c4 [3204]" strokecolor="#1f3763 [1604]" strokeweight="1pt">
                        <v:stroke joinstyle="miter"/>
                      </v:roundrect>
                      <v:roundrect id="Rounded Rectangle 35" o:spid="_x0000_s1061" style="position:absolute;left:7239;top:49911;width:6762;height:43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" fillcolor="#8eaadb [1940]" strokecolor="#1f3763 [1604]" strokeweight="1pt">
                        <v:stroke joinstyle="miter"/>
                        <v:textbox>
                          <w:txbxContent>
                            <w:p w14:paraId="182EA39D" w14:textId="47723B52" w:rsidR="0099059D" w:rsidRPr="00832B82" w:rsidRDefault="0099059D" w:rsidP="006E3395">
                              <w:pPr>
                                <w:jc w:val="center"/>
                                <w:rPr>
                                  <w:rFonts w:cs="Times New Roman"/>
                                  <w:color w:val="000000" w:themeColor="text1"/>
                                </w:rPr>
                              </w:pPr>
                              <w:r>
                                <w:rPr>
                                  <w:rFonts w:cs="Times New Roman"/>
                                  <w:color w:val="000000" w:themeColor="text1"/>
                                </w:rPr>
                                <w:t>Agency 5</w:t>
                              </w:r>
                            </w:p>
                          </w:txbxContent>
                        </v:textbox>
                      </v:roundrect>
                      <v:shape id="Straight Arrow Connector 36" o:spid="_x0000_s1062" type="#_x0000_t32" style="position:absolute;left:2952;top:49149;width:4287;height:171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" strokecolor="#4472c4 [3204]" strokeweight=".5pt">
                        <v:stroke endarrow="block" joinstyle="miter"/>
                      </v:shape>
                      <v:shape id="Straight Arrow Connector 37" o:spid="_x0000_s1063" type="#_x0000_t32" style="position:absolute;left:2952;top:52101;width:42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" strokecolor="#4472c4 [3204]" strokeweight=".5pt">
                        <v:stroke endarrow="block" joinstyle="miter"/>
                      </v:shape>
                      <v:shape id="Straight Arrow Connector 38" o:spid="_x0000_s1064" type="#_x0000_t32" style="position:absolute;left:2952;top:53149;width:4287;height:181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" strokecolor="#4472c4 [3204]" strokeweight=".5pt">
                        <v:stroke endarrow="block" joinstyle="miter"/>
                      </v:shape>
                      <v:roundrect id="Rounded Rectangle 39" o:spid="_x0000_s1065" style="position:absolute;top:38576;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" fillcolor="#4472c4 [3204]" strokecolor="#1f3763 [1604]" strokeweight="1pt">
                        <v:stroke joinstyle="miter"/>
                      </v:roundrect>
                      <v:roundrect id="Rounded Rectangle 40" o:spid="_x0000_s1066" style="position:absolute;top:41529;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" fillcolor="#4472c4 [3204]" strokecolor="#1f3763 [1604]" strokeweight="1pt">
                        <v:stroke joinstyle="miter"/>
                      </v:roundrect>
                      <v:roundrect id="Rounded Rectangle 41" o:spid="_x0000_s1067" style="position:absolute;top:44481;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" fillcolor="#4472c4 [3204]" strokecolor="#1f3763 [1604]" strokeweight="1pt">
                        <v:stroke joinstyle="miter"/>
                      </v:roundrect>
                      <v:roundrect id="Rounded Rectangle 42" o:spid="_x0000_s1068" style="position:absolute;left:7239;top:40576;width:6762;height:4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" fillcolor="#8eaadb [1940]" strokecolor="#1f3763 [1604]" strokeweight="1pt">
                        <v:stroke joinstyle="miter"/>
                        <v:textbox>
                          <w:txbxContent>
                            <w:p w14:paraId="639D74F0" w14:textId="3D085357" w:rsidR="0099059D" w:rsidRPr="00832B82" w:rsidRDefault="0099059D" w:rsidP="006E3395">
                              <w:pPr>
                                <w:jc w:val="center"/>
                                <w:rPr>
                                  <w:rFonts w:cs="Times New Roman"/>
                                  <w:color w:val="000000" w:themeColor="text1"/>
                                </w:rPr>
                              </w:pPr>
                              <w:r>
                                <w:rPr>
                                  <w:rFonts w:cs="Times New Roman"/>
                                  <w:color w:val="000000" w:themeColor="text1"/>
                                </w:rPr>
                                <w:t>Agency 4</w:t>
                              </w:r>
                            </w:p>
                          </w:txbxContent>
                        </v:textbox>
                      </v:roundrect>
                      <v:shape id="Straight Arrow Connector 43" o:spid="_x0000_s1069" type="#_x0000_t32" style="position:absolute;left:2952;top:39814;width:4287;height:17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" strokecolor="#4472c4 [3204]" strokeweight=".5pt">
                        <v:stroke endarrow="block" joinstyle="miter"/>
                      </v:shape>
                      <v:shape id="Straight Arrow Connector 44" o:spid="_x0000_s1070" type="#_x0000_t32" style="position:absolute;left:2952;top:42767;width:42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" strokecolor="#4472c4 [3204]" strokeweight=".5pt">
                        <v:stroke endarrow="block" joinstyle="miter"/>
                      </v:shape>
                      <v:shape id="Straight Arrow Connector 45" o:spid="_x0000_s1071" type="#_x0000_t32" style="position:absolute;left:2952;top:43815;width:4287;height:180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" strokecolor="#4472c4 [3204]" strokeweight=".5pt">
                        <v:stroke endarrow="block" joinstyle="miter"/>
                      </v:shape>
                      <v:roundrect id="Rounded Rectangle 46" o:spid="_x0000_s1072" style="position:absolute;top:19335;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" fillcolor="#4472c4 [3204]" strokecolor="#1f3763 [1604]" strokeweight="1pt">
                        <v:stroke joinstyle="miter"/>
                      </v:roundrect>
                      <v:roundrect id="Rounded Rectangle 47" o:spid="_x0000_s1073" style="position:absolute;top:22288;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" fillcolor="#4472c4 [3204]" strokecolor="#1f3763 [1604]" strokeweight="1pt">
                        <v:stroke joinstyle="miter"/>
                      </v:roundrect>
                      <v:roundrect id="Rounded Rectangle 48" o:spid="_x0000_s1074" style="position:absolute;top:25241;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" fillcolor="#4472c4 [3204]" strokecolor="#1f3763 [1604]" strokeweight="1pt">
                        <v:stroke joinstyle="miter"/>
                      </v:roundrect>
                      <v:roundrect id="Rounded Rectangle 49" o:spid="_x0000_s1075" style="position:absolute;left:7239;top:21336;width:6762;height:43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" fillcolor="#8eaadb [1940]" strokecolor="#1f3763 [1604]" strokeweight="1pt">
                        <v:stroke joinstyle="miter"/>
                        <v:textbox>
                          <w:txbxContent>
                            <w:p w14:paraId="3C16BF16" w14:textId="217AD402" w:rsidR="0099059D" w:rsidRPr="00832B82" w:rsidRDefault="0099059D" w:rsidP="006E3395">
                              <w:pPr>
                                <w:jc w:val="center"/>
                                <w:rPr>
                                  <w:rFonts w:cs="Times New Roman"/>
                                  <w:color w:val="000000" w:themeColor="text1"/>
                                </w:rPr>
                              </w:pPr>
                              <w:r>
                                <w:rPr>
                                  <w:rFonts w:cs="Times New Roman"/>
                                  <w:color w:val="000000" w:themeColor="text1"/>
                                </w:rPr>
                                <w:t>Agency 2</w:t>
                              </w:r>
                            </w:p>
                          </w:txbxContent>
                        </v:textbox>
                      </v:roundrect>
                      <v:shape id="Straight Arrow Connector 50" o:spid="_x0000_s1076" type="#_x0000_t32" style="position:absolute;left:2952;top:20574;width:4287;height:171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" strokecolor="#4472c4 [3204]" strokeweight=".5pt">
                        <v:stroke endarrow="block" joinstyle="miter"/>
                      </v:shape>
                      <v:shape id="Straight Arrow Connector 51" o:spid="_x0000_s1077" type="#_x0000_t32" style="position:absolute;left:2952;top:23526;width:42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" strokecolor="#4472c4 [3204]" strokeweight=".5pt">
                        <v:stroke endarrow="block" joinstyle="miter"/>
                      </v:shape>
                      <v:shape id="Straight Arrow Connector 52" o:spid="_x0000_s1078" type="#_x0000_t32" style="position:absolute;left:2952;top:24574;width:4287;height:181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" strokecolor="#4472c4 [3204]" strokeweight=".5pt">
                        <v:stroke endarrow="block" joinstyle="miter"/>
                      </v:shape>
                      <v:roundrect id="Rounded Rectangle 53" o:spid="_x0000_s1079" style="position:absolute;top:9620;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" fillcolor="#4472c4 [3204]" strokecolor="#1f3763 [1604]" strokeweight="1pt">
                        <v:stroke joinstyle="miter"/>
                      </v:roundrect>
                      <v:roundrect id="Rounded Rectangle 54" o:spid="_x0000_s1080" style="position:absolute;top:12573;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" fillcolor="#4472c4 [3204]" strokecolor="#1f3763 [1604]" strokeweight="1pt">
                        <v:stroke joinstyle="miter"/>
                      </v:roundrect>
                      <v:roundrect id="Rounded Rectangle 55" o:spid="_x0000_s1081" style="position:absolute;top:15525;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" fillcolor="#4472c4 [3204]" strokecolor="#1f3763 [1604]" strokeweight="1pt">
                        <v:stroke joinstyle="miter"/>
                      </v:roundrect>
                      <v:roundrect id="Rounded Rectangle 56" o:spid="_x0000_s1082" style="position:absolute;left:7239;top:11620;width:6762;height:43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" fillcolor="#8eaadb [1940]" strokecolor="#1f3763 [1604]" strokeweight="1pt">
                        <v:stroke joinstyle="miter"/>
                        <v:textbox>
                          <w:txbxContent>
                            <w:p w14:paraId="4EB7CCF0" w14:textId="20C97666" w:rsidR="0099059D" w:rsidRPr="00832B82" w:rsidRDefault="0099059D" w:rsidP="006E3395">
                              <w:pPr>
                                <w:jc w:val="center"/>
                                <w:rPr>
                                  <w:rFonts w:cs="Times New Roman"/>
                                  <w:color w:val="000000" w:themeColor="text1"/>
                                </w:rPr>
                              </w:pPr>
                              <w:r>
                                <w:rPr>
                                  <w:rFonts w:cs="Times New Roman"/>
                                  <w:color w:val="000000" w:themeColor="text1"/>
                                </w:rPr>
                                <w:t>Agency 1</w:t>
                              </w:r>
                            </w:p>
                          </w:txbxContent>
                        </v:textbox>
                      </v:roundrect>
                      <v:shape id="Straight Arrow Connector 57" o:spid="_x0000_s1083" type="#_x0000_t32" style="position:absolute;left:2952;top:10858;width:4287;height:171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" strokecolor="#4472c4 [3204]" strokeweight=".5pt">
                        <v:stroke endarrow="block" joinstyle="miter"/>
                      </v:shape>
                      <v:shape id="Straight Arrow Connector 58" o:spid="_x0000_s1084" type="#_x0000_t32" style="position:absolute;left:2952;top:13811;width:42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" strokecolor="#4472c4 [3204]" strokeweight=".5pt">
                        <v:stroke endarrow="block" joinstyle="miter"/>
                      </v:shape>
                      <v:shape id="Straight Arrow Connector 59" o:spid="_x0000_s1085" type="#_x0000_t32" style="position:absolute;left:2952;top:14859;width:4287;height:180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" strokecolor="#4472c4 [3204]" strokeweight=".5pt">
                        <v:stroke endarrow="block" joinstyle="miter"/>
                      </v:shape>
                      <v:roundrect id="Rounded Rectangle 60" o:spid="_x0000_s1086" style="position:absolute;top:28860;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" fillcolor="#4472c4 [3204]" strokecolor="#1f3763 [1604]" strokeweight="1pt">
                        <v:stroke joinstyle="miter"/>
                      </v:roundrect>
                      <v:roundrect id="Rounded Rectangle 61" o:spid="_x0000_s1087" style="position:absolute;top:31813;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" fillcolor="#4472c4 [3204]" strokecolor="#1f3763 [1604]" strokeweight="1pt">
                        <v:stroke joinstyle="miter"/>
                      </v:roundrect>
                      <v:roundrect id="Rounded Rectangle 62" o:spid="_x0000_s1088" style="position:absolute;top:34766;width:2952;height:2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" fillcolor="#4472c4 [3204]" strokecolor="#1f3763 [1604]" strokeweight="1pt">
                        <v:stroke joinstyle="miter"/>
                      </v:roundrect>
                      <v:roundrect id="Rounded Rectangle 63" o:spid="_x0000_s1089" style="position:absolute;left:7239;top:30861;width:6762;height:43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" fillcolor="#8eaadb [1940]" strokecolor="#1f3763 [1604]" strokeweight="1pt">
                        <v:stroke joinstyle="miter"/>
                        <v:textbox>
                          <w:txbxContent>
                            <w:p w14:paraId="71D73364" w14:textId="056DDAC4" w:rsidR="0099059D" w:rsidRPr="00832B82" w:rsidRDefault="0099059D" w:rsidP="006E3395">
                              <w:pPr>
                                <w:jc w:val="center"/>
                                <w:rPr>
                                  <w:rFonts w:cs="Times New Roman"/>
                                  <w:color w:val="000000" w:themeColor="text1"/>
                                </w:rPr>
                              </w:pPr>
                              <w:r>
                                <w:rPr>
                                  <w:rFonts w:cs="Times New Roman"/>
                                  <w:color w:val="000000" w:themeColor="text1"/>
                                </w:rPr>
                                <w:t>Agency 3</w:t>
                              </w:r>
                            </w:p>
                          </w:txbxContent>
                        </v:textbox>
                      </v:roundrect>
                      <v:shape id="Straight Arrow Connector 64" o:spid="_x0000_s1090" type="#_x0000_t32" style="position:absolute;left:2952;top:30099;width:4287;height:171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" strokecolor="#4472c4 [3204]" strokeweight=".5pt">
                        <v:stroke endarrow="block" joinstyle="miter"/>
                      </v:shape>
                      <v:shape id="Straight Arrow Connector 65" o:spid="_x0000_s1091" type="#_x0000_t32" style="position:absolute;left:2952;top:33051;width:428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" strokecolor="#4472c4 [3204]" strokeweight=".5pt">
                        <v:stroke endarrow="block" joinstyle="miter"/>
                      </v:shape>
                      <v:shape id="Straight Arrow Connector 66" o:spid="_x0000_s1092" type="#_x0000_t32" style="position:absolute;left:2952;top:34099;width:4287;height:181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" strokecolor="#4472c4 [3204]" strokeweight=".5pt">
                        <v:stroke endarrow="block" joinstyle="miter"/>
                      </v:shape>
                    </v:group>
                    <v:group id="Group 17" o:spid="_x0000_s1093" style="position:absolute;width:63627;height:4572" coordsize="63627,4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Text Box 14" o:spid="_x0000_s1094" type="#_x0000_t202" style="position:absolute;width:7810;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" fillcolor="white [3201]" stroked="f" strokeweight=".5pt">
                        <v:textbox>
                          <w:txbxContent>
                            <w:p w14:paraId="66EAFCD9" w14:textId="77777777" w:rsidR="0099059D" w:rsidRPr="00832B82" w:rsidRDefault="0099059D" w:rsidP="006E3395">
                              <w:pPr>
                                <w:pBdr>
                                  <w:bottom w:val="single" w:sz="4" w:space="1" w:color="auto"/>
                                </w:pBdr>
                                <w:jc w:val="center"/>
                                <w:rPr>
                                  <w:rFonts w:cs="Times New Roman"/>
                                </w:rPr>
                              </w:pPr>
                              <w:r w:rsidRPr="00832B82">
                                <w:rPr>
                                  <w:rFonts w:cs="Times New Roman"/>
                                </w:rPr>
                                <w:t>Data Collection</w:t>
                              </w:r>
                            </w:p>
                          </w:txbxContent>
                        </v:textbox>
                      </v:shape>
                      <v:shape id="Text Box 8" o:spid="_x0000_s1095" type="#_x0000_t202" style="position:absolute;left:8953;width:7811;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" fillcolor="white [3201]" stroked="f" strokeweight=".5pt">
                        <v:textbox>
                          <w:txbxContent>
                            <w:p w14:paraId="06BCA7AB" w14:textId="77777777" w:rsidR="0099059D" w:rsidRPr="00832B82" w:rsidRDefault="0099059D" w:rsidP="006E3395">
                              <w:pPr>
                                <w:pBdr>
                                  <w:bottom w:val="single" w:sz="4" w:space="1" w:color="auto"/>
                                </w:pBdr>
                                <w:jc w:val="center"/>
                                <w:rPr>
                                  <w:rFonts w:cs="Times New Roman"/>
                                </w:rPr>
                              </w:pPr>
                              <w:r w:rsidRPr="00832B82">
                                <w:rPr>
                                  <w:rFonts w:cs="Times New Roman"/>
                                </w:rPr>
                                <w:t>Agency Database</w:t>
                              </w:r>
                              <w:r>
                                <w:rPr>
                                  <w:rFonts w:cs="Times New Roman"/>
                                  <w:vertAlign w:val="superscript"/>
                                </w:rPr>
                                <w:t>a</w:t>
                              </w:r>
                            </w:p>
                          </w:txbxContent>
                        </v:textbox>
                      </v:shape>
                      <v:shape id="Text Box 11" o:spid="_x0000_s1096" type="#_x0000_t202" style="position:absolute;left:39433;width:7811;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" fillcolor="white [3201]" stroked="f" strokeweight=".5pt">
                        <v:textbox>
                          <w:txbxContent>
                            <w:p w14:paraId="50A6FDF4" w14:textId="77777777" w:rsidR="0099059D" w:rsidRPr="00832B82" w:rsidRDefault="0099059D" w:rsidP="006E3395">
                              <w:pPr>
                                <w:pBdr>
                                  <w:bottom w:val="single" w:sz="4" w:space="1" w:color="auto"/>
                                </w:pBdr>
                                <w:jc w:val="center"/>
                                <w:rPr>
                                  <w:rFonts w:cs="Times New Roman"/>
                                </w:rPr>
                              </w:pPr>
                              <w:r w:rsidRPr="00832B82">
                                <w:rPr>
                                  <w:rFonts w:cs="Times New Roman"/>
                                </w:rPr>
                                <w:t>MRV Portal</w:t>
                              </w:r>
                            </w:p>
                          </w:txbxContent>
                        </v:textbox>
                      </v:shape>
                      <v:shape id="Text Box 12" o:spid="_x0000_s1097" type="#_x0000_t202" style="position:absolute;left:25527;width:7810;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" fillcolor="white [3201]" stroked="f" strokeweight=".5pt">
                        <v:textbox>
                          <w:txbxContent>
                            <w:p w14:paraId="339CE5DC" w14:textId="77777777" w:rsidR="0099059D" w:rsidRPr="00832B82" w:rsidRDefault="0099059D" w:rsidP="006E3395">
                              <w:pPr>
                                <w:pBdr>
                                  <w:bottom w:val="single" w:sz="4" w:space="1" w:color="auto"/>
                                </w:pBdr>
                                <w:jc w:val="center"/>
                                <w:rPr>
                                  <w:rFonts w:cs="Times New Roman"/>
                                </w:rPr>
                              </w:pPr>
                              <w:r w:rsidRPr="00832B82">
                                <w:rPr>
                                  <w:rFonts w:cs="Times New Roman"/>
                                </w:rPr>
                                <w:t>Sectoral Node</w:t>
                              </w:r>
                            </w:p>
                          </w:txbxContent>
                        </v:textbox>
                      </v:shape>
                      <v:shape id="Text Box 78" o:spid="_x0000_s1098" type="#_x0000_t202" style="position:absolute;left:55816;width:7811;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" fillcolor="white [3201]" stroked="f" strokeweight=".5pt">
                        <v:textbox>
                          <w:txbxContent>
                            <w:p w14:paraId="7F0A1984" w14:textId="77777777" w:rsidR="0099059D" w:rsidRPr="00832B82" w:rsidRDefault="0099059D" w:rsidP="006E3395">
                              <w:pPr>
                                <w:pBdr>
                                  <w:bottom w:val="single" w:sz="4" w:space="1" w:color="auto"/>
                                </w:pBdr>
                                <w:jc w:val="center"/>
                                <w:rPr>
                                  <w:rFonts w:cs="Times New Roman"/>
                                </w:rPr>
                              </w:pPr>
                              <w:r>
                                <w:rPr>
                                  <w:rFonts w:cs="Times New Roman"/>
                                </w:rPr>
                                <w:t>Data Users</w:t>
                              </w:r>
                              <w:r w:rsidRPr="00741DCC">
                                <w:rPr>
                                  <w:rFonts w:cs="Times New Roman"/>
                                  <w:vertAlign w:val="superscript"/>
                                </w:rPr>
                                <w:t>b</w:t>
                              </w:r>
                            </w:p>
                          </w:txbxContent>
                        </v:textbox>
                      </v:shape>
                    </v:group>
                    <v:group id="Group 20" o:spid="_x0000_s1099" style="position:absolute;left:16287;top:9715;width:9240;height:47911" coordsize="9239,47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Straight Arrow Connector 79" o:spid="_x0000_s1100" type="#_x0000_t32" style="position:absolute;width:8667;height:3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" strokecolor="#4472c4 [3204]" strokeweight=".5pt">
                        <v:stroke endarrow="block" joinstyle="miter"/>
                      </v:shape>
                      <v:shape id="Straight Arrow Connector 80" o:spid="_x0000_s1101" type="#_x0000_t32" style="position:absolute;top:4953;width:8001;height:46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" strokecolor="#4472c4 [3204]" strokeweight=".5pt">
                        <v:stroke endarrow="block" joinstyle="miter"/>
                      </v:shape>
                      <v:shape id="Straight Arrow Connector 81" o:spid="_x0000_s1102" type="#_x0000_t32" style="position:absolute;top:19335;width:8001;height:40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" strokecolor="#4472c4 [3204]" strokeweight=".5pt">
                        <v:stroke endarrow="block" joinstyle="miter"/>
                      </v:shape>
                      <v:shape id="Straight Arrow Connector 82" o:spid="_x0000_s1103" type="#_x0000_t32" style="position:absolute;top:24669;width:8667;height:419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" strokecolor="#4472c4 [3204]" strokeweight=".5pt">
                        <v:stroke endarrow="block" joinstyle="miter"/>
                      </v:shape>
                      <v:shape id="Straight Arrow Connector 83" o:spid="_x0000_s1104" type="#_x0000_t32" style="position:absolute;top:38576;width:8667;height:3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" strokecolor="#4472c4 [3204]" strokeweight=".5pt">
                        <v:stroke endarrow="block" joinstyle="miter"/>
                      </v:shape>
                      <v:shape id="Straight Arrow Connector 84" o:spid="_x0000_s1105" type="#_x0000_t32" style="position:absolute;top:44291;width:8667;height:361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" strokecolor="#4472c4 [3204]" strokeweight=".5pt">
                        <v:stroke endarrow="block" joinstyle="miter"/>
                      </v:shape>
                      <v:shape id="Straight Arrow Connector 85" o:spid="_x0000_s1106" type="#_x0000_t32" style="position:absolute;top:9620;width:9239;height:125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" strokecolor="#4472c4 [3204]" strokeweight=".5pt">
                        <v:stroke endarrow="block" joinstyle="miter"/>
                      </v:shape>
                      <v:shape id="Straight Arrow Connector 86" o:spid="_x0000_s1107" type="#_x0000_t32" style="position:absolute;top:6096;width:9239;height:324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" strokecolor="#4472c4 [3204]" strokeweight=".5pt">
                        <v:stroke endarrow="block" joinstyle="miter"/>
                      </v:shape>
                    </v:group>
                    <v:group id="Group 18" o:spid="_x0000_s1108" style="position:absolute;left:24288;top:11906;width:39434;height:43243" coordsize="39433,43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oval id="Oval 27" o:spid="_x0000_s1109" style="position:absolute;width:10001;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" fillcolor="#b4c6e7 [1300]" strokecolor="#1f3763 [1604]" strokeweight="1pt">
                        <v:stroke joinstyle="miter"/>
                        <v:textbox>
                          <w:txbxContent>
                            <w:p w14:paraId="2D3C42CC" w14:textId="77777777" w:rsidR="0099059D" w:rsidRPr="00832B82" w:rsidRDefault="0099059D" w:rsidP="006E3395">
                              <w:pPr>
                                <w:jc w:val="center"/>
                                <w:rPr>
                                  <w:rFonts w:cs="Times New Roman"/>
                                  <w:color w:val="000000" w:themeColor="text1"/>
                                </w:rPr>
                              </w:pPr>
                              <w:r w:rsidRPr="00832B82">
                                <w:rPr>
                                  <w:rFonts w:cs="Times New Roman"/>
                                  <w:color w:val="000000" w:themeColor="text1"/>
                                </w:rPr>
                                <w:t>AFOLU</w:t>
                              </w:r>
                            </w:p>
                          </w:txbxContent>
                        </v:textbox>
                      </v:oval>
                      <v:oval id="Oval 76" o:spid="_x0000_s1110" style="position:absolute;top:18954;width:10001;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" fillcolor="#b4c6e7 [1300]" strokecolor="#1f3763 [1604]" strokeweight="1pt">
                        <v:stroke joinstyle="miter"/>
                        <v:textbox>
                          <w:txbxContent>
                            <w:p w14:paraId="263FC25D" w14:textId="77777777" w:rsidR="0099059D" w:rsidRPr="00832B82" w:rsidRDefault="0099059D" w:rsidP="006E3395">
                              <w:pPr>
                                <w:jc w:val="center"/>
                                <w:rPr>
                                  <w:rFonts w:cs="Times New Roman"/>
                                  <w:color w:val="000000" w:themeColor="text1"/>
                                </w:rPr>
                              </w:pPr>
                              <w:r>
                                <w:rPr>
                                  <w:rFonts w:cs="Times New Roman"/>
                                  <w:color w:val="000000" w:themeColor="text1"/>
                                </w:rPr>
                                <w:t>Energy</w:t>
                              </w:r>
                            </w:p>
                          </w:txbxContent>
                        </v:textbox>
                      </v:oval>
                      <v:oval id="Oval 77" o:spid="_x0000_s1111" style="position:absolute;top:38290;width:10001;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" fillcolor="#b4c6e7 [1300]" strokecolor="#1f3763 [1604]" strokeweight="1pt">
                        <v:stroke joinstyle="miter"/>
                        <v:textbox>
                          <w:txbxContent>
                            <w:p w14:paraId="424A8D79" w14:textId="6BBC282F" w:rsidR="0099059D" w:rsidRPr="00832B82" w:rsidRDefault="0099059D" w:rsidP="006E3395">
                              <w:pPr>
                                <w:jc w:val="center"/>
                                <w:rPr>
                                  <w:rFonts w:cs="Times New Roman"/>
                                  <w:color w:val="000000" w:themeColor="text1"/>
                                </w:rPr>
                              </w:pPr>
                              <w:r>
                                <w:rPr>
                                  <w:rFonts w:cs="Times New Roman"/>
                                  <w:color w:val="000000" w:themeColor="text1"/>
                                </w:rPr>
                                <w:t>Others.</w:t>
                              </w:r>
                            </w:p>
                          </w:txbxContent>
                        </v:textbox>
                      </v:oval>
                      <v:oval id="Oval 87" o:spid="_x0000_s1112" style="position:absolute;left:13620;top:15906;width:11049;height:105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" fillcolor="#d9e2f3 [660]" strokecolor="#1f3763 [1604]" strokeweight="1pt">
                        <v:stroke joinstyle="miter"/>
                        <v:textbox>
                          <w:txbxContent>
                            <w:p w14:paraId="5AD42AD0" w14:textId="77777777" w:rsidR="0099059D" w:rsidRPr="009466B7" w:rsidRDefault="0099059D" w:rsidP="006E3395">
                              <w:pPr>
                                <w:jc w:val="center"/>
                                <w:rPr>
                                  <w:rFonts w:cs="Times New Roman"/>
                                  <w:color w:val="000000" w:themeColor="text1"/>
                                </w:rPr>
                              </w:pPr>
                              <w:r w:rsidRPr="009466B7">
                                <w:rPr>
                                  <w:rFonts w:cs="Times New Roman"/>
                                  <w:color w:val="000000" w:themeColor="text1"/>
                                </w:rPr>
                                <w:t>MRV Portal</w:t>
                              </w:r>
                            </w:p>
                          </w:txbxContent>
                        </v:textbox>
                      </v:oval>
                      <v:roundrect id="Rounded Rectangle 88" o:spid="_x0000_s1113" style="position:absolute;left:31527;top:4857;width:7811;height:285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" filled="f" strokecolor="#1f3763 [1604]" strokeweight="1pt">
                        <v:stroke joinstyle="miter"/>
                        <v:textbox>
                          <w:txbxContent>
                            <w:p w14:paraId="4C01D101" w14:textId="77777777" w:rsidR="0099059D" w:rsidRPr="006C52D0" w:rsidRDefault="0099059D" w:rsidP="006E3395">
                              <w:pPr>
                                <w:jc w:val="center"/>
                                <w:rPr>
                                  <w:rFonts w:cs="Times New Roman"/>
                                  <w:color w:val="000000" w:themeColor="text1"/>
                                </w:rPr>
                              </w:pPr>
                              <w:r w:rsidRPr="006C52D0">
                                <w:rPr>
                                  <w:rFonts w:cs="Times New Roman"/>
                                  <w:color w:val="000000" w:themeColor="text1"/>
                                </w:rPr>
                                <w:t>Public</w:t>
                              </w:r>
                            </w:p>
                          </w:txbxContent>
                        </v:textbox>
                      </v:roundrect>
                      <v:line id="Straight Connector 90" o:spid="_x0000_s1114" style="position:absolute;visibility:visible;mso-wrap-style:square" from="9048,4191" to="15716,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" strokecolor="#4472c4 [3204]" strokeweight=".5pt">
                        <v:stroke dashstyle="longDash" endarrow="block" joinstyle="miter"/>
                      </v:line>
                      <v:line id="Straight Connector 91" o:spid="_x0000_s1115" style="position:absolute;flip:y;visibility:visible;mso-wrap-style:square" from="8572,25241" to="15716,385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" strokecolor="#4472c4 [3204]" strokeweight=".5pt">
                        <v:stroke dashstyle="longDash" endarrow="block" joinstyle="miter"/>
                      </v:line>
                      <v:line id="Straight Connector 92" o:spid="_x0000_s1116" style="position:absolute;visibility:visible;mso-wrap-style:square" from="10096,21621" to="13620,21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" strokecolor="#4472c4 [3204]" strokeweight=".5pt">
                        <v:stroke dashstyle="longDash" endarrow="block" joinstyle="miter"/>
                      </v:line>
                      <v:roundrect id="Rounded Rectangle 94" o:spid="_x0000_s1117" style="position:absolute;left:31623;top:18097;width:7810;height:466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" filled="f" strokecolor="#1f3763 [1604]" strokeweight="1pt">
                        <v:stroke joinstyle="miter"/>
                        <v:textbox>
                          <w:txbxContent>
                            <w:p w14:paraId="7FC684A7" w14:textId="77777777" w:rsidR="0099059D" w:rsidRPr="006C52D0" w:rsidRDefault="0099059D" w:rsidP="006E3395">
                              <w:pPr>
                                <w:jc w:val="center"/>
                                <w:rPr>
                                  <w:rFonts w:cs="Times New Roman"/>
                                  <w:color w:val="000000" w:themeColor="text1"/>
                                </w:rPr>
                              </w:pPr>
                              <w:r>
                                <w:rPr>
                                  <w:rFonts w:cs="Times New Roman"/>
                                  <w:color w:val="000000" w:themeColor="text1"/>
                                </w:rPr>
                                <w:t>Research Inst.</w:t>
                              </w:r>
                            </w:p>
                          </w:txbxContent>
                        </v:textbox>
                      </v:roundrect>
                      <v:roundrect id="Rounded Rectangle 95" o:spid="_x0000_s1118" style="position:absolute;left:31623;top:10572;width:7810;height:466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" filled="f" strokecolor="#1f3763 [1604]" strokeweight="1pt">
                        <v:stroke joinstyle="miter"/>
                        <v:textbox>
                          <w:txbxContent>
                            <w:p w14:paraId="7BDADE2F" w14:textId="77777777" w:rsidR="0099059D" w:rsidRPr="006C52D0" w:rsidRDefault="0099059D" w:rsidP="006E3395">
                              <w:pPr>
                                <w:jc w:val="center"/>
                                <w:rPr>
                                  <w:rFonts w:cs="Times New Roman"/>
                                  <w:color w:val="000000" w:themeColor="text1"/>
                                </w:rPr>
                              </w:pPr>
                              <w:r>
                                <w:rPr>
                                  <w:rFonts w:cs="Times New Roman"/>
                                  <w:color w:val="000000" w:themeColor="text1"/>
                                </w:rPr>
                                <w:t>Gov. Agencies</w:t>
                              </w:r>
                            </w:p>
                          </w:txbxContent>
                        </v:textbox>
                      </v:roundrect>
                      <v:roundrect id="Rounded Rectangle 96" o:spid="_x0000_s1119" style="position:absolute;left:31527;top:33051;width:7811;height:466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" filled="f" strokecolor="#1f3763 [1604]" strokeweight="1pt">
                        <v:stroke joinstyle="miter"/>
                        <v:textbox>
                          <w:txbxContent>
                            <w:p w14:paraId="5F026218" w14:textId="77777777" w:rsidR="0099059D" w:rsidRPr="006C52D0" w:rsidRDefault="0099059D" w:rsidP="006E3395">
                              <w:pPr>
                                <w:jc w:val="center"/>
                                <w:rPr>
                                  <w:rFonts w:cs="Times New Roman"/>
                                  <w:color w:val="000000" w:themeColor="text1"/>
                                </w:rPr>
                              </w:pPr>
                              <w:r>
                                <w:rPr>
                                  <w:rFonts w:cs="Times New Roman"/>
                                  <w:color w:val="000000" w:themeColor="text1"/>
                                </w:rPr>
                                <w:t>Int’l. Agencies</w:t>
                              </w:r>
                            </w:p>
                          </w:txbxContent>
                        </v:textbox>
                      </v:roundrect>
                      <v:roundrect id="Rounded Rectangle 97" o:spid="_x0000_s1120" style="position:absolute;left:31527;top:26765;width:7811;height:466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" filled="f" strokecolor="#1f3763 [1604]" strokeweight="1pt">
                        <v:stroke joinstyle="miter"/>
                        <v:textbox>
                          <w:txbxContent>
                            <w:p w14:paraId="5C712267" w14:textId="77777777" w:rsidR="0099059D" w:rsidRPr="006C52D0" w:rsidRDefault="0099059D" w:rsidP="006E3395">
                              <w:pPr>
                                <w:jc w:val="center"/>
                                <w:rPr>
                                  <w:rFonts w:cs="Times New Roman"/>
                                  <w:color w:val="000000" w:themeColor="text1"/>
                                </w:rPr>
                              </w:pPr>
                              <w:r>
                                <w:rPr>
                                  <w:rFonts w:cs="Times New Roman"/>
                                  <w:color w:val="000000" w:themeColor="text1"/>
                                </w:rPr>
                                <w:t>CSOs/ NGOs</w:t>
                              </w:r>
                            </w:p>
                          </w:txbxContent>
                        </v:textbox>
                      </v:roundrect>
                      <v:line id="Straight Connector 99" o:spid="_x0000_s1121" style="position:absolute;flip:y;visibility:visible;mso-wrap-style:square" from="22955,6286" to="31527,17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" strokecolor="#4472c4 [3204]" strokeweight=".5pt">
                        <v:stroke dashstyle="longDash" endarrow="block" joinstyle="miter"/>
                      </v:line>
                      <v:line id="Straight Connector 100" o:spid="_x0000_s1122" style="position:absolute;flip:y;visibility:visible;mso-wrap-style:square" from="24669,12906" to="31623,198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" strokecolor="#4472c4 [3204]" strokeweight=".5pt">
                        <v:stroke dashstyle="longDash" endarrow="block" joinstyle="miter"/>
                      </v:line>
                      <v:line id="Straight Connector 101" o:spid="_x0000_s1123" style="position:absolute;flip:y;visibility:visible;mso-wrap-style:square" from="24669,20430" to="31623,21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" strokecolor="#4472c4 [3204]" strokeweight=".5pt">
                        <v:stroke dashstyle="longDash" endarrow="block" joinstyle="miter"/>
                      </v:line>
                      <v:line id="Straight Connector 102" o:spid="_x0000_s1124" style="position:absolute;visibility:visible;mso-wrap-style:square" from="24098,23812" to="31527,28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" strokecolor="#4472c4 [3204]" strokeweight=".5pt">
                        <v:stroke dashstyle="longDash" endarrow="block" joinstyle="miter"/>
                      </v:line>
                      <v:line id="Straight Connector 103" o:spid="_x0000_s1125" style="position:absolute;visibility:visible;mso-wrap-style:square" from="22955,25146" to="31527,35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" strokecolor="#4472c4 [3204]" strokeweight=".5pt">
                        <v:stroke dashstyle="longDash" endarrow="block" joinstyle="miter"/>
                      </v:line>
                    </v:group>
                    <v:group id="Group 16" o:spid="_x0000_s1126" style="position:absolute;left:43262;top:54743;width:18345;height:6192" coordorigin="-8839,-310" coordsize="18345,6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line id="Straight Connector 293" o:spid="_x0000_s1127" style="position:absolute;flip:y;visibility:visible;mso-wrap-style:square" from="-8763,2933" to="-5524,3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" strokecolor="#4472c4 [3204]" strokeweight=".5pt">
                        <v:stroke dashstyle="longDash" endarrow="block" joinstyle="miter"/>
                      </v:line>
                      <v:shape id="Straight Arrow Connector 294" o:spid="_x0000_s1128" type="#_x0000_t32" style="position:absolute;left:-8839;top:876;width:323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" strokecolor="#4472c4 [3204]" strokeweight=".5pt">
                        <v:stroke endarrow="block" joinstyle="miter"/>
                      </v:shape>
                      <v:shape id="_x0000_s1129" type="#_x0000_t202" style="position:absolute;left:-4267;top:-310;width:13772;height:61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" stroked="f">
                        <v:textbox>
                          <w:txbxContent>
                            <w:p w14:paraId="206029CE" w14:textId="3FCC0EE7" w:rsidR="0099059D" w:rsidRPr="00E67337" w:rsidRDefault="0099059D" w:rsidP="0069547C">
                              <w:pPr>
                                <w:ind w:left="-86"/>
                                <w:rPr>
                                  <w:rFonts w:cs="Times New Roman"/>
                                </w:rPr>
                              </w:pPr>
                              <w:r>
                                <w:rPr>
                                  <w:rFonts w:cs="Times New Roman"/>
                                </w:rPr>
                                <w:t>Data providers</w:t>
                              </w:r>
                            </w:p>
                            <w:p w14:paraId="24308F4A" w14:textId="71CD7A21" w:rsidR="0099059D" w:rsidRPr="00E67337" w:rsidRDefault="0099059D" w:rsidP="0069547C">
                              <w:pPr>
                                <w:ind w:left="-86"/>
                                <w:rPr>
                                  <w:rFonts w:cs="Times New Roman"/>
                                </w:rPr>
                              </w:pPr>
                              <w:r>
                                <w:rPr>
                                  <w:rFonts w:cs="Times New Roman"/>
                                </w:rPr>
                                <w:t>data dissemination</w:t>
                              </w:r>
                            </w:p>
                          </w:txbxContent>
                        </v:textbox>
                      </v:shape>
                    </v:group>
                  </v:group>
                  <v:shape id="_x0000_s1130" type="#_x0000_t202" style="position:absolute;width:64293;height:3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" stroked="f">
                    <v:textbox style="mso-fit-shape-to-text:t">
                      <w:txbxContent>
                        <w:p w14:paraId="74ACA7B2" w14:textId="77777777" w:rsidR="0099059D" w:rsidRDefault="0099059D" w:rsidP="009D16C4">
                          <w:pPr>
                            <w:jc w:val="center"/>
                          </w:pPr>
                          <w:r w:rsidRPr="00793045">
                            <w:rPr>
                              <w:sz w:val="22"/>
                            </w:rPr>
                            <w:t xml:space="preserve">Figure </w:t>
                          </w:r>
                          <w:r>
                            <w:rPr>
                              <w:sz w:val="22"/>
                            </w:rPr>
                            <w:t>9.  Simplified Diagram of Preliminary Structure for Sharing ETF-related Measurement D</w:t>
                          </w:r>
                          <w:r w:rsidRPr="00793045">
                            <w:rPr>
                              <w:sz w:val="22"/>
                            </w:rPr>
                            <w:t>ata</w:t>
                          </w:r>
                        </w:p>
                      </w:txbxContent>
                    </v:textbox>
                  </v:shape>
                </v:group>
                <v:shape id="_x0000_s1131" type="#_x0000_t202" style="position:absolute;left:1143;top:65341;width:59245;height:13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" stroked="f">
                  <v:textbox style="mso-fit-shape-to-text:t">
                    <w:txbxContent>
                      <w:p w14:paraId="06F6FD0A" w14:textId="77777777" w:rsidR="0099059D" w:rsidRPr="0069547C" w:rsidRDefault="0099059D" w:rsidP="00793045">
                        <w:pPr>
                          <w:keepLines/>
                          <w:tabs>
                            <w:tab w:val="left" w:pos="2880"/>
                          </w:tabs>
                          <w:rPr>
                            <w:rFonts w:cs="Times New Roman"/>
                            <w:u w:val="single"/>
                          </w:rPr>
                        </w:pPr>
                        <w:r>
                          <w:rPr>
                            <w:rFonts w:cs="Times New Roman"/>
                            <w:u w:val="single"/>
                          </w:rPr>
                          <w:tab/>
                        </w:r>
                      </w:p>
                      <w:p w14:paraId="4C5615E4" w14:textId="77777777" w:rsidR="0099059D" w:rsidRPr="0069547C" w:rsidRDefault="0099059D" w:rsidP="00793045">
                        <w:pPr>
                          <w:keepLines/>
                          <w:rPr>
                            <w:rFonts w:cs="Times New Roman"/>
                            <w:sz w:val="20"/>
                            <w:szCs w:val="20"/>
                          </w:rPr>
                        </w:pPr>
                        <w:r w:rsidRPr="0069547C">
                          <w:rPr>
                            <w:rFonts w:cs="Times New Roman"/>
                            <w:sz w:val="20"/>
                            <w:szCs w:val="20"/>
                            <w:vertAlign w:val="superscript"/>
                          </w:rPr>
                          <w:t>a</w:t>
                        </w:r>
                        <w:r w:rsidRPr="0069547C">
                          <w:rPr>
                            <w:rFonts w:cs="Times New Roman"/>
                            <w:sz w:val="20"/>
                            <w:szCs w:val="20"/>
                          </w:rPr>
                          <w:t xml:space="preserve"> This diagram simplifies the multi-layered database structure that exists in many agencies.  Most agencies have databases with at least two levels:  one that is publicly inaccessible and one that is publicly accessible (a periodic mirror of a restricted subset of the non-public data).</w:t>
                        </w:r>
                      </w:p>
                      <w:p w14:paraId="1D929A95" w14:textId="77777777" w:rsidR="0099059D" w:rsidRDefault="0099059D" w:rsidP="00793045">
                        <w:r w:rsidRPr="0069547C">
                          <w:rPr>
                            <w:rFonts w:cs="Times New Roman"/>
                            <w:sz w:val="20"/>
                            <w:szCs w:val="20"/>
                            <w:vertAlign w:val="superscript"/>
                          </w:rPr>
                          <w:t>b</w:t>
                        </w:r>
                        <w:r w:rsidRPr="0069547C">
                          <w:rPr>
                            <w:rFonts w:cs="Times New Roman"/>
                            <w:sz w:val="20"/>
                            <w:szCs w:val="20"/>
                          </w:rPr>
                          <w:t xml:space="preserve"> For clarity, this diagram omits the dashed lines connecting data users to the sectoral nodes and some publicly accessible agency data.  It is anticipated that data users will be able to access the sectoral nodes directly or via the MRV portal.  Likewise, some agencies’ websites will continue to allow direct public access to some data.</w:t>
                        </w:r>
                      </w:p>
                    </w:txbxContent>
                  </v:textbox>
                </v:shape>
                <w10:anchorlock/>
              </v:group>
            </w:pict>
          </mc:Fallback>
        </mc:AlternateContent>
      </w:r>
    </w:p>
    <w:p w14:paraId="4FBFB3AC" w14:textId="511B0226" w:rsidR="00702572" w:rsidRPr="00AA2617" w:rsidRDefault="00702572" w:rsidP="00AA2617">
      <w:pPr>
        <w:pStyle w:val="NumberedParagraph"/>
        <w:numPr>
          <w:ilvl w:val="0"/>
          <w:numId w:val="0"/>
        </w:numPr>
        <w:ind w:left="360" w:hanging="360"/>
        <w:rPr>
          <w:color w:val="0070C0"/>
          <w:sz w:val="22"/>
          <w:lang w:val="en-GB"/>
        </w:rPr>
      </w:pPr>
    </w:p>
    <w:p w14:paraId="142E5010" w14:textId="4FC22AA3" w:rsidR="00DA0F69" w:rsidRPr="00AA2617" w:rsidRDefault="00DA0F69" w:rsidP="00AA2617">
      <w:pPr>
        <w:pStyle w:val="NumberedParagraph"/>
        <w:numPr>
          <w:ilvl w:val="0"/>
          <w:numId w:val="0"/>
        </w:numPr>
        <w:ind w:left="360" w:hanging="360"/>
        <w:rPr>
          <w:color w:val="0070C0"/>
          <w:sz w:val="22"/>
          <w:lang w:val="en-GB"/>
        </w:rPr>
      </w:pPr>
    </w:p>
    <w:p w14:paraId="66EA8B3A" w14:textId="4EEC0C02" w:rsidR="00DA0F69" w:rsidRPr="00AA2617" w:rsidRDefault="00DA0F69" w:rsidP="00AA2617">
      <w:pPr>
        <w:pStyle w:val="NumberedParagraph"/>
        <w:numPr>
          <w:ilvl w:val="0"/>
          <w:numId w:val="0"/>
        </w:numPr>
        <w:ind w:left="360" w:hanging="360"/>
        <w:rPr>
          <w:color w:val="0070C0"/>
          <w:sz w:val="22"/>
          <w:lang w:val="en-GB"/>
        </w:rPr>
      </w:pPr>
    </w:p>
    <w:p w14:paraId="50957DB2" w14:textId="77777777" w:rsidR="00DA0F69" w:rsidRPr="00AA2617" w:rsidRDefault="00DA0F69" w:rsidP="00AA2617">
      <w:pPr>
        <w:pStyle w:val="NumberedParagraph"/>
        <w:numPr>
          <w:ilvl w:val="0"/>
          <w:numId w:val="0"/>
        </w:numPr>
        <w:ind w:left="360" w:hanging="360"/>
        <w:rPr>
          <w:color w:val="0070C0"/>
          <w:sz w:val="22"/>
          <w:lang w:val="en-GB"/>
        </w:rPr>
      </w:pPr>
    </w:p>
    <w:p w14:paraId="0BB1CE0F" w14:textId="77777777" w:rsidR="00E14C29" w:rsidRPr="00AA2617" w:rsidRDefault="00E14C29" w:rsidP="00AA2617">
      <w:pPr>
        <w:pStyle w:val="Heading3"/>
        <w:rPr>
          <w:rFonts w:cs="Times New Roman"/>
          <w:b/>
          <w:szCs w:val="22"/>
          <w:lang w:val="en-GB"/>
        </w:rPr>
      </w:pPr>
      <w:bookmarkStart w:id="29" w:name="_Toc9249181"/>
      <w:r w:rsidRPr="00AA2617">
        <w:rPr>
          <w:rFonts w:cs="Times New Roman"/>
          <w:b/>
          <w:szCs w:val="22"/>
          <w:lang w:val="en-GB"/>
        </w:rPr>
        <w:t>Component 2</w:t>
      </w:r>
      <w:bookmarkEnd w:id="29"/>
    </w:p>
    <w:p w14:paraId="6C06598C" w14:textId="77777777" w:rsidR="00DA0F69" w:rsidRPr="00AA2617" w:rsidRDefault="00DA0F69" w:rsidP="00AA2617">
      <w:pPr>
        <w:spacing w:before="240"/>
        <w:rPr>
          <w:rFonts w:cs="Times New Roman"/>
          <w:i/>
          <w:sz w:val="22"/>
          <w:lang w:val="en-GB"/>
        </w:rPr>
      </w:pPr>
      <w:r w:rsidRPr="00AA2617">
        <w:rPr>
          <w:rFonts w:cs="Times New Roman"/>
          <w:i/>
          <w:sz w:val="22"/>
          <w:lang w:val="en-GB"/>
        </w:rPr>
        <w:t>Component 2. Strengthened capacity to measure emissions, removals, and emission-reduction activities from the agricultural and land-use sectors.</w:t>
      </w:r>
    </w:p>
    <w:p w14:paraId="658333C9" w14:textId="77777777" w:rsidR="00DA0F69" w:rsidRPr="00AA2617" w:rsidRDefault="00DA0F69" w:rsidP="00AA2617">
      <w:pPr>
        <w:pStyle w:val="NumberedParagraph"/>
        <w:ind w:left="360"/>
        <w:rPr>
          <w:sz w:val="22"/>
          <w:lang w:val="en-GB"/>
        </w:rPr>
      </w:pPr>
      <w:r w:rsidRPr="00AA2617">
        <w:rPr>
          <w:sz w:val="22"/>
          <w:lang w:val="en-GB"/>
        </w:rPr>
        <w:t xml:space="preserve">Component 2 addresses the barriers to improved measurement of carbon sinks, GHG emissions and removals, and progress related to NDC mitigation activities in the AFOLU sector (compliant with the ETF and the 2006 IPCC </w:t>
      </w:r>
      <w:r w:rsidRPr="00AA2617">
        <w:rPr>
          <w:i/>
          <w:sz w:val="22"/>
          <w:lang w:val="en-GB"/>
        </w:rPr>
        <w:t>Guidelines</w:t>
      </w:r>
      <w:r w:rsidRPr="00AA2617">
        <w:rPr>
          <w:sz w:val="22"/>
          <w:lang w:val="en-GB"/>
        </w:rPr>
        <w:t>).  Activities under this component involve generation of appropriate metadata parameters, measurement protocols, and emissions factors, as well as to strengthen decentralized monitoring.  This component also builds the technological and human capacities for QC, measurement, primary data management, and QA.  In short, Component 2 works with various stakeholders to facilitate mitigation-related measurement and verification for the AFOLU sector, whereas Component 1 coordinates between stakeholders to facilitate effective reporting.</w:t>
      </w:r>
    </w:p>
    <w:p w14:paraId="7566A2B3" w14:textId="4178A49B" w:rsidR="00DA0F69" w:rsidRPr="00AA2617" w:rsidRDefault="00DA0F69" w:rsidP="00AA2617">
      <w:pPr>
        <w:spacing w:before="240"/>
        <w:outlineLvl w:val="3"/>
        <w:rPr>
          <w:rFonts w:cs="Times New Roman"/>
          <w:i/>
          <w:sz w:val="22"/>
          <w:lang w:val="en-GB"/>
        </w:rPr>
      </w:pPr>
      <w:r w:rsidRPr="00AA2617">
        <w:rPr>
          <w:rFonts w:cs="Times New Roman"/>
          <w:i/>
          <w:sz w:val="22"/>
          <w:lang w:val="en-GB"/>
        </w:rPr>
        <w:t xml:space="preserve">Outcome 2.1.  Strengthened capacity to </w:t>
      </w:r>
      <w:r w:rsidR="00F627B7" w:rsidRPr="00AA2617">
        <w:rPr>
          <w:rFonts w:cs="Times New Roman"/>
          <w:i/>
          <w:sz w:val="22"/>
          <w:lang w:val="en-GB"/>
        </w:rPr>
        <w:t xml:space="preserve">estimate </w:t>
      </w:r>
      <w:r w:rsidRPr="00AA2617">
        <w:rPr>
          <w:rFonts w:cs="Times New Roman"/>
          <w:i/>
          <w:sz w:val="22"/>
          <w:lang w:val="en-GB"/>
        </w:rPr>
        <w:t xml:space="preserve"> GHG emissions, removals, and emission-reduction activities from agricultural and land-use sectors. </w:t>
      </w:r>
    </w:p>
    <w:p w14:paraId="7D7C9074" w14:textId="77777777" w:rsidR="00DA0F69" w:rsidRPr="00AA2617" w:rsidRDefault="00DA0F69" w:rsidP="00AA2617">
      <w:pPr>
        <w:rPr>
          <w:rFonts w:cs="Times New Roman"/>
          <w:color w:val="0070C0"/>
          <w:sz w:val="22"/>
          <w:lang w:val="en-GB"/>
        </w:rPr>
      </w:pPr>
    </w:p>
    <w:p w14:paraId="2EBEB3D8" w14:textId="36E4937A" w:rsidR="00DA0F69" w:rsidRPr="00AA2617" w:rsidRDefault="00DA0F69" w:rsidP="00AA2617">
      <w:pPr>
        <w:pStyle w:val="NumberedParagraph"/>
        <w:ind w:left="360"/>
        <w:rPr>
          <w:sz w:val="22"/>
          <w:lang w:val="en-GB"/>
        </w:rPr>
      </w:pPr>
      <w:r w:rsidRPr="00AA2617">
        <w:rPr>
          <w:sz w:val="22"/>
          <w:lang w:val="en-GB"/>
        </w:rPr>
        <w:t>Activities under this outcome will draw substantially from</w:t>
      </w:r>
      <w:r w:rsidR="00F627B7" w:rsidRPr="00AA2617">
        <w:rPr>
          <w:sz w:val="22"/>
          <w:lang w:val="en-GB"/>
        </w:rPr>
        <w:t xml:space="preserve"> IPCC guidelines,</w:t>
      </w:r>
      <w:r w:rsidRPr="00AA2617">
        <w:rPr>
          <w:sz w:val="22"/>
          <w:lang w:val="en-GB"/>
        </w:rPr>
        <w:t xml:space="preserve"> FAO’s </w:t>
      </w:r>
      <w:r w:rsidRPr="00AA2617">
        <w:rPr>
          <w:i/>
          <w:sz w:val="22"/>
          <w:lang w:val="en-GB"/>
        </w:rPr>
        <w:t xml:space="preserve">Estimating Greenhouse Gas Emissions in Agriculture:  A Manual to Address Data Requirements for Developing Countries </w:t>
      </w:r>
      <w:r w:rsidRPr="00AA2617">
        <w:rPr>
          <w:sz w:val="22"/>
          <w:lang w:val="en-GB"/>
        </w:rPr>
        <w:t>(2015)</w:t>
      </w:r>
      <w:r w:rsidRPr="00AA2617">
        <w:rPr>
          <w:rStyle w:val="FootnoteReference"/>
          <w:sz w:val="22"/>
          <w:lang w:val="en-GB"/>
        </w:rPr>
        <w:footnoteReference w:id="31"/>
      </w:r>
      <w:r w:rsidRPr="00AA2617">
        <w:rPr>
          <w:sz w:val="22"/>
          <w:lang w:val="en-GB"/>
        </w:rPr>
        <w:t>. Numerous relevant tools and other resources are available via FAO’s Mitigation of Climate Change in Agriculture (MICCA) program.</w:t>
      </w:r>
      <w:r w:rsidRPr="00AA2617">
        <w:rPr>
          <w:rStyle w:val="FootnoteReference"/>
          <w:sz w:val="22"/>
          <w:lang w:val="en-GB"/>
        </w:rPr>
        <w:footnoteReference w:id="32"/>
      </w:r>
    </w:p>
    <w:p w14:paraId="65062921" w14:textId="4C4F9677" w:rsidR="00DA0F69" w:rsidRPr="00AA2617" w:rsidRDefault="00DA0F69" w:rsidP="00AA2617">
      <w:pPr>
        <w:spacing w:before="240"/>
        <w:rPr>
          <w:rFonts w:cs="Times New Roman"/>
          <w:i/>
          <w:sz w:val="22"/>
          <w:lang w:val="en-GB"/>
        </w:rPr>
      </w:pPr>
      <w:r w:rsidRPr="00AA2617">
        <w:rPr>
          <w:rFonts w:cs="Times New Roman"/>
          <w:i/>
          <w:sz w:val="22"/>
          <w:lang w:val="en-GB"/>
        </w:rPr>
        <w:t xml:space="preserve">Output 2.1.1. Quality-control (QC) protocols established for regular, systematic </w:t>
      </w:r>
      <w:r w:rsidR="00F627B7" w:rsidRPr="00AA2617">
        <w:rPr>
          <w:rFonts w:cs="Times New Roman"/>
          <w:i/>
          <w:sz w:val="22"/>
          <w:lang w:val="en-GB"/>
        </w:rPr>
        <w:t xml:space="preserve">estimates </w:t>
      </w:r>
      <w:r w:rsidRPr="00AA2617">
        <w:rPr>
          <w:rFonts w:cs="Times New Roman"/>
          <w:i/>
          <w:sz w:val="22"/>
          <w:lang w:val="en-GB"/>
        </w:rPr>
        <w:t xml:space="preserve"> of emissions, removals, and emission-reduction activities in the agricultural and land-use sectors.</w:t>
      </w:r>
    </w:p>
    <w:p w14:paraId="3864B1A7" w14:textId="24567C83" w:rsidR="00DA0F69" w:rsidRPr="00AA2617" w:rsidRDefault="00DA0F69" w:rsidP="00AA2617">
      <w:pPr>
        <w:pStyle w:val="NumberedParagraph"/>
        <w:ind w:left="360"/>
        <w:rPr>
          <w:sz w:val="22"/>
          <w:lang w:val="en-GB"/>
        </w:rPr>
      </w:pPr>
      <w:r w:rsidRPr="00AA2617">
        <w:rPr>
          <w:sz w:val="22"/>
          <w:lang w:val="en-GB"/>
        </w:rPr>
        <w:t xml:space="preserve">Activities under this output will ensure systematic, rigorous, consistent protocols for mitigation-related measurement and archiving of relevant data for the AFOLU sector, which will also provide a basis for corresponding validation.  </w:t>
      </w:r>
      <w:r w:rsidR="009C405D" w:rsidRPr="00AA2617">
        <w:rPr>
          <w:sz w:val="22"/>
          <w:lang w:val="en-GB"/>
        </w:rPr>
        <w:t xml:space="preserve">Forestry sector activity data updation to be carried out using 2019 – 2020 satellite imagery to ensure more </w:t>
      </w:r>
      <w:r w:rsidRPr="00AA2617">
        <w:rPr>
          <w:sz w:val="22"/>
          <w:lang w:val="en-GB"/>
        </w:rPr>
        <w:t xml:space="preserve">Protocols stipulate the use of Tier 1 defaults for non-key categories or for periods of transition to more rigorous </w:t>
      </w:r>
      <w:r w:rsidR="00A36BC7" w:rsidRPr="00AA2617">
        <w:rPr>
          <w:sz w:val="22"/>
          <w:lang w:val="en-GB"/>
        </w:rPr>
        <w:t>and transparent QC/QA systems</w:t>
      </w:r>
      <w:r w:rsidRPr="00AA2617">
        <w:rPr>
          <w:sz w:val="22"/>
          <w:lang w:val="en-GB"/>
        </w:rPr>
        <w:t xml:space="preserve">  </w:t>
      </w:r>
    </w:p>
    <w:p w14:paraId="42A27420" w14:textId="77777777" w:rsidR="00DA0F69" w:rsidRPr="00AA2617" w:rsidRDefault="00DA0F69" w:rsidP="00AA2617">
      <w:pPr>
        <w:rPr>
          <w:rFonts w:cs="Times New Roman"/>
          <w:sz w:val="22"/>
          <w:lang w:val="en-GB"/>
        </w:rPr>
      </w:pPr>
    </w:p>
    <w:p w14:paraId="6D4DC1F8" w14:textId="77777777" w:rsidR="00DA0F69" w:rsidRPr="00AA2617" w:rsidRDefault="00DA0F69" w:rsidP="00AA2617">
      <w:pPr>
        <w:ind w:left="360"/>
        <w:jc w:val="left"/>
        <w:rPr>
          <w:rFonts w:cs="Times New Roman"/>
          <w:i/>
          <w:sz w:val="22"/>
          <w:lang w:val="en-GB"/>
        </w:rPr>
      </w:pPr>
      <w:r w:rsidRPr="00AA2617">
        <w:rPr>
          <w:rFonts w:cs="Times New Roman"/>
          <w:i/>
          <w:sz w:val="22"/>
          <w:lang w:val="en-GB"/>
        </w:rPr>
        <w:t xml:space="preserve">Activity 2.1.1.1.  Establish data entry templates and specifiy updating frequency for partner agencies to match with national GHG inventory/ reporting cycles.      </w:t>
      </w:r>
    </w:p>
    <w:p w14:paraId="5B1738D5" w14:textId="3E56F6F6" w:rsidR="00DA0F69" w:rsidRPr="00AA2617" w:rsidRDefault="00DA0F69" w:rsidP="00AA2617">
      <w:pPr>
        <w:pStyle w:val="NumberedParagraph"/>
        <w:ind w:left="360"/>
        <w:rPr>
          <w:sz w:val="22"/>
          <w:lang w:val="en-GB"/>
        </w:rPr>
      </w:pPr>
      <w:r w:rsidRPr="00AA2617">
        <w:rPr>
          <w:sz w:val="22"/>
          <w:lang w:val="en-GB"/>
        </w:rPr>
        <w:t xml:space="preserve">QC protocols define how required data will be collected, when (e.g., timing, circumstances), where, and by whom.  They include methodological guidelines on sampling, technology, and data-handling.  QC protocols also define capacity requirements, such as the technical skills required for various roles associated with data collection.  QC protocols will be developed in close collaboration with the establishment of </w:t>
      </w:r>
      <w:r w:rsidR="00CF3006" w:rsidRPr="00AA2617">
        <w:rPr>
          <w:sz w:val="22"/>
          <w:lang w:val="en-GB"/>
        </w:rPr>
        <w:t>(</w:t>
      </w:r>
      <w:r w:rsidRPr="00AA2617">
        <w:rPr>
          <w:sz w:val="22"/>
          <w:lang w:val="en-GB"/>
        </w:rPr>
        <w:t>meta</w:t>
      </w:r>
      <w:r w:rsidR="00CF3006" w:rsidRPr="00AA2617">
        <w:rPr>
          <w:sz w:val="22"/>
          <w:lang w:val="en-GB"/>
        </w:rPr>
        <w:t>)</w:t>
      </w:r>
      <w:r w:rsidRPr="00AA2617">
        <w:rPr>
          <w:sz w:val="22"/>
          <w:lang w:val="en-GB"/>
        </w:rPr>
        <w:t>data parameters (Activity 2.1.1.1). This activity will work with stakeholders to establish metadata parameters for the metrics, fields, types, frequencies, formats, etc. for the data to be collected and provided.  Metadata parameters will be established for both primary and proxy measures .</w:t>
      </w:r>
    </w:p>
    <w:p w14:paraId="24EC3965" w14:textId="77777777" w:rsidR="00DA0F69" w:rsidRPr="00AA2617" w:rsidRDefault="00DA0F69" w:rsidP="00AA2617">
      <w:pPr>
        <w:ind w:left="360"/>
        <w:jc w:val="left"/>
        <w:rPr>
          <w:rFonts w:cs="Times New Roman"/>
          <w:i/>
          <w:sz w:val="22"/>
          <w:lang w:val="en-GB"/>
        </w:rPr>
      </w:pPr>
      <w:r w:rsidRPr="00AA2617">
        <w:rPr>
          <w:rFonts w:cs="Times New Roman"/>
          <w:i/>
          <w:sz w:val="22"/>
          <w:lang w:val="en-GB"/>
        </w:rPr>
        <w:t xml:space="preserve">                                                                                                                                                                                                                                                                   Activity 2.1.1.2.  Estimate resource requirements and sources for initial and sustained support (e.g., technology, personnel, funding, etc.).                                                                                                                                                                                                                                                               </w:t>
      </w:r>
    </w:p>
    <w:p w14:paraId="15628E64" w14:textId="77777777" w:rsidR="00DA0F69" w:rsidRPr="00AA2617" w:rsidRDefault="00DA0F69" w:rsidP="00AA2617">
      <w:pPr>
        <w:pStyle w:val="NumberedParagraph"/>
        <w:ind w:left="360"/>
        <w:rPr>
          <w:i/>
          <w:sz w:val="22"/>
          <w:lang w:val="en-GB"/>
        </w:rPr>
      </w:pPr>
      <w:r w:rsidRPr="00AA2617">
        <w:rPr>
          <w:sz w:val="22"/>
          <w:lang w:val="en-GB"/>
        </w:rPr>
        <w:lastRenderedPageBreak/>
        <w:t xml:space="preserve">This activity builds on the investment framework of the </w:t>
      </w:r>
      <w:r w:rsidRPr="00AA2617">
        <w:rPr>
          <w:rFonts w:cstheme="minorHAnsi"/>
          <w:sz w:val="22"/>
          <w:lang w:val="en-GB"/>
        </w:rPr>
        <w:t>National Climate change Mitigation</w:t>
      </w:r>
      <w:r w:rsidRPr="00AA2617">
        <w:rPr>
          <w:sz w:val="22"/>
          <w:lang w:val="en-GB"/>
        </w:rPr>
        <w:t xml:space="preserve"> strategy and informs those estimates of resource requirements and sources.  The technical specificity under this output enables more precise estimates of necessary resources for near-term and steady-state measurement and data-archiving.  These estimates will aim to ensure the financial sustainability of the system by proposing cost-efficient approaches (including proxy measures, reduced redundancy, engagement with diverse stakeholders, etc.) and reliable, adequate, and preferably diverse sources of resource support (including technology, personnel, funding, on-going updating of skills, operation, maintenance, recapitalization, etc.).  </w:t>
      </w:r>
    </w:p>
    <w:p w14:paraId="00FD5CBC" w14:textId="77777777" w:rsidR="00DA0F69" w:rsidRPr="00AA2617" w:rsidRDefault="00DA0F69" w:rsidP="00AA2617">
      <w:pPr>
        <w:pStyle w:val="NumberedParagraph"/>
        <w:numPr>
          <w:ilvl w:val="0"/>
          <w:numId w:val="0"/>
        </w:numPr>
        <w:ind w:left="360"/>
        <w:rPr>
          <w:sz w:val="22"/>
          <w:lang w:val="en-GB"/>
        </w:rPr>
      </w:pPr>
    </w:p>
    <w:p w14:paraId="12DB59F0" w14:textId="77777777" w:rsidR="00DA0F69" w:rsidRPr="00AA2617" w:rsidRDefault="00DA0F69" w:rsidP="00AA2617">
      <w:pPr>
        <w:pStyle w:val="NumberedParagraph"/>
        <w:ind w:left="360"/>
        <w:rPr>
          <w:sz w:val="22"/>
          <w:lang w:val="en-GB"/>
        </w:rPr>
      </w:pPr>
      <w:r w:rsidRPr="00AA2617">
        <w:rPr>
          <w:sz w:val="22"/>
          <w:lang w:val="en-GB"/>
        </w:rPr>
        <w:t xml:space="preserve">On a regular basis, CCS will estimate the cost of mitigation investments and loss prevention expenses in the AFOLU sectors. CCS will also update the cost of these investments to governmental and private-sector financial institutions, involved in financing “green development” projects. However, in this regard, CCS potentially lack technical expertise to assess relevant environmental benefits and risks to perform cost-benefit analysis.  CCS will seek to identify pragmatic metrics that borrowers and financial institutions might use to substantiate and facilitate such investments and inform related financial considerations (e.g., including loan conditions, rate reductions, risk assessments for due diligence valuations, etc.).  </w:t>
      </w:r>
    </w:p>
    <w:p w14:paraId="0416042A" w14:textId="77777777" w:rsidR="00DA0F69" w:rsidRPr="00AA2617" w:rsidRDefault="00DA0F69" w:rsidP="00AA2617">
      <w:pPr>
        <w:ind w:left="360"/>
        <w:jc w:val="left"/>
        <w:rPr>
          <w:rFonts w:cs="Times New Roman"/>
          <w:i/>
          <w:sz w:val="22"/>
          <w:lang w:val="en-GB"/>
        </w:rPr>
      </w:pPr>
      <w:r w:rsidRPr="00AA2617">
        <w:rPr>
          <w:rFonts w:cs="Times New Roman"/>
          <w:i/>
          <w:sz w:val="22"/>
          <w:lang w:val="en-GB"/>
        </w:rPr>
        <w:t>Activity 2.1.1.3.  Draft AFOLU ETF data-provision guidelines.  (related to Output 1.1.3.)</w:t>
      </w:r>
    </w:p>
    <w:p w14:paraId="5BAA722C" w14:textId="77777777" w:rsidR="00DA0F69" w:rsidRPr="00AA2617" w:rsidRDefault="00DA0F69" w:rsidP="00AA2617">
      <w:pPr>
        <w:rPr>
          <w:rFonts w:cs="Times New Roman"/>
          <w:sz w:val="22"/>
          <w:lang w:val="en-GB"/>
        </w:rPr>
      </w:pPr>
    </w:p>
    <w:p w14:paraId="34EAD8F1" w14:textId="77777777" w:rsidR="00DA0F69" w:rsidRPr="00AA2617" w:rsidRDefault="00DA0F69" w:rsidP="00AA2617">
      <w:pPr>
        <w:pStyle w:val="NumberedParagraph"/>
        <w:ind w:left="360"/>
        <w:rPr>
          <w:sz w:val="22"/>
          <w:lang w:val="en-GB"/>
        </w:rPr>
      </w:pPr>
      <w:r w:rsidRPr="00AA2617">
        <w:rPr>
          <w:sz w:val="22"/>
          <w:lang w:val="en-GB"/>
        </w:rPr>
        <w:t>This activity will formalize guidelines to agencies and stakeholders for reporting or providing ETF-related data for the AFOLU sector (and potentially for other sectors).  These data-reporting guidelines will indicate which agencies are expected to provide what types of data, as well as standards for methods, data quality, frequency, formatting, etc.  The project will work to strengthen the commitments of data-providing agencies as well as the associated mechanisms for enabling and accountability</w:t>
      </w:r>
    </w:p>
    <w:p w14:paraId="30915458" w14:textId="77777777" w:rsidR="00DA0F69" w:rsidRPr="00AA2617" w:rsidRDefault="00DA0F69" w:rsidP="00AA2617">
      <w:pPr>
        <w:spacing w:before="240"/>
        <w:rPr>
          <w:rFonts w:cs="Times New Roman"/>
          <w:i/>
          <w:sz w:val="22"/>
          <w:lang w:val="en-GB"/>
        </w:rPr>
      </w:pPr>
      <w:r w:rsidRPr="00AA2617">
        <w:rPr>
          <w:rFonts w:cs="Times New Roman"/>
          <w:i/>
          <w:sz w:val="22"/>
          <w:lang w:val="en-GB"/>
        </w:rPr>
        <w:t>Output 2.1.2. Information technology systems upgraded to integrate, analyze, and archive diverse data types.</w:t>
      </w:r>
    </w:p>
    <w:p w14:paraId="525D6FB0" w14:textId="77777777" w:rsidR="00DA0F69" w:rsidRPr="00AA2617" w:rsidRDefault="00DA0F69" w:rsidP="00AA2617">
      <w:pPr>
        <w:ind w:left="567"/>
        <w:rPr>
          <w:rFonts w:cs="Times New Roman"/>
          <w:i/>
          <w:sz w:val="22"/>
          <w:lang w:val="en-GB"/>
        </w:rPr>
      </w:pPr>
      <w:r w:rsidRPr="00AA2617">
        <w:rPr>
          <w:rFonts w:cs="Times New Roman"/>
          <w:i/>
          <w:sz w:val="22"/>
          <w:lang w:val="en-GB"/>
        </w:rPr>
        <w:t>Activity 2.1.2.1.  Develop a dedicated ICT infrastructure for parallel updating by stakeholder and partner institutions with appropriate security clearances</w:t>
      </w:r>
    </w:p>
    <w:p w14:paraId="659283DC" w14:textId="77777777" w:rsidR="00DA0F69" w:rsidRPr="00AA2617" w:rsidRDefault="00DA0F69" w:rsidP="00AA2617">
      <w:pPr>
        <w:pStyle w:val="NumberedParagraph"/>
        <w:ind w:left="360"/>
        <w:rPr>
          <w:sz w:val="22"/>
          <w:lang w:val="en-GB"/>
        </w:rPr>
      </w:pPr>
      <w:r w:rsidRPr="00AA2617">
        <w:rPr>
          <w:sz w:val="22"/>
          <w:lang w:val="en-GB"/>
        </w:rPr>
        <w:t>The stakeholder workshop highlighted the absence of adequate and reliable ICT infrastructure to host a database capable of real time updating at CCS. It is not only storing data but also a setting which can be managed by an appropriately decentralised administrative platform. Also, necessary improvements pertain to data connectivity and integration of a broader range of geospatial and non-geospatial data.  Technological upgrades of the database and the ICT infrastructure will be supported by capacity development as needed.</w:t>
      </w:r>
    </w:p>
    <w:p w14:paraId="40D96F5B" w14:textId="77777777" w:rsidR="00DA0F69" w:rsidRPr="00AA2617" w:rsidRDefault="00DA0F69" w:rsidP="00AA2617">
      <w:pPr>
        <w:spacing w:before="240"/>
        <w:rPr>
          <w:rFonts w:cs="Times New Roman"/>
          <w:i/>
          <w:sz w:val="22"/>
          <w:lang w:val="en-GB"/>
        </w:rPr>
      </w:pPr>
      <w:r w:rsidRPr="00AA2617">
        <w:rPr>
          <w:rFonts w:cs="Times New Roman"/>
          <w:i/>
          <w:sz w:val="22"/>
          <w:lang w:val="en-GB"/>
        </w:rPr>
        <w:t>Output 2.1.3. Capacity and technology upgraded in relevant institutions to strengthen mitigation-related MRV, including country-specific emissions factors, activity data, and Tier 2 reporting for key sub-categories in the agriculture, forestry and land-use sectors.  (Coordinates with 3.1.3.)</w:t>
      </w:r>
    </w:p>
    <w:p w14:paraId="7091C721" w14:textId="77777777" w:rsidR="00DA0F69" w:rsidRPr="00AA2617" w:rsidRDefault="00DA0F69" w:rsidP="00AA2617">
      <w:pPr>
        <w:pStyle w:val="NumberedParagraph"/>
        <w:ind w:left="360"/>
        <w:rPr>
          <w:sz w:val="22"/>
          <w:lang w:val="en-GB"/>
        </w:rPr>
      </w:pPr>
      <w:r w:rsidRPr="00AA2617">
        <w:rPr>
          <w:sz w:val="22"/>
          <w:lang w:val="en-GB"/>
        </w:rPr>
        <w:t xml:space="preserve">In coordination with activities under Output 3.1.3, activities under this output will ensure that relevant agencies have the technology and knowledge to follow the protocols established under Outputs 1.1.3 and 2.1.1.  </w:t>
      </w:r>
    </w:p>
    <w:p w14:paraId="723997E4" w14:textId="3B77F423" w:rsidR="00FA7097" w:rsidRPr="00AA2617" w:rsidRDefault="00FA7097" w:rsidP="00AA2617">
      <w:pPr>
        <w:ind w:left="567"/>
        <w:rPr>
          <w:rFonts w:cs="Times New Roman"/>
          <w:i/>
          <w:sz w:val="22"/>
          <w:lang w:val="en-GB"/>
        </w:rPr>
      </w:pPr>
      <w:bookmarkStart w:id="30" w:name="_Hlk8736057"/>
      <w:r w:rsidRPr="00AA2617">
        <w:rPr>
          <w:rFonts w:cs="Times New Roman"/>
          <w:i/>
          <w:sz w:val="22"/>
          <w:lang w:val="en-GB"/>
        </w:rPr>
        <w:t>Activity 2.1.3.1.  Update forest cover maps, develop allometric equations for updated estimates of emission from source and removals from sinks in forestry sector</w:t>
      </w:r>
    </w:p>
    <w:bookmarkEnd w:id="30"/>
    <w:p w14:paraId="23912B5C" w14:textId="5397852A" w:rsidR="00DA0F69" w:rsidRPr="00AA2617" w:rsidRDefault="00FA7097" w:rsidP="00AA2617">
      <w:pPr>
        <w:rPr>
          <w:rFonts w:cs="Times New Roman"/>
          <w:sz w:val="22"/>
          <w:lang w:val="en-GB"/>
        </w:rPr>
      </w:pPr>
      <w:r w:rsidRPr="00AA2617">
        <w:rPr>
          <w:rFonts w:cs="Times New Roman"/>
          <w:sz w:val="22"/>
          <w:lang w:val="en-GB"/>
        </w:rPr>
        <w:t>This activity will focus on updating forest cover map of Sri Lanka and will provide foundation for updating emission and removal capacity from forestry sector. At present Sri Lanka uses year 2010 forest cover map which is very old. Forest Department is conducting National Forest Inventory which is expected to be completed in three years. This activity will also support current on-going initiatives of forest department and will have incremental benefits</w:t>
      </w:r>
      <w:r w:rsidR="00142A07" w:rsidRPr="00AA2617">
        <w:rPr>
          <w:rFonts w:cs="Times New Roman"/>
          <w:sz w:val="22"/>
          <w:lang w:val="en-GB"/>
        </w:rPr>
        <w:t xml:space="preserve"> in forest carbon estimation using non-destructive </w:t>
      </w:r>
      <w:r w:rsidR="00142A07" w:rsidRPr="00AA2617">
        <w:rPr>
          <w:rFonts w:cs="Times New Roman"/>
          <w:sz w:val="22"/>
          <w:lang w:val="en-GB"/>
        </w:rPr>
        <w:lastRenderedPageBreak/>
        <w:t>methods</w:t>
      </w:r>
      <w:r w:rsidRPr="00AA2617">
        <w:rPr>
          <w:rFonts w:cs="Times New Roman"/>
          <w:sz w:val="22"/>
          <w:lang w:val="en-GB"/>
        </w:rPr>
        <w:t xml:space="preserve">. It will also lead to updating Forest Reference Level of Sri Lanka which was submitted to UNFCCC in year 2017. </w:t>
      </w:r>
    </w:p>
    <w:p w14:paraId="213B2051" w14:textId="74539672" w:rsidR="00F627B7" w:rsidRPr="00AA2617" w:rsidRDefault="00F627B7" w:rsidP="00AA2617">
      <w:pPr>
        <w:rPr>
          <w:rFonts w:cs="Times New Roman"/>
          <w:sz w:val="22"/>
          <w:lang w:val="en-GB"/>
        </w:rPr>
      </w:pPr>
    </w:p>
    <w:p w14:paraId="02EC5DE8" w14:textId="34739FD0" w:rsidR="00ED346C" w:rsidRPr="00AA2617" w:rsidRDefault="00F627B7" w:rsidP="00AA2617">
      <w:pPr>
        <w:ind w:left="567"/>
        <w:rPr>
          <w:rFonts w:cs="Times New Roman"/>
          <w:i/>
          <w:sz w:val="22"/>
          <w:lang w:val="en-GB"/>
        </w:rPr>
      </w:pPr>
      <w:r w:rsidRPr="00AA2617">
        <w:rPr>
          <w:rFonts w:cs="Times New Roman"/>
          <w:i/>
          <w:sz w:val="22"/>
          <w:lang w:val="en-GB"/>
        </w:rPr>
        <w:t>Activity 2.1.3.</w:t>
      </w:r>
      <w:r w:rsidR="00B66778" w:rsidRPr="00AA2617">
        <w:rPr>
          <w:rFonts w:cs="Times New Roman"/>
          <w:i/>
          <w:sz w:val="22"/>
          <w:lang w:val="en-GB"/>
        </w:rPr>
        <w:t>2</w:t>
      </w:r>
      <w:r w:rsidR="00ED346C" w:rsidRPr="00AA2617">
        <w:rPr>
          <w:rFonts w:cs="Times New Roman"/>
          <w:i/>
          <w:sz w:val="22"/>
          <w:lang w:val="en-GB"/>
        </w:rPr>
        <w:t>. Capacity development for three priority key categories</w:t>
      </w:r>
    </w:p>
    <w:p w14:paraId="5D4A974A" w14:textId="4955D3BD" w:rsidR="00F627B7" w:rsidRPr="00AA2617" w:rsidRDefault="00ED346C" w:rsidP="00AA2617">
      <w:pPr>
        <w:rPr>
          <w:rFonts w:cs="Times New Roman"/>
          <w:i/>
          <w:sz w:val="22"/>
          <w:lang w:val="en-GB"/>
        </w:rPr>
      </w:pPr>
      <w:r w:rsidRPr="00AA2617">
        <w:rPr>
          <w:rFonts w:cs="Times New Roman"/>
          <w:i/>
          <w:sz w:val="22"/>
          <w:lang w:val="en-GB"/>
        </w:rPr>
        <w:t xml:space="preserve">Referring to the paragraph </w:t>
      </w:r>
      <w:r w:rsidR="009B57A8" w:rsidRPr="00AA2617">
        <w:rPr>
          <w:rFonts w:cs="Times New Roman"/>
          <w:i/>
          <w:sz w:val="22"/>
          <w:lang w:val="en-GB"/>
        </w:rPr>
        <w:t>16,17</w:t>
      </w:r>
      <w:r w:rsidR="00142A07" w:rsidRPr="00AA2617">
        <w:rPr>
          <w:rFonts w:cs="Times New Roman"/>
          <w:i/>
          <w:sz w:val="22"/>
          <w:lang w:val="en-GB"/>
        </w:rPr>
        <w:t>, 28, 29</w:t>
      </w:r>
      <w:r w:rsidR="009B57A8" w:rsidRPr="00AA2617">
        <w:rPr>
          <w:rFonts w:cs="Times New Roman"/>
          <w:i/>
          <w:sz w:val="22"/>
          <w:lang w:val="en-GB"/>
        </w:rPr>
        <w:t xml:space="preserve"> and </w:t>
      </w:r>
      <w:r w:rsidRPr="00AA2617">
        <w:rPr>
          <w:rFonts w:cs="Times New Roman"/>
          <w:i/>
          <w:sz w:val="22"/>
          <w:lang w:val="en-GB"/>
        </w:rPr>
        <w:t>56, the project will contribute to capacity</w:t>
      </w:r>
      <w:r w:rsidR="001D1029" w:rsidRPr="00AA2617">
        <w:rPr>
          <w:rFonts w:cs="Times New Roman"/>
          <w:i/>
          <w:sz w:val="22"/>
          <w:lang w:val="en-GB"/>
        </w:rPr>
        <w:t xml:space="preserve"> building</w:t>
      </w:r>
      <w:r w:rsidRPr="00AA2617">
        <w:rPr>
          <w:rFonts w:cs="Times New Roman"/>
          <w:i/>
          <w:sz w:val="22"/>
          <w:lang w:val="en-GB"/>
        </w:rPr>
        <w:t xml:space="preserve"> </w:t>
      </w:r>
      <w:r w:rsidR="001D1029" w:rsidRPr="00AA2617">
        <w:rPr>
          <w:rFonts w:cs="Times New Roman"/>
          <w:i/>
          <w:sz w:val="22"/>
          <w:lang w:val="en-GB"/>
        </w:rPr>
        <w:t xml:space="preserve">for </w:t>
      </w:r>
      <w:r w:rsidRPr="00AA2617">
        <w:rPr>
          <w:rFonts w:cs="Times New Roman"/>
          <w:i/>
          <w:sz w:val="22"/>
          <w:lang w:val="en-GB"/>
        </w:rPr>
        <w:t xml:space="preserve">three key categories i.e, </w:t>
      </w:r>
      <w:r w:rsidR="001D1029" w:rsidRPr="00AA2617">
        <w:t>Enteric fermentation, CH</w:t>
      </w:r>
      <w:r w:rsidR="001D1029" w:rsidRPr="00AA2617">
        <w:rPr>
          <w:vertAlign w:val="subscript"/>
        </w:rPr>
        <w:t>4</w:t>
      </w:r>
      <w:r w:rsidR="001D1029" w:rsidRPr="00AA2617">
        <w:t xml:space="preserve"> Emission from rice cultivation and Urea application. Currently Sri Lanka is using default emission factor and country feels that it needs to be updated using national parameters. </w:t>
      </w:r>
    </w:p>
    <w:p w14:paraId="13393155" w14:textId="244C2A00" w:rsidR="00DA0F69" w:rsidRPr="00AA2617" w:rsidRDefault="00DA0F69" w:rsidP="00AA2617">
      <w:pPr>
        <w:ind w:left="567"/>
        <w:rPr>
          <w:rFonts w:cs="Times New Roman"/>
          <w:i/>
          <w:sz w:val="22"/>
          <w:lang w:val="en-GB"/>
        </w:rPr>
      </w:pPr>
      <w:r w:rsidRPr="00AA2617">
        <w:rPr>
          <w:rFonts w:cs="Times New Roman"/>
          <w:i/>
          <w:sz w:val="22"/>
          <w:lang w:val="en-GB"/>
        </w:rPr>
        <w:t>Activity 2.1.3.</w:t>
      </w:r>
      <w:r w:rsidR="00B66778" w:rsidRPr="00AA2617">
        <w:rPr>
          <w:rFonts w:cs="Times New Roman"/>
          <w:i/>
          <w:sz w:val="22"/>
          <w:lang w:val="en-GB"/>
        </w:rPr>
        <w:t>3</w:t>
      </w:r>
      <w:r w:rsidRPr="00AA2617">
        <w:rPr>
          <w:rFonts w:cs="Times New Roman"/>
          <w:i/>
          <w:sz w:val="22"/>
          <w:lang w:val="en-GB"/>
        </w:rPr>
        <w:t>.  Provide relevant stakeholders with the equipment and software necessary for decentralized data collection, storage, and uploading in line with data-provision guidelines</w:t>
      </w:r>
    </w:p>
    <w:p w14:paraId="1426333E" w14:textId="77777777" w:rsidR="00DA0F69" w:rsidRPr="00AA2617" w:rsidRDefault="00DA0F69" w:rsidP="00AA2617">
      <w:pPr>
        <w:ind w:left="567"/>
        <w:rPr>
          <w:rFonts w:cs="Times New Roman"/>
          <w:i/>
          <w:sz w:val="22"/>
          <w:lang w:val="en-GB"/>
        </w:rPr>
      </w:pPr>
    </w:p>
    <w:p w14:paraId="18888F31" w14:textId="77777777" w:rsidR="00DA0F69" w:rsidRPr="00AA2617" w:rsidRDefault="00DA0F69" w:rsidP="00AA2617">
      <w:pPr>
        <w:pStyle w:val="NumberedParagraph"/>
        <w:ind w:left="360"/>
        <w:rPr>
          <w:sz w:val="22"/>
          <w:lang w:val="en-GB"/>
        </w:rPr>
      </w:pPr>
      <w:r w:rsidRPr="00AA2617">
        <w:rPr>
          <w:rFonts w:cstheme="minorHAnsi"/>
          <w:sz w:val="22"/>
          <w:lang w:val="en-GB"/>
        </w:rPr>
        <w:t xml:space="preserve">This activity accords with recommendations made by the participants at the stakeholder workshop.  </w:t>
      </w:r>
      <w:r w:rsidRPr="00AA2617">
        <w:rPr>
          <w:sz w:val="22"/>
          <w:lang w:val="en-GB"/>
        </w:rPr>
        <w:t>It will facilitate an efficient technological and operational approach, such as by aligning existing and MRV/ ETF-related operations and technologies to reduce redundancies.  For efficiency and data accuracy, when possible, the project will use technology that entails automatic uploading and synchronization from data-collection hardware to primary databases.  These procurement activities need to be fast tracked under special permissions and generated through the TWG.</w:t>
      </w:r>
    </w:p>
    <w:p w14:paraId="49EA1115" w14:textId="18F40284" w:rsidR="00DA0F69" w:rsidRPr="00AA2617" w:rsidRDefault="00DA0F69" w:rsidP="00AA2617">
      <w:pPr>
        <w:ind w:left="567"/>
        <w:rPr>
          <w:rFonts w:cs="Times New Roman"/>
          <w:i/>
          <w:sz w:val="22"/>
          <w:lang w:val="en-GB"/>
        </w:rPr>
      </w:pPr>
      <w:r w:rsidRPr="00AA2617">
        <w:rPr>
          <w:rFonts w:cs="Times New Roman"/>
          <w:i/>
          <w:sz w:val="22"/>
          <w:lang w:val="en-GB"/>
        </w:rPr>
        <w:t xml:space="preserve">                                                                                                                                                             Activity 2.1.3.</w:t>
      </w:r>
      <w:r w:rsidR="00B66778" w:rsidRPr="00AA2617">
        <w:rPr>
          <w:rFonts w:cs="Times New Roman"/>
          <w:i/>
          <w:sz w:val="22"/>
          <w:lang w:val="en-GB"/>
        </w:rPr>
        <w:t>4</w:t>
      </w:r>
      <w:r w:rsidRPr="00AA2617">
        <w:rPr>
          <w:rFonts w:cs="Times New Roman"/>
          <w:i/>
          <w:sz w:val="22"/>
          <w:lang w:val="en-GB"/>
        </w:rPr>
        <w:t>.  Produce training materials, including materials for training of trainers, for associated technologies and QC protocols.</w:t>
      </w:r>
    </w:p>
    <w:p w14:paraId="339E3B01" w14:textId="77777777" w:rsidR="00DA0F69" w:rsidRPr="00AA2617" w:rsidRDefault="00DA0F69" w:rsidP="00AA2617">
      <w:pPr>
        <w:pStyle w:val="NumberedParagraph"/>
        <w:ind w:left="360"/>
        <w:rPr>
          <w:sz w:val="22"/>
          <w:lang w:val="en-GB"/>
        </w:rPr>
      </w:pPr>
      <w:r w:rsidRPr="00AA2617">
        <w:rPr>
          <w:rFonts w:cstheme="minorHAnsi"/>
          <w:sz w:val="22"/>
          <w:lang w:val="en-GB"/>
        </w:rPr>
        <w:t>Currently, there is no standard training and development guidelines for human resources involved in MRV related reporting in climate change mitigation. Different agencies receive various technical training exposure opportunities mostly organised by international agencies such as FAO. In-house protocols are sometimes developed but not validated by outside parties. The same is true about QC protocols. There are numerous instances of training manuals developed through various projects but not adopted consistently due to the absence of a broad validating process, In this regard, it is also important to develop the expert guidelines to perform the roles of trainers within the agencies and CCS.</w:t>
      </w:r>
    </w:p>
    <w:p w14:paraId="584A702D" w14:textId="77777777" w:rsidR="00DA0F69" w:rsidRPr="00AA2617" w:rsidRDefault="00DA0F69" w:rsidP="00AA2617">
      <w:pPr>
        <w:ind w:left="567"/>
        <w:rPr>
          <w:rFonts w:cs="Times New Roman"/>
          <w:i/>
          <w:sz w:val="22"/>
          <w:lang w:val="en-GB"/>
        </w:rPr>
      </w:pPr>
    </w:p>
    <w:p w14:paraId="3ABE4DE2" w14:textId="6411447D" w:rsidR="00DA0F69" w:rsidRPr="00AA2617" w:rsidRDefault="00DA0F69" w:rsidP="00AA2617">
      <w:pPr>
        <w:ind w:left="567"/>
        <w:rPr>
          <w:rFonts w:cs="Times New Roman"/>
          <w:i/>
          <w:sz w:val="22"/>
          <w:lang w:val="en-GB"/>
        </w:rPr>
      </w:pPr>
      <w:r w:rsidRPr="00AA2617">
        <w:rPr>
          <w:rFonts w:cs="Times New Roman"/>
          <w:i/>
          <w:sz w:val="22"/>
          <w:lang w:val="en-GB"/>
        </w:rPr>
        <w:t>Activity 2.1.3.</w:t>
      </w:r>
      <w:r w:rsidR="00B66778" w:rsidRPr="00AA2617">
        <w:rPr>
          <w:rFonts w:cs="Times New Roman"/>
          <w:i/>
          <w:sz w:val="22"/>
          <w:lang w:val="en-GB"/>
        </w:rPr>
        <w:t>5</w:t>
      </w:r>
      <w:r w:rsidRPr="00AA2617">
        <w:rPr>
          <w:rFonts w:cs="Times New Roman"/>
          <w:i/>
          <w:sz w:val="22"/>
          <w:lang w:val="en-GB"/>
        </w:rPr>
        <w:t>.  Conduct training of relevant stakeholders, including training of trainers, to enable measurements in line with data-provision guidelines.</w:t>
      </w:r>
    </w:p>
    <w:p w14:paraId="31BEA148" w14:textId="77777777" w:rsidR="00DA0F69" w:rsidRPr="00AA2617" w:rsidRDefault="00DA0F69" w:rsidP="00AA2617">
      <w:pPr>
        <w:rPr>
          <w:rFonts w:cs="Times New Roman"/>
          <w:sz w:val="22"/>
          <w:lang w:val="en-GB"/>
        </w:rPr>
      </w:pPr>
    </w:p>
    <w:p w14:paraId="793E1A40" w14:textId="77777777" w:rsidR="00DA0F69" w:rsidRPr="00AA2617" w:rsidRDefault="00DA0F69" w:rsidP="00AA2617">
      <w:pPr>
        <w:pStyle w:val="NumberedParagraph"/>
        <w:ind w:left="360"/>
        <w:rPr>
          <w:sz w:val="22"/>
          <w:lang w:val="en-GB"/>
        </w:rPr>
      </w:pPr>
      <w:r w:rsidRPr="00AA2617">
        <w:rPr>
          <w:rFonts w:cstheme="minorHAnsi"/>
          <w:sz w:val="22"/>
          <w:lang w:val="en-GB"/>
        </w:rPr>
        <w:t>As highlighted in activity 2.1.3.2</w:t>
      </w:r>
      <w:r w:rsidRPr="00AA2617">
        <w:rPr>
          <w:sz w:val="22"/>
          <w:lang w:val="en-GB"/>
        </w:rPr>
        <w:t>., training sessions should be planned for data collecting personnel and officers in AFOLU sector related mitigation activities. CCS representation in such training sessions is also necessary in order to maintain consistency of training protocols. It is important that training related to MRV follow a systematic path with various levels of human resources trained according to the respective role in the MRV chain.</w:t>
      </w:r>
    </w:p>
    <w:p w14:paraId="5E81F3F2" w14:textId="77777777" w:rsidR="00DA0F69" w:rsidRPr="00AA2617" w:rsidRDefault="00DA0F69" w:rsidP="00AA2617">
      <w:pPr>
        <w:ind w:left="1440"/>
        <w:rPr>
          <w:rFonts w:cs="Times New Roman"/>
          <w:color w:val="0070C0"/>
          <w:sz w:val="22"/>
          <w:lang w:val="en-GB"/>
        </w:rPr>
      </w:pPr>
    </w:p>
    <w:p w14:paraId="3A787DEE" w14:textId="77777777" w:rsidR="00DA0F69" w:rsidRPr="00AA2617" w:rsidRDefault="00DA0F69" w:rsidP="00AA2617">
      <w:pPr>
        <w:spacing w:before="240"/>
        <w:rPr>
          <w:rFonts w:cs="Times New Roman"/>
          <w:i/>
          <w:sz w:val="22"/>
          <w:lang w:val="en-GB"/>
        </w:rPr>
      </w:pPr>
      <w:r w:rsidRPr="00AA2617">
        <w:rPr>
          <w:rFonts w:cs="Times New Roman"/>
          <w:i/>
          <w:sz w:val="22"/>
          <w:lang w:val="en-GB"/>
        </w:rPr>
        <w:t>Output 2.1.4. Relevant measures validated and piloted for key mitigation sub-categories in the agriculture, forestry and other land-use sectors.</w:t>
      </w:r>
    </w:p>
    <w:p w14:paraId="3B83E655" w14:textId="77777777" w:rsidR="00DA0F69" w:rsidRPr="00AA2617" w:rsidRDefault="00DA0F69" w:rsidP="00AA2617">
      <w:pPr>
        <w:pStyle w:val="NumberedParagraph"/>
        <w:ind w:left="360"/>
        <w:rPr>
          <w:sz w:val="22"/>
          <w:lang w:val="en-GB"/>
        </w:rPr>
      </w:pPr>
      <w:r w:rsidRPr="00AA2617">
        <w:rPr>
          <w:sz w:val="22"/>
          <w:lang w:val="en-GB"/>
        </w:rPr>
        <w:t xml:space="preserve">Activities under this output pilot and validate proposed measures in order to identify technical and operational issues (e.g., challenges and opportunities for improvement) and calibrate proxy measures.  </w:t>
      </w:r>
    </w:p>
    <w:p w14:paraId="4E2820AC" w14:textId="77777777" w:rsidR="00DA0F69" w:rsidRPr="00AA2617" w:rsidRDefault="00DA0F69" w:rsidP="00AA2617">
      <w:pPr>
        <w:rPr>
          <w:rFonts w:cs="Times New Roman"/>
          <w:sz w:val="22"/>
          <w:lang w:val="en-GB"/>
        </w:rPr>
      </w:pPr>
    </w:p>
    <w:p w14:paraId="747A3F7F" w14:textId="198FB411" w:rsidR="00DA0F69" w:rsidRPr="00AA2617" w:rsidRDefault="00DA0F69" w:rsidP="00AA2617">
      <w:pPr>
        <w:ind w:left="360"/>
        <w:jc w:val="left"/>
        <w:rPr>
          <w:rFonts w:cs="Times New Roman"/>
          <w:i/>
          <w:sz w:val="22"/>
          <w:lang w:val="en-GB"/>
        </w:rPr>
      </w:pPr>
      <w:r w:rsidRPr="00AA2617">
        <w:rPr>
          <w:rFonts w:cs="Times New Roman"/>
          <w:i/>
          <w:sz w:val="22"/>
          <w:lang w:val="en-GB"/>
        </w:rPr>
        <w:lastRenderedPageBreak/>
        <w:t xml:space="preserve">Activity 2.1.4.1.  Commission meta-analysis studies to review relevant research literature to determine provisional Tier 2 estimates where possible and, as needed, uncertainty assessments for estimates in key sub-categories.  </w:t>
      </w:r>
    </w:p>
    <w:p w14:paraId="10E2E340" w14:textId="77777777" w:rsidR="00DA0F69" w:rsidRPr="00AA2617" w:rsidRDefault="00DA0F69" w:rsidP="00AA2617">
      <w:pPr>
        <w:ind w:left="360"/>
        <w:jc w:val="left"/>
        <w:rPr>
          <w:rFonts w:cs="Times New Roman"/>
          <w:i/>
          <w:sz w:val="22"/>
          <w:lang w:val="en-GB"/>
        </w:rPr>
      </w:pPr>
    </w:p>
    <w:p w14:paraId="62F5C2DC" w14:textId="713858E2" w:rsidR="00DA0F69" w:rsidRPr="00AA2617" w:rsidRDefault="00DA0F69" w:rsidP="00AA2617">
      <w:pPr>
        <w:pStyle w:val="NumberedParagraph"/>
        <w:ind w:left="360"/>
      </w:pPr>
      <w:r w:rsidRPr="00AA2617">
        <w:rPr>
          <w:sz w:val="22"/>
          <w:lang w:val="en-GB"/>
        </w:rPr>
        <w:t>This activity suggest</w:t>
      </w:r>
      <w:r w:rsidR="000832E2" w:rsidRPr="00AA2617">
        <w:rPr>
          <w:sz w:val="22"/>
          <w:lang w:val="en-GB"/>
        </w:rPr>
        <w:t>s</w:t>
      </w:r>
      <w:r w:rsidRPr="00AA2617">
        <w:rPr>
          <w:sz w:val="22"/>
          <w:lang w:val="en-GB"/>
        </w:rPr>
        <w:t xml:space="preserve"> conducting reviews, met-analyses and validation studies to </w:t>
      </w:r>
      <w:r w:rsidR="000832E2" w:rsidRPr="00AA2617">
        <w:rPr>
          <w:sz w:val="22"/>
          <w:lang w:val="en-GB"/>
        </w:rPr>
        <w:t>generate provisional</w:t>
      </w:r>
      <w:r w:rsidRPr="00AA2617">
        <w:rPr>
          <w:sz w:val="22"/>
          <w:lang w:val="en-GB"/>
        </w:rPr>
        <w:t xml:space="preserve"> estimates of emissions factors that are more appropriate for national circumstances and sub-categories than are the global Tier 1 estimates. Even in the previous National Communication by Sri Lanka, provisional estimates equivalent to Tier 1 have been discussed.  A comprehensive review provides a solid basis for Tier 2 estimations and validation of nationally conducted estimates of emissions factors, which would be expected to be more or less in line with prior research findings.</w:t>
      </w:r>
      <w:r w:rsidR="000832E2" w:rsidRPr="00AA2617">
        <w:rPr>
          <w:sz w:val="22"/>
          <w:lang w:val="en-GB"/>
        </w:rPr>
        <w:t xml:space="preserve"> </w:t>
      </w:r>
      <w:r w:rsidR="000832E2" w:rsidRPr="00AA2617">
        <w:rPr>
          <w:lang w:val="en-GB"/>
        </w:rPr>
        <w:t xml:space="preserve">This activity can be started with Forestry sector activity data </w:t>
      </w:r>
      <w:r w:rsidR="000832E2" w:rsidRPr="00AA2617">
        <w:t>to move from tier 1 to tier 2 through linking/supporting AE development</w:t>
      </w:r>
      <w:r w:rsidR="00295514" w:rsidRPr="00AA2617">
        <w:t xml:space="preserve">. </w:t>
      </w:r>
    </w:p>
    <w:p w14:paraId="09416072" w14:textId="77777777" w:rsidR="00DA0F69" w:rsidRPr="00AA2617" w:rsidRDefault="00DA0F69" w:rsidP="00AA2617">
      <w:pPr>
        <w:ind w:left="360"/>
        <w:jc w:val="left"/>
        <w:rPr>
          <w:rFonts w:cs="Times New Roman"/>
          <w:i/>
          <w:sz w:val="22"/>
          <w:lang w:val="en-GB"/>
        </w:rPr>
      </w:pPr>
      <w:r w:rsidRPr="00AA2617">
        <w:rPr>
          <w:rFonts w:cs="Times New Roman"/>
          <w:i/>
          <w:sz w:val="22"/>
          <w:lang w:val="en-GB"/>
        </w:rPr>
        <w:t xml:space="preserve">                                                                                                                                                  Activity 2.1.4.2.  Conduct pilot tests of measurement protocols and revise protocols as needed. </w:t>
      </w:r>
    </w:p>
    <w:p w14:paraId="2C1DA5D2" w14:textId="057D54A4" w:rsidR="00DA0F69" w:rsidRPr="00AA2617" w:rsidRDefault="00DA0F69" w:rsidP="00AA2617">
      <w:pPr>
        <w:pStyle w:val="NumberedParagraph"/>
        <w:ind w:left="360"/>
        <w:rPr>
          <w:i/>
          <w:sz w:val="22"/>
          <w:lang w:val="en-GB"/>
        </w:rPr>
      </w:pPr>
      <w:r w:rsidRPr="00AA2617">
        <w:rPr>
          <w:sz w:val="22"/>
          <w:lang w:val="en-GB"/>
        </w:rPr>
        <w:t xml:space="preserve">It is necessary to pilot the MRV protocols developed, specially, in the mitigation activities, because of instrumentation and scientific guidelines used. A piloting process will illustrate the process to the diverse agencies involved in the AFOLU sector. Since most authorities in the AFOLU sector  do not have experience in Climate change mitigation reporting, demonstrations are crucial once the personnel are trained. </w:t>
      </w:r>
    </w:p>
    <w:p w14:paraId="086F29CE" w14:textId="77777777" w:rsidR="00DA0F69" w:rsidRPr="00AA2617" w:rsidRDefault="00DA0F69" w:rsidP="00AA2617">
      <w:pPr>
        <w:ind w:left="360"/>
        <w:jc w:val="left"/>
        <w:rPr>
          <w:rFonts w:cs="Times New Roman"/>
          <w:i/>
          <w:sz w:val="22"/>
          <w:lang w:val="en-GB"/>
        </w:rPr>
      </w:pPr>
      <w:r w:rsidRPr="00AA2617">
        <w:rPr>
          <w:rFonts w:cs="Times New Roman"/>
          <w:i/>
          <w:sz w:val="22"/>
          <w:lang w:val="en-GB"/>
        </w:rPr>
        <w:t xml:space="preserve">                                                                                                                                                   Activity 2.1.4.3.  Conduct validation pilot studies of proxy measures and introduce an updating frequency for proxy measures.</w:t>
      </w:r>
    </w:p>
    <w:p w14:paraId="2BA38660" w14:textId="77777777" w:rsidR="00DA0F69" w:rsidRPr="00AA2617" w:rsidRDefault="00DA0F69" w:rsidP="00AA2617">
      <w:pPr>
        <w:ind w:left="1440"/>
        <w:rPr>
          <w:rFonts w:cs="Times New Roman"/>
          <w:sz w:val="22"/>
          <w:lang w:val="en-GB"/>
        </w:rPr>
      </w:pPr>
    </w:p>
    <w:p w14:paraId="3B66CFBE" w14:textId="3424DA44" w:rsidR="00DA0F69" w:rsidRPr="00AA2617" w:rsidRDefault="00DA0F69" w:rsidP="00AA2617">
      <w:pPr>
        <w:pStyle w:val="NumberedParagraph"/>
        <w:ind w:left="360"/>
        <w:rPr>
          <w:i/>
          <w:sz w:val="22"/>
          <w:lang w:val="en-GB"/>
        </w:rPr>
      </w:pPr>
      <w:r w:rsidRPr="00AA2617">
        <w:rPr>
          <w:sz w:val="22"/>
          <w:lang w:val="en-GB"/>
        </w:rPr>
        <w:t xml:space="preserve">It is necessary to pilot the MRV protocols developed, specially, in the mitigation activities, because of instrumentation and scientific guidelines used. A piloting process will illustrate the process to the diverse agencies involved in the AFOLU sector. Since most authorities in the AFOLU sector  do not have experience in Climate change mitigation reporting, demonstrations are crucial once the personnel are trained. </w:t>
      </w:r>
    </w:p>
    <w:p w14:paraId="723C6EB5" w14:textId="77777777" w:rsidR="00DA0F69" w:rsidRPr="00AA2617" w:rsidRDefault="00DA0F69" w:rsidP="00AA2617">
      <w:pPr>
        <w:ind w:left="360"/>
        <w:rPr>
          <w:rFonts w:cs="Times New Roman"/>
          <w:i/>
          <w:color w:val="0070C0"/>
          <w:sz w:val="22"/>
          <w:lang w:val="en-GB"/>
        </w:rPr>
      </w:pPr>
    </w:p>
    <w:p w14:paraId="137008EC" w14:textId="77777777" w:rsidR="00DA0F69" w:rsidRPr="00AA2617" w:rsidRDefault="00DA0F69" w:rsidP="00AA2617">
      <w:pPr>
        <w:spacing w:before="240"/>
        <w:ind w:left="360"/>
        <w:rPr>
          <w:rFonts w:cs="Times New Roman"/>
          <w:i/>
          <w:sz w:val="22"/>
          <w:lang w:val="en-GB"/>
        </w:rPr>
      </w:pPr>
      <w:r w:rsidRPr="00AA2617">
        <w:rPr>
          <w:rFonts w:cs="Times New Roman"/>
          <w:i/>
          <w:sz w:val="22"/>
          <w:lang w:val="en-GB"/>
        </w:rPr>
        <w:t>Activity 2.1.4.4.  Conduct preliminary validations of proxy measures.</w:t>
      </w:r>
    </w:p>
    <w:p w14:paraId="4C130041" w14:textId="77777777" w:rsidR="00DA0F69" w:rsidRPr="00AA2617" w:rsidRDefault="00DA0F69" w:rsidP="00AA2617">
      <w:pPr>
        <w:ind w:left="360"/>
        <w:rPr>
          <w:rFonts w:cs="Times New Roman"/>
          <w:i/>
          <w:sz w:val="22"/>
          <w:lang w:val="en-GB"/>
        </w:rPr>
      </w:pPr>
    </w:p>
    <w:p w14:paraId="0FFD9223" w14:textId="77777777" w:rsidR="00DA0F69" w:rsidRPr="00AA2617" w:rsidRDefault="00DA0F69" w:rsidP="00AA2617">
      <w:pPr>
        <w:pStyle w:val="NumberedParagraph"/>
        <w:ind w:left="360"/>
        <w:rPr>
          <w:sz w:val="22"/>
          <w:lang w:val="en-GB"/>
        </w:rPr>
      </w:pPr>
      <w:r w:rsidRPr="00AA2617">
        <w:rPr>
          <w:sz w:val="22"/>
          <w:lang w:val="en-GB"/>
        </w:rPr>
        <w:t>This activity establishes the accuracy and reliability of proposed proxy measures as compared to more rigorous (primary) measurement methods with known or calibrated validities. Proxy measures are regularly updated in global and local literature. Their validity is often limited to the sample that is used in the respective study. A common issue is the generalizability of such measures to different context. Therefore, there is a need to validate appropriately. The generation of tier 2 level factors will benefit from this activity. This activity coordinates with Outputs 1.1.3, and 2.1.1.</w:t>
      </w:r>
    </w:p>
    <w:p w14:paraId="32B67A8E" w14:textId="77777777" w:rsidR="00EB3147" w:rsidRPr="00AA2617" w:rsidRDefault="00E14C29" w:rsidP="00AA2617">
      <w:pPr>
        <w:pStyle w:val="Heading3"/>
        <w:rPr>
          <w:rFonts w:cs="Times New Roman"/>
          <w:b/>
          <w:szCs w:val="22"/>
          <w:lang w:val="en-GB"/>
        </w:rPr>
      </w:pPr>
      <w:bookmarkStart w:id="31" w:name="_Toc9249182"/>
      <w:r w:rsidRPr="00AA2617">
        <w:rPr>
          <w:rFonts w:cs="Times New Roman"/>
          <w:b/>
          <w:szCs w:val="22"/>
          <w:lang w:val="en-GB"/>
        </w:rPr>
        <w:t>Component 3</w:t>
      </w:r>
      <w:bookmarkEnd w:id="31"/>
    </w:p>
    <w:p w14:paraId="7454E30E" w14:textId="77777777" w:rsidR="00DA0F69" w:rsidRPr="00AA2617" w:rsidRDefault="00DA0F69" w:rsidP="00AA2617">
      <w:pPr>
        <w:spacing w:before="240"/>
        <w:rPr>
          <w:rFonts w:cs="Times New Roman"/>
          <w:i/>
          <w:sz w:val="22"/>
          <w:lang w:val="en-GB"/>
        </w:rPr>
      </w:pPr>
      <w:bookmarkStart w:id="32" w:name="_Hlk3672691"/>
      <w:r w:rsidRPr="00AA2617">
        <w:rPr>
          <w:rFonts w:cs="Times New Roman"/>
          <w:i/>
          <w:sz w:val="22"/>
          <w:lang w:val="en-GB"/>
        </w:rPr>
        <w:t>Component 3. Strengthened capacity to measure climate-change impacts, vulnerabilities, and adaptation-related activities in the agricultural and land-use sectors.</w:t>
      </w:r>
    </w:p>
    <w:p w14:paraId="09961A84" w14:textId="77777777" w:rsidR="00DA0F69" w:rsidRPr="00AA2617" w:rsidRDefault="00DA0F69" w:rsidP="00AA2617">
      <w:pPr>
        <w:pStyle w:val="NumberedParagraph"/>
        <w:ind w:left="360"/>
        <w:rPr>
          <w:sz w:val="22"/>
          <w:lang w:val="en-GB"/>
        </w:rPr>
      </w:pPr>
      <w:r w:rsidRPr="00AA2617">
        <w:rPr>
          <w:sz w:val="22"/>
          <w:lang w:val="en-GB"/>
        </w:rPr>
        <w:t xml:space="preserve">Whereas Component 2 builds capacities for improved measurement of climate-change mitigation, Component 3 builds the corresponding capacities for climate-change adaptation.  Adaptation-related reporting is encouraged under the Paris Agreement and effectively tracking adaption progress is critical for informing climate-related policies, which largely focus on adaptation issues and are closely linked to strategies for socio-economic development.  Importantly, this component will ensure that there is capacity to establish specific, well informed targets and indicators on adaptation which are specific to Sri Lanka. Enhanced capacity will enable the AFOLU </w:t>
      </w:r>
      <w:r w:rsidRPr="00AA2617">
        <w:rPr>
          <w:sz w:val="22"/>
          <w:lang w:val="en-GB"/>
        </w:rPr>
        <w:lastRenderedPageBreak/>
        <w:t>sectors achieve goals specified in National Adaptation Plan for Climate Change Impacts for Sri Lanka 2016 – 2025 (NAP).</w:t>
      </w:r>
    </w:p>
    <w:p w14:paraId="5E83F991" w14:textId="77777777" w:rsidR="00DA0F69" w:rsidRPr="00AA2617" w:rsidRDefault="00DA0F69" w:rsidP="00AA2617">
      <w:pPr>
        <w:spacing w:before="240" w:after="240"/>
        <w:outlineLvl w:val="3"/>
        <w:rPr>
          <w:rFonts w:cs="Times New Roman"/>
          <w:i/>
          <w:sz w:val="22"/>
          <w:lang w:val="en-GB"/>
        </w:rPr>
      </w:pPr>
      <w:r w:rsidRPr="00AA2617">
        <w:rPr>
          <w:rFonts w:cs="Times New Roman"/>
          <w:i/>
          <w:sz w:val="22"/>
          <w:lang w:val="en-GB"/>
        </w:rPr>
        <w:t>Outcome 3.1. Strengthened capacity to measure climate-change impacts, vulnerabilities, and adaptation-related activities in the agricultural and land-use sectors.</w:t>
      </w:r>
    </w:p>
    <w:p w14:paraId="080A11B0" w14:textId="77777777" w:rsidR="00DA0F69" w:rsidRPr="00AA2617" w:rsidRDefault="00DA0F69" w:rsidP="00AA2617">
      <w:pPr>
        <w:pStyle w:val="NumberedParagraph"/>
        <w:ind w:left="360"/>
        <w:rPr>
          <w:sz w:val="22"/>
          <w:lang w:val="en-GB"/>
        </w:rPr>
      </w:pPr>
      <w:r w:rsidRPr="00AA2617">
        <w:rPr>
          <w:sz w:val="22"/>
          <w:lang w:val="en-GB"/>
        </w:rPr>
        <w:t xml:space="preserve">Activities under this outcome will improve the quality of information that influences decisions on climate-change adaptation.  This outcome establishes a nationally appropriate measurement framework and develops relevant capacities in order to provide stakeholders with relevant, accurate, timely, efficient, and well-structured information.  Activities under this outcome will draw substantially from FAO’s </w:t>
      </w:r>
      <w:r w:rsidRPr="00AA2617">
        <w:rPr>
          <w:i/>
          <w:sz w:val="22"/>
          <w:lang w:val="en-GB"/>
        </w:rPr>
        <w:t>Tracking Adaptation in Agricultural Sectors:  Climate Change Adaptation Indicators</w:t>
      </w:r>
      <w:r w:rsidRPr="00AA2617">
        <w:rPr>
          <w:sz w:val="22"/>
          <w:lang w:val="en-GB"/>
        </w:rPr>
        <w:t xml:space="preserve"> (2017)</w:t>
      </w:r>
      <w:r w:rsidRPr="00AA2617">
        <w:rPr>
          <w:rStyle w:val="FootnoteReference"/>
          <w:sz w:val="22"/>
          <w:lang w:val="en-GB"/>
        </w:rPr>
        <w:footnoteReference w:id="33"/>
      </w:r>
      <w:r w:rsidRPr="00AA2617">
        <w:rPr>
          <w:sz w:val="22"/>
          <w:lang w:val="en-GB"/>
        </w:rPr>
        <w:t>.</w:t>
      </w:r>
    </w:p>
    <w:p w14:paraId="05553088" w14:textId="77777777" w:rsidR="00DA0F69" w:rsidRPr="00AA2617" w:rsidRDefault="00DA0F69" w:rsidP="00AA2617">
      <w:pPr>
        <w:spacing w:before="240" w:after="240"/>
        <w:rPr>
          <w:rFonts w:cs="Times New Roman"/>
          <w:i/>
          <w:sz w:val="22"/>
          <w:lang w:val="en-GB"/>
        </w:rPr>
      </w:pPr>
      <w:r w:rsidRPr="00AA2617">
        <w:rPr>
          <w:rFonts w:cs="Times New Roman"/>
          <w:i/>
          <w:sz w:val="22"/>
          <w:lang w:val="en-GB"/>
        </w:rPr>
        <w:t>Output 3.1.1.  Measurement framework developed for climate-change impacts, vulnerabilities, and adaptation-related activities prioritized in the NDC for the agriculture, forestry  and land-use sectors.</w:t>
      </w:r>
    </w:p>
    <w:p w14:paraId="30338F99" w14:textId="77777777" w:rsidR="00DA0F69" w:rsidRPr="00AA2617" w:rsidRDefault="00DA0F69" w:rsidP="00AA2617">
      <w:pPr>
        <w:pStyle w:val="NumberedParagraph"/>
        <w:ind w:left="360"/>
        <w:rPr>
          <w:sz w:val="22"/>
          <w:lang w:val="en-GB"/>
        </w:rPr>
      </w:pPr>
      <w:r w:rsidRPr="00AA2617">
        <w:rPr>
          <w:sz w:val="22"/>
          <w:lang w:val="en-GB"/>
        </w:rPr>
        <w:t>Activities under this output will ensure systematic, rigorous, consistent protocols for adaptation-related measurement and archiving of relevant data for the AFOLU sector.  As with the corresponding mitigation-related activities under Output 2.1.1, activities under this output will strive for cost-efficiency through the identification and use of proxy measures and through reduced operational redundancies (e.g., common definitions, non-overlapping mandates for data-provision, alignment between CCA and CCM protocols, alignment with other data-collection initiatives, etc.)</w:t>
      </w:r>
    </w:p>
    <w:p w14:paraId="4518B148" w14:textId="77777777" w:rsidR="00DA0F69" w:rsidRPr="00AA2617" w:rsidRDefault="00DA0F69" w:rsidP="00AA2617">
      <w:pPr>
        <w:pStyle w:val="NumberedParagraph"/>
        <w:ind w:left="360"/>
        <w:rPr>
          <w:sz w:val="22"/>
          <w:lang w:val="en-GB"/>
        </w:rPr>
      </w:pPr>
      <w:r w:rsidRPr="00AA2617">
        <w:rPr>
          <w:sz w:val="22"/>
          <w:lang w:val="en-GB"/>
        </w:rPr>
        <w:t>Activities under this output rely on guidance from activities under Output 1.1.3 and coordinate with activities under Output 2.1.1.</w:t>
      </w:r>
    </w:p>
    <w:p w14:paraId="7CE63102" w14:textId="77777777" w:rsidR="00DA0F69" w:rsidRPr="00AA2617" w:rsidRDefault="00DA0F69" w:rsidP="00AA2617">
      <w:pPr>
        <w:spacing w:before="240" w:after="240"/>
        <w:rPr>
          <w:rFonts w:cs="Times New Roman"/>
          <w:i/>
          <w:sz w:val="22"/>
          <w:lang w:val="en-GB"/>
        </w:rPr>
      </w:pPr>
      <w:r w:rsidRPr="00AA2617">
        <w:rPr>
          <w:rFonts w:cs="Times New Roman"/>
          <w:i/>
          <w:sz w:val="22"/>
          <w:lang w:val="en-GB"/>
        </w:rPr>
        <w:t xml:space="preserve">"Activity 3.1.1.1.  Generate a typology of adaptation processes in AFOLU sectors using expertise in adaptation-related sciences and multi-disciplinary expertise.  </w:t>
      </w:r>
    </w:p>
    <w:p w14:paraId="775F5200" w14:textId="13BCCCCD" w:rsidR="00DA0F69" w:rsidRPr="00AA2617" w:rsidRDefault="00DA0F69" w:rsidP="00AA2617">
      <w:pPr>
        <w:pStyle w:val="NumberedParagraph"/>
        <w:ind w:left="360"/>
        <w:rPr>
          <w:sz w:val="22"/>
          <w:lang w:val="en-GB"/>
        </w:rPr>
      </w:pPr>
      <w:r w:rsidRPr="00AA2617">
        <w:rPr>
          <w:sz w:val="22"/>
          <w:lang w:val="en-GB"/>
        </w:rPr>
        <w:t>Sri Lanka’s framework for measuring and reporting</w:t>
      </w:r>
      <w:r w:rsidRPr="00AA2617">
        <w:rPr>
          <w:rStyle w:val="FootnoteReference"/>
          <w:sz w:val="22"/>
          <w:lang w:val="en-GB"/>
        </w:rPr>
        <w:footnoteReference w:id="34"/>
      </w:r>
      <w:r w:rsidRPr="00AA2617">
        <w:rPr>
          <w:sz w:val="22"/>
          <w:lang w:val="en-GB"/>
        </w:rPr>
        <w:t xml:space="preserve">  the status and trends of factors related to climate-change adaptation is not as developed as the framework for climate-change mitigation.  This difference has been due in part to two major factors.  First, climate-change adaptation is less amenable to standardized approaches that are often available for climate-change mitigation (e.g., technologies, reporting frameworks, global and regional default emissions factors, etc.).  Adaptation in large part requires country-specific initiatives and measurement frameworks.  Although standardized international M&amp;E tools are available for project-based adaptation interventions, they are in most cases designed to facilitate aggregation of generalized outcomes across an international portfolio</w:t>
      </w:r>
      <w:r w:rsidRPr="00AA2617">
        <w:rPr>
          <w:rStyle w:val="FootnoteReference"/>
          <w:sz w:val="22"/>
          <w:lang w:val="en-GB"/>
        </w:rPr>
        <w:footnoteReference w:id="35"/>
      </w:r>
      <w:r w:rsidRPr="00AA2617">
        <w:rPr>
          <w:sz w:val="22"/>
          <w:lang w:val="en-GB"/>
        </w:rPr>
        <w:t xml:space="preserve"> rather than to track progress on specific national goals or to inform specific decisions at national and sub-national levels.  Thus, a developing country-appropriate M&amp;R framework typically requires more efforts to formulate with respect to adaptation than mitigation.  Second, so far, relatively more international support has been available for mitigation.</w:t>
      </w:r>
    </w:p>
    <w:p w14:paraId="1ED9B826" w14:textId="77777777" w:rsidR="00DA0F69" w:rsidRPr="00AA2617" w:rsidRDefault="00DA0F69" w:rsidP="00AA2617">
      <w:pPr>
        <w:pStyle w:val="NumberedParagraph"/>
        <w:ind w:left="360"/>
        <w:rPr>
          <w:sz w:val="22"/>
          <w:lang w:val="en-GB"/>
        </w:rPr>
      </w:pPr>
      <w:r w:rsidRPr="00AA2617">
        <w:rPr>
          <w:sz w:val="22"/>
          <w:lang w:val="en-GB"/>
        </w:rPr>
        <w:t xml:space="preserve">Even so, numerous documents are available to guide countries in addressing the challenges of establishing tailored M&amp;R framework for adaptation.  Table 6 presents several resources that are </w:t>
      </w:r>
      <w:r w:rsidRPr="00AA2617">
        <w:rPr>
          <w:sz w:val="22"/>
          <w:lang w:val="en-GB"/>
        </w:rPr>
        <w:lastRenderedPageBreak/>
        <w:t>expected to inform the delivery of Component 3.  The listed resources highlight the need to establish a national M&amp;R framework and indicators that can be applied at different levels (national to local) for different stakeholders (e.g., ministries, local  government, international donor project teams, etc.) to inform an array of relevant decisions.</w:t>
      </w:r>
    </w:p>
    <w:bookmarkEnd w:id="32"/>
    <w:p w14:paraId="7D07D3CF" w14:textId="6E236C7E" w:rsidR="00E964B6" w:rsidRPr="00AA2617" w:rsidRDefault="00E964B6" w:rsidP="00AA2617">
      <w:pPr>
        <w:pStyle w:val="NumberedParagraph"/>
        <w:keepNext/>
        <w:keepLines/>
        <w:numPr>
          <w:ilvl w:val="0"/>
          <w:numId w:val="0"/>
        </w:numPr>
        <w:tabs>
          <w:tab w:val="left" w:pos="1650"/>
        </w:tabs>
        <w:spacing w:before="240"/>
        <w:jc w:val="center"/>
        <w:rPr>
          <w:sz w:val="22"/>
          <w:lang w:val="en-GB"/>
        </w:rPr>
      </w:pPr>
      <w:r w:rsidRPr="00AA2617">
        <w:rPr>
          <w:sz w:val="22"/>
          <w:lang w:val="en-GB"/>
        </w:rPr>
        <w:t xml:space="preserve">Table </w:t>
      </w:r>
      <w:r w:rsidR="00BE79EE" w:rsidRPr="00AA2617">
        <w:rPr>
          <w:sz w:val="22"/>
          <w:lang w:val="en-GB"/>
        </w:rPr>
        <w:t>6</w:t>
      </w:r>
      <w:r w:rsidRPr="00AA2617">
        <w:rPr>
          <w:sz w:val="22"/>
          <w:lang w:val="en-GB"/>
        </w:rPr>
        <w:t>.  References to Inform the Design of Measurement Frameworks for Climate-change Adaptation</w:t>
      </w:r>
      <w:r w:rsidRPr="00AA2617">
        <w:rPr>
          <w:rStyle w:val="FootnoteReference"/>
          <w:sz w:val="22"/>
          <w:lang w:val="en-GB"/>
        </w:rPr>
        <w:footnoteReference w:id="36"/>
      </w:r>
    </w:p>
    <w:tbl>
      <w:tblPr>
        <w:tblStyle w:val="TableGrid"/>
        <w:tblW w:w="0" w:type="auto"/>
        <w:tblLook w:val="04A0" w:firstRow="1" w:lastRow="0" w:firstColumn="1" w:lastColumn="0" w:noHBand="0" w:noVBand="1"/>
      </w:tblPr>
      <w:tblGrid>
        <w:gridCol w:w="2975"/>
        <w:gridCol w:w="2709"/>
        <w:gridCol w:w="1428"/>
        <w:gridCol w:w="1904"/>
      </w:tblGrid>
      <w:tr w:rsidR="00E964B6" w:rsidRPr="00AA2617" w14:paraId="6EF78626" w14:textId="77777777" w:rsidTr="00DA0F69">
        <w:trPr>
          <w:cantSplit/>
          <w:tblHeader/>
        </w:trPr>
        <w:tc>
          <w:tcPr>
            <w:tcW w:w="2975" w:type="dxa"/>
            <w:shd w:val="clear" w:color="auto" w:fill="B4C6E7" w:themeFill="accent1" w:themeFillTint="66"/>
            <w:vAlign w:val="center"/>
          </w:tcPr>
          <w:p w14:paraId="3055A5A9" w14:textId="77777777" w:rsidR="00E964B6" w:rsidRPr="00AA2617" w:rsidRDefault="00E964B6" w:rsidP="00AA2617">
            <w:pPr>
              <w:pStyle w:val="NumberedParagraph"/>
              <w:keepNext/>
              <w:keepLines/>
              <w:numPr>
                <w:ilvl w:val="0"/>
                <w:numId w:val="0"/>
              </w:numPr>
              <w:jc w:val="center"/>
              <w:rPr>
                <w:b/>
                <w:sz w:val="22"/>
                <w:lang w:val="en-GB"/>
              </w:rPr>
            </w:pPr>
            <w:r w:rsidRPr="00AA2617">
              <w:rPr>
                <w:b/>
                <w:sz w:val="22"/>
                <w:lang w:val="en-GB"/>
              </w:rPr>
              <w:t>Reference</w:t>
            </w:r>
          </w:p>
        </w:tc>
        <w:tc>
          <w:tcPr>
            <w:tcW w:w="2709" w:type="dxa"/>
            <w:shd w:val="clear" w:color="auto" w:fill="B4C6E7" w:themeFill="accent1" w:themeFillTint="66"/>
            <w:vAlign w:val="center"/>
          </w:tcPr>
          <w:p w14:paraId="60C108CD" w14:textId="77777777" w:rsidR="00E964B6" w:rsidRPr="00AA2617" w:rsidRDefault="00E964B6" w:rsidP="00AA2617">
            <w:pPr>
              <w:pStyle w:val="NumberedParagraph"/>
              <w:keepNext/>
              <w:keepLines/>
              <w:numPr>
                <w:ilvl w:val="0"/>
                <w:numId w:val="0"/>
              </w:numPr>
              <w:jc w:val="center"/>
              <w:rPr>
                <w:b/>
                <w:sz w:val="22"/>
                <w:lang w:val="en-GB"/>
              </w:rPr>
            </w:pPr>
            <w:r w:rsidRPr="00AA2617">
              <w:rPr>
                <w:b/>
                <w:sz w:val="22"/>
                <w:lang w:val="en-GB"/>
              </w:rPr>
              <w:t>Topic(s)</w:t>
            </w:r>
          </w:p>
        </w:tc>
        <w:tc>
          <w:tcPr>
            <w:tcW w:w="1428" w:type="dxa"/>
            <w:shd w:val="clear" w:color="auto" w:fill="B4C6E7" w:themeFill="accent1" w:themeFillTint="66"/>
            <w:vAlign w:val="center"/>
          </w:tcPr>
          <w:p w14:paraId="687B9A74" w14:textId="77777777" w:rsidR="00E964B6" w:rsidRPr="00AA2617" w:rsidRDefault="00E964B6" w:rsidP="00AA2617">
            <w:pPr>
              <w:pStyle w:val="NumberedParagraph"/>
              <w:keepNext/>
              <w:keepLines/>
              <w:numPr>
                <w:ilvl w:val="0"/>
                <w:numId w:val="0"/>
              </w:numPr>
              <w:jc w:val="center"/>
              <w:rPr>
                <w:b/>
                <w:sz w:val="22"/>
                <w:lang w:val="en-GB"/>
              </w:rPr>
            </w:pPr>
            <w:r w:rsidRPr="00AA2617">
              <w:rPr>
                <w:b/>
                <w:sz w:val="22"/>
                <w:lang w:val="en-GB"/>
              </w:rPr>
              <w:t>Level</w:t>
            </w:r>
          </w:p>
        </w:tc>
        <w:tc>
          <w:tcPr>
            <w:tcW w:w="1904" w:type="dxa"/>
            <w:shd w:val="clear" w:color="auto" w:fill="B4C6E7" w:themeFill="accent1" w:themeFillTint="66"/>
            <w:vAlign w:val="center"/>
          </w:tcPr>
          <w:p w14:paraId="68E14940" w14:textId="77777777" w:rsidR="00E964B6" w:rsidRPr="00AA2617" w:rsidRDefault="00E964B6" w:rsidP="00AA2617">
            <w:pPr>
              <w:pStyle w:val="NumberedParagraph"/>
              <w:keepNext/>
              <w:keepLines/>
              <w:numPr>
                <w:ilvl w:val="0"/>
                <w:numId w:val="0"/>
              </w:numPr>
              <w:jc w:val="center"/>
              <w:rPr>
                <w:b/>
                <w:sz w:val="22"/>
                <w:lang w:val="en-GB"/>
              </w:rPr>
            </w:pPr>
            <w:r w:rsidRPr="00AA2617">
              <w:rPr>
                <w:b/>
                <w:sz w:val="22"/>
                <w:lang w:val="en-GB"/>
              </w:rPr>
              <w:t>Sector</w:t>
            </w:r>
          </w:p>
          <w:p w14:paraId="25C418C8" w14:textId="77777777" w:rsidR="00E964B6" w:rsidRPr="00AA2617" w:rsidRDefault="00E964B6" w:rsidP="00AA2617">
            <w:pPr>
              <w:pStyle w:val="NumberedParagraph"/>
              <w:keepNext/>
              <w:keepLines/>
              <w:numPr>
                <w:ilvl w:val="0"/>
                <w:numId w:val="0"/>
              </w:numPr>
              <w:jc w:val="center"/>
              <w:rPr>
                <w:b/>
                <w:sz w:val="22"/>
                <w:lang w:val="en-GB"/>
              </w:rPr>
            </w:pPr>
            <w:r w:rsidRPr="00AA2617">
              <w:rPr>
                <w:b/>
                <w:sz w:val="22"/>
                <w:lang w:val="en-GB"/>
              </w:rPr>
              <w:t>(intended users)</w:t>
            </w:r>
          </w:p>
        </w:tc>
      </w:tr>
      <w:tr w:rsidR="00E964B6" w:rsidRPr="00AA2617" w14:paraId="6CEE8D48" w14:textId="77777777" w:rsidTr="00DA0F69">
        <w:trPr>
          <w:cantSplit/>
        </w:trPr>
        <w:tc>
          <w:tcPr>
            <w:tcW w:w="2975" w:type="dxa"/>
          </w:tcPr>
          <w:p w14:paraId="28E24350" w14:textId="77777777" w:rsidR="00E964B6" w:rsidRPr="00AA2617" w:rsidRDefault="00E964B6" w:rsidP="00AA2617">
            <w:pPr>
              <w:spacing w:beforeLines="40" w:before="96" w:afterLines="40" w:after="96"/>
              <w:jc w:val="left"/>
              <w:rPr>
                <w:lang w:val="en-GB"/>
              </w:rPr>
            </w:pPr>
            <w:r w:rsidRPr="00AA2617">
              <w:rPr>
                <w:lang w:val="en-GB"/>
              </w:rPr>
              <w:t>Tracking Adaptation in Agricultural Sectors:  Climate Change Adaptation Indicators</w:t>
            </w:r>
          </w:p>
          <w:p w14:paraId="0B3D0FEF" w14:textId="77777777" w:rsidR="00E964B6" w:rsidRPr="00AA2617" w:rsidRDefault="00E964B6" w:rsidP="00AA2617">
            <w:pPr>
              <w:spacing w:beforeLines="40" w:before="96" w:afterLines="40" w:after="96"/>
              <w:jc w:val="left"/>
              <w:rPr>
                <w:lang w:val="en-GB"/>
              </w:rPr>
            </w:pPr>
            <w:r w:rsidRPr="00AA2617">
              <w:rPr>
                <w:lang w:val="en-GB"/>
              </w:rPr>
              <w:t>(FAO, 2017)</w:t>
            </w:r>
          </w:p>
        </w:tc>
        <w:tc>
          <w:tcPr>
            <w:tcW w:w="2709" w:type="dxa"/>
          </w:tcPr>
          <w:p w14:paraId="4098FC52" w14:textId="77777777" w:rsidR="00E964B6" w:rsidRPr="00AA2617" w:rsidRDefault="00E964B6" w:rsidP="00AA2617">
            <w:pPr>
              <w:spacing w:beforeLines="40" w:before="96" w:afterLines="40" w:after="96"/>
              <w:jc w:val="left"/>
              <w:rPr>
                <w:lang w:val="en-GB"/>
              </w:rPr>
            </w:pPr>
            <w:r w:rsidRPr="00AA2617">
              <w:rPr>
                <w:lang w:val="en-GB"/>
              </w:rPr>
              <w:t>Methods and indicators for tracking climate-change adaptation</w:t>
            </w:r>
          </w:p>
        </w:tc>
        <w:tc>
          <w:tcPr>
            <w:tcW w:w="1428" w:type="dxa"/>
          </w:tcPr>
          <w:p w14:paraId="4814ADFB" w14:textId="77777777" w:rsidR="00E964B6" w:rsidRPr="00AA2617" w:rsidRDefault="00E964B6" w:rsidP="00AA2617">
            <w:pPr>
              <w:spacing w:beforeLines="40" w:before="96" w:afterLines="40" w:after="96"/>
              <w:jc w:val="left"/>
              <w:rPr>
                <w:lang w:val="en-GB"/>
              </w:rPr>
            </w:pPr>
            <w:r w:rsidRPr="00AA2617">
              <w:rPr>
                <w:lang w:val="en-GB"/>
              </w:rPr>
              <w:t>National and sub-national</w:t>
            </w:r>
          </w:p>
        </w:tc>
        <w:tc>
          <w:tcPr>
            <w:tcW w:w="1904" w:type="dxa"/>
          </w:tcPr>
          <w:p w14:paraId="5C634801" w14:textId="77777777" w:rsidR="00E964B6" w:rsidRPr="00AA2617" w:rsidRDefault="00E964B6" w:rsidP="00AA2617">
            <w:pPr>
              <w:spacing w:beforeLines="40" w:before="96" w:afterLines="40" w:after="96"/>
              <w:jc w:val="left"/>
              <w:rPr>
                <w:lang w:val="en-GB"/>
              </w:rPr>
            </w:pPr>
            <w:r w:rsidRPr="00AA2617">
              <w:rPr>
                <w:lang w:val="en-GB"/>
              </w:rPr>
              <w:t>AFOLU</w:t>
            </w:r>
          </w:p>
          <w:p w14:paraId="67CE35B0" w14:textId="77777777" w:rsidR="00E964B6" w:rsidRPr="00AA2617" w:rsidRDefault="00E964B6" w:rsidP="00AA2617">
            <w:pPr>
              <w:spacing w:beforeLines="40" w:before="96" w:afterLines="40" w:after="96"/>
              <w:jc w:val="left"/>
              <w:rPr>
                <w:lang w:val="en-GB"/>
              </w:rPr>
            </w:pPr>
            <w:r w:rsidRPr="00AA2617">
              <w:rPr>
                <w:lang w:val="en-GB"/>
              </w:rPr>
              <w:t>(national decision-makers and MRV practitioners)</w:t>
            </w:r>
          </w:p>
        </w:tc>
      </w:tr>
      <w:tr w:rsidR="00E964B6" w:rsidRPr="00AA2617" w14:paraId="46B02D89" w14:textId="77777777" w:rsidTr="00DA0F69">
        <w:trPr>
          <w:cantSplit/>
        </w:trPr>
        <w:tc>
          <w:tcPr>
            <w:tcW w:w="2975" w:type="dxa"/>
          </w:tcPr>
          <w:p w14:paraId="16AEF606" w14:textId="77777777" w:rsidR="00E964B6" w:rsidRPr="00AA2617" w:rsidRDefault="00E964B6" w:rsidP="00AA2617">
            <w:pPr>
              <w:spacing w:beforeLines="40" w:before="96" w:afterLines="40" w:after="96"/>
              <w:jc w:val="left"/>
              <w:rPr>
                <w:lang w:val="en-GB"/>
              </w:rPr>
            </w:pPr>
            <w:r w:rsidRPr="00AA2617">
              <w:rPr>
                <w:lang w:val="en-GB"/>
              </w:rPr>
              <w:t>Monitoring and reporting toolkit of PPCR</w:t>
            </w:r>
          </w:p>
          <w:p w14:paraId="51210930" w14:textId="77777777" w:rsidR="00E964B6" w:rsidRPr="00AA2617" w:rsidRDefault="00E964B6" w:rsidP="00AA2617">
            <w:pPr>
              <w:spacing w:beforeLines="40" w:before="96" w:afterLines="40" w:after="96"/>
              <w:jc w:val="left"/>
              <w:rPr>
                <w:lang w:val="en-GB"/>
              </w:rPr>
            </w:pPr>
            <w:r w:rsidRPr="00AA2617">
              <w:rPr>
                <w:lang w:val="en-GB"/>
              </w:rPr>
              <w:t>(CIF, 2015)</w:t>
            </w:r>
          </w:p>
        </w:tc>
        <w:tc>
          <w:tcPr>
            <w:tcW w:w="2709" w:type="dxa"/>
          </w:tcPr>
          <w:p w14:paraId="7B6A5B70" w14:textId="77777777" w:rsidR="00E964B6" w:rsidRPr="00AA2617" w:rsidRDefault="00E964B6" w:rsidP="00AA2617">
            <w:pPr>
              <w:spacing w:beforeLines="40" w:before="96" w:afterLines="40" w:after="96"/>
              <w:jc w:val="left"/>
              <w:rPr>
                <w:lang w:val="en-GB"/>
              </w:rPr>
            </w:pPr>
            <w:r w:rsidRPr="00AA2617">
              <w:rPr>
                <w:lang w:val="en-GB"/>
              </w:rPr>
              <w:t>Processes related to adaptation planning and mainstreaming</w:t>
            </w:r>
          </w:p>
        </w:tc>
        <w:tc>
          <w:tcPr>
            <w:tcW w:w="1428" w:type="dxa"/>
          </w:tcPr>
          <w:p w14:paraId="3A42D232" w14:textId="77777777" w:rsidR="00E964B6" w:rsidRPr="00AA2617" w:rsidRDefault="00E964B6" w:rsidP="00AA2617">
            <w:pPr>
              <w:spacing w:beforeLines="40" w:before="96" w:afterLines="40" w:after="96"/>
              <w:jc w:val="left"/>
              <w:rPr>
                <w:lang w:val="en-GB"/>
              </w:rPr>
            </w:pPr>
            <w:r w:rsidRPr="00AA2617">
              <w:rPr>
                <w:lang w:val="en-GB"/>
              </w:rPr>
              <w:t>National and program/ project level</w:t>
            </w:r>
          </w:p>
        </w:tc>
        <w:tc>
          <w:tcPr>
            <w:tcW w:w="1904" w:type="dxa"/>
          </w:tcPr>
          <w:p w14:paraId="3086A168" w14:textId="77777777" w:rsidR="00E964B6" w:rsidRPr="00AA2617" w:rsidRDefault="00E964B6" w:rsidP="00AA2617">
            <w:pPr>
              <w:spacing w:beforeLines="40" w:before="96" w:afterLines="40" w:after="96"/>
              <w:jc w:val="left"/>
              <w:rPr>
                <w:lang w:val="en-GB"/>
              </w:rPr>
            </w:pPr>
            <w:r w:rsidRPr="00AA2617">
              <w:rPr>
                <w:lang w:val="en-GB"/>
              </w:rPr>
              <w:t>Multi-sectoral</w:t>
            </w:r>
          </w:p>
          <w:p w14:paraId="37EAD312" w14:textId="77777777" w:rsidR="00E964B6" w:rsidRPr="00AA2617" w:rsidRDefault="00E964B6" w:rsidP="00AA2617">
            <w:pPr>
              <w:spacing w:beforeLines="40" w:before="96" w:afterLines="40" w:after="96"/>
              <w:jc w:val="left"/>
              <w:rPr>
                <w:lang w:val="en-GB"/>
              </w:rPr>
            </w:pPr>
            <w:r w:rsidRPr="00AA2617">
              <w:rPr>
                <w:lang w:val="en-GB"/>
              </w:rPr>
              <w:t>(national policy-makers)</w:t>
            </w:r>
          </w:p>
        </w:tc>
      </w:tr>
      <w:tr w:rsidR="00E964B6" w:rsidRPr="00AA2617" w14:paraId="67997ABA" w14:textId="77777777" w:rsidTr="00DA0F69">
        <w:trPr>
          <w:cantSplit/>
        </w:trPr>
        <w:tc>
          <w:tcPr>
            <w:tcW w:w="2975" w:type="dxa"/>
          </w:tcPr>
          <w:p w14:paraId="6FCFABFF" w14:textId="77777777" w:rsidR="00E964B6" w:rsidRPr="00AA2617" w:rsidRDefault="00E964B6" w:rsidP="00AA2617">
            <w:pPr>
              <w:spacing w:beforeLines="40" w:before="96" w:afterLines="40" w:after="96"/>
              <w:jc w:val="left"/>
              <w:rPr>
                <w:lang w:val="en-GB"/>
              </w:rPr>
            </w:pPr>
            <w:r w:rsidRPr="00AA2617">
              <w:rPr>
                <w:lang w:val="en-GB"/>
              </w:rPr>
              <w:t>Framework for the assessment of skills for national adaptation planning</w:t>
            </w:r>
          </w:p>
          <w:p w14:paraId="0D063D91" w14:textId="77777777" w:rsidR="00E964B6" w:rsidRPr="00AA2617" w:rsidRDefault="00E964B6" w:rsidP="00AA2617">
            <w:pPr>
              <w:spacing w:beforeLines="40" w:before="96" w:afterLines="40" w:after="96"/>
              <w:jc w:val="left"/>
              <w:rPr>
                <w:lang w:val="en-GB"/>
              </w:rPr>
            </w:pPr>
            <w:r w:rsidRPr="00AA2617">
              <w:rPr>
                <w:lang w:val="en-GB"/>
              </w:rPr>
              <w:t>(Mackay et al., 2015)</w:t>
            </w:r>
          </w:p>
        </w:tc>
        <w:tc>
          <w:tcPr>
            <w:tcW w:w="2709" w:type="dxa"/>
          </w:tcPr>
          <w:p w14:paraId="437494C1" w14:textId="77777777" w:rsidR="00E964B6" w:rsidRPr="00AA2617" w:rsidRDefault="00E964B6" w:rsidP="00AA2617">
            <w:pPr>
              <w:spacing w:beforeLines="40" w:before="96" w:afterLines="40" w:after="96"/>
              <w:jc w:val="left"/>
              <w:rPr>
                <w:lang w:val="en-GB"/>
              </w:rPr>
            </w:pPr>
            <w:r w:rsidRPr="00AA2617">
              <w:rPr>
                <w:lang w:val="en-GB"/>
              </w:rPr>
              <w:t>Assessment of capacities to design NAP processes</w:t>
            </w:r>
          </w:p>
        </w:tc>
        <w:tc>
          <w:tcPr>
            <w:tcW w:w="1428" w:type="dxa"/>
          </w:tcPr>
          <w:p w14:paraId="6A7B88FA" w14:textId="77777777" w:rsidR="00E964B6" w:rsidRPr="00AA2617" w:rsidRDefault="00E964B6" w:rsidP="00AA2617">
            <w:pPr>
              <w:spacing w:beforeLines="40" w:before="96" w:afterLines="40" w:after="96"/>
              <w:jc w:val="left"/>
              <w:rPr>
                <w:lang w:val="en-GB"/>
              </w:rPr>
            </w:pPr>
            <w:r w:rsidRPr="00AA2617">
              <w:rPr>
                <w:lang w:val="en-GB"/>
              </w:rPr>
              <w:t>National</w:t>
            </w:r>
          </w:p>
        </w:tc>
        <w:tc>
          <w:tcPr>
            <w:tcW w:w="1904" w:type="dxa"/>
          </w:tcPr>
          <w:p w14:paraId="2042C8FF" w14:textId="77777777" w:rsidR="00E964B6" w:rsidRPr="00AA2617" w:rsidRDefault="00E964B6" w:rsidP="00AA2617">
            <w:pPr>
              <w:spacing w:beforeLines="40" w:before="96" w:afterLines="40" w:after="96"/>
              <w:jc w:val="left"/>
              <w:rPr>
                <w:lang w:val="en-GB"/>
              </w:rPr>
            </w:pPr>
            <w:r w:rsidRPr="00AA2617">
              <w:rPr>
                <w:lang w:val="en-GB"/>
              </w:rPr>
              <w:t>Multi-sectoral</w:t>
            </w:r>
          </w:p>
          <w:p w14:paraId="3D25A0E0" w14:textId="77777777" w:rsidR="00E964B6" w:rsidRPr="00AA2617" w:rsidRDefault="00E964B6" w:rsidP="00AA2617">
            <w:pPr>
              <w:spacing w:beforeLines="40" w:before="96" w:afterLines="40" w:after="96"/>
              <w:jc w:val="left"/>
              <w:rPr>
                <w:lang w:val="en-GB"/>
              </w:rPr>
            </w:pPr>
            <w:r w:rsidRPr="00AA2617">
              <w:rPr>
                <w:lang w:val="en-GB"/>
              </w:rPr>
              <w:t>(stakeholders involved in NAP processes)</w:t>
            </w:r>
          </w:p>
        </w:tc>
      </w:tr>
      <w:tr w:rsidR="00E964B6" w:rsidRPr="00AA2617" w14:paraId="248BB694" w14:textId="77777777" w:rsidTr="00DA0F69">
        <w:trPr>
          <w:cantSplit/>
        </w:trPr>
        <w:tc>
          <w:tcPr>
            <w:tcW w:w="2975" w:type="dxa"/>
          </w:tcPr>
          <w:p w14:paraId="06062B1C" w14:textId="77777777" w:rsidR="00E964B6" w:rsidRPr="00AA2617" w:rsidRDefault="00E964B6" w:rsidP="00AA2617">
            <w:pPr>
              <w:spacing w:beforeLines="40" w:before="96" w:afterLines="40" w:after="96"/>
              <w:jc w:val="left"/>
              <w:rPr>
                <w:lang w:val="en-GB"/>
              </w:rPr>
            </w:pPr>
            <w:r w:rsidRPr="00AA2617">
              <w:rPr>
                <w:lang w:val="en-GB"/>
              </w:rPr>
              <w:t>Stocktaking for national adaptation planning (SNAP) tool</w:t>
            </w:r>
          </w:p>
          <w:p w14:paraId="35B0761D" w14:textId="77777777" w:rsidR="00E964B6" w:rsidRPr="00AA2617" w:rsidRDefault="00E964B6" w:rsidP="00AA2617">
            <w:pPr>
              <w:spacing w:beforeLines="40" w:before="96" w:afterLines="40" w:after="96"/>
              <w:jc w:val="left"/>
              <w:rPr>
                <w:lang w:val="en-GB"/>
              </w:rPr>
            </w:pPr>
            <w:r w:rsidRPr="00AA2617">
              <w:rPr>
                <w:lang w:val="en-GB"/>
              </w:rPr>
              <w:t>(GIZ, 2014)</w:t>
            </w:r>
          </w:p>
        </w:tc>
        <w:tc>
          <w:tcPr>
            <w:tcW w:w="2709" w:type="dxa"/>
          </w:tcPr>
          <w:p w14:paraId="4DAFFF11" w14:textId="77777777" w:rsidR="00E964B6" w:rsidRPr="00AA2617" w:rsidRDefault="00E964B6" w:rsidP="00AA2617">
            <w:pPr>
              <w:spacing w:beforeLines="40" w:before="96" w:afterLines="40" w:after="96"/>
              <w:jc w:val="left"/>
              <w:rPr>
                <w:lang w:val="en-GB"/>
              </w:rPr>
            </w:pPr>
            <w:r w:rsidRPr="00AA2617">
              <w:rPr>
                <w:lang w:val="en-GB"/>
              </w:rPr>
              <w:t>Self-assessment of capacities to undertake NAP processes</w:t>
            </w:r>
          </w:p>
        </w:tc>
        <w:tc>
          <w:tcPr>
            <w:tcW w:w="1428" w:type="dxa"/>
          </w:tcPr>
          <w:p w14:paraId="73D9026B" w14:textId="77777777" w:rsidR="00E964B6" w:rsidRPr="00AA2617" w:rsidRDefault="00E964B6" w:rsidP="00AA2617">
            <w:pPr>
              <w:spacing w:beforeLines="40" w:before="96" w:afterLines="40" w:after="96"/>
              <w:jc w:val="left"/>
              <w:rPr>
                <w:lang w:val="en-GB"/>
              </w:rPr>
            </w:pPr>
            <w:r w:rsidRPr="00AA2617">
              <w:rPr>
                <w:lang w:val="en-GB"/>
              </w:rPr>
              <w:t>National</w:t>
            </w:r>
          </w:p>
        </w:tc>
        <w:tc>
          <w:tcPr>
            <w:tcW w:w="1904" w:type="dxa"/>
          </w:tcPr>
          <w:p w14:paraId="673EBB81" w14:textId="77777777" w:rsidR="00E964B6" w:rsidRPr="00AA2617" w:rsidRDefault="00E964B6" w:rsidP="00AA2617">
            <w:pPr>
              <w:spacing w:beforeLines="40" w:before="96" w:afterLines="40" w:after="96"/>
              <w:jc w:val="left"/>
              <w:rPr>
                <w:lang w:val="en-GB"/>
              </w:rPr>
            </w:pPr>
            <w:r w:rsidRPr="00AA2617">
              <w:rPr>
                <w:lang w:val="en-GB"/>
              </w:rPr>
              <w:t>Multi-sectoral</w:t>
            </w:r>
          </w:p>
          <w:p w14:paraId="6CAC2EC9" w14:textId="77777777" w:rsidR="00E964B6" w:rsidRPr="00AA2617" w:rsidRDefault="00E964B6" w:rsidP="00AA2617">
            <w:pPr>
              <w:spacing w:beforeLines="40" w:before="96" w:afterLines="40" w:after="96"/>
              <w:jc w:val="left"/>
              <w:rPr>
                <w:lang w:val="en-GB"/>
              </w:rPr>
            </w:pPr>
            <w:r w:rsidRPr="00AA2617">
              <w:rPr>
                <w:lang w:val="en-GB"/>
              </w:rPr>
              <w:t>(stakeholders involved in NAP processes)</w:t>
            </w:r>
          </w:p>
        </w:tc>
      </w:tr>
      <w:tr w:rsidR="00E964B6" w:rsidRPr="00AA2617" w14:paraId="47D37CD7" w14:textId="77777777" w:rsidTr="00DA0F69">
        <w:trPr>
          <w:cantSplit/>
        </w:trPr>
        <w:tc>
          <w:tcPr>
            <w:tcW w:w="2975" w:type="dxa"/>
          </w:tcPr>
          <w:p w14:paraId="1EE8126D" w14:textId="77777777" w:rsidR="00E964B6" w:rsidRPr="00AA2617" w:rsidRDefault="00E964B6" w:rsidP="00AA2617">
            <w:pPr>
              <w:spacing w:beforeLines="40" w:before="96" w:afterLines="40" w:after="96"/>
              <w:jc w:val="left"/>
              <w:rPr>
                <w:lang w:val="en-GB"/>
              </w:rPr>
            </w:pPr>
            <w:r w:rsidRPr="00AA2617">
              <w:rPr>
                <w:lang w:val="en-GB"/>
              </w:rPr>
              <w:t>Tool for monitoring progress, effectiveness, and gaps (PEG) under NAP processes</w:t>
            </w:r>
          </w:p>
          <w:p w14:paraId="48179E16" w14:textId="77777777" w:rsidR="00E964B6" w:rsidRPr="00AA2617" w:rsidRDefault="00E964B6" w:rsidP="00AA2617">
            <w:pPr>
              <w:spacing w:beforeLines="40" w:before="96" w:afterLines="40" w:after="96"/>
              <w:jc w:val="left"/>
              <w:rPr>
                <w:lang w:val="en-GB"/>
              </w:rPr>
            </w:pPr>
            <w:r w:rsidRPr="00AA2617">
              <w:rPr>
                <w:lang w:val="en-GB"/>
              </w:rPr>
              <w:t>(UNFCCC, 2015)</w:t>
            </w:r>
          </w:p>
        </w:tc>
        <w:tc>
          <w:tcPr>
            <w:tcW w:w="2709" w:type="dxa"/>
          </w:tcPr>
          <w:p w14:paraId="4D189E90" w14:textId="77777777" w:rsidR="00E964B6" w:rsidRPr="00AA2617" w:rsidRDefault="00E964B6" w:rsidP="00AA2617">
            <w:pPr>
              <w:spacing w:beforeLines="40" w:before="96" w:afterLines="40" w:after="96"/>
              <w:jc w:val="left"/>
              <w:rPr>
                <w:lang w:val="en-GB"/>
              </w:rPr>
            </w:pPr>
            <w:r w:rsidRPr="00AA2617">
              <w:rPr>
                <w:lang w:val="en-GB"/>
              </w:rPr>
              <w:t>Assessment of the essential functions of NAP processes</w:t>
            </w:r>
          </w:p>
        </w:tc>
        <w:tc>
          <w:tcPr>
            <w:tcW w:w="1428" w:type="dxa"/>
          </w:tcPr>
          <w:p w14:paraId="4487DBB8" w14:textId="77777777" w:rsidR="00E964B6" w:rsidRPr="00AA2617" w:rsidRDefault="00E964B6" w:rsidP="00AA2617">
            <w:pPr>
              <w:spacing w:beforeLines="40" w:before="96" w:afterLines="40" w:after="96"/>
              <w:jc w:val="left"/>
              <w:rPr>
                <w:lang w:val="en-GB"/>
              </w:rPr>
            </w:pPr>
            <w:r w:rsidRPr="00AA2617">
              <w:rPr>
                <w:lang w:val="en-GB"/>
              </w:rPr>
              <w:t>National</w:t>
            </w:r>
          </w:p>
        </w:tc>
        <w:tc>
          <w:tcPr>
            <w:tcW w:w="1904" w:type="dxa"/>
          </w:tcPr>
          <w:p w14:paraId="2B0500C8" w14:textId="77777777" w:rsidR="00E964B6" w:rsidRPr="00AA2617" w:rsidRDefault="00E964B6" w:rsidP="00AA2617">
            <w:pPr>
              <w:spacing w:beforeLines="40" w:before="96" w:afterLines="40" w:after="96"/>
              <w:jc w:val="left"/>
              <w:rPr>
                <w:lang w:val="en-GB"/>
              </w:rPr>
            </w:pPr>
            <w:r w:rsidRPr="00AA2617">
              <w:rPr>
                <w:lang w:val="en-GB"/>
              </w:rPr>
              <w:t>Multi-sectoral</w:t>
            </w:r>
          </w:p>
          <w:p w14:paraId="79FBB173" w14:textId="77777777" w:rsidR="00E964B6" w:rsidRPr="00AA2617" w:rsidRDefault="00E964B6" w:rsidP="00AA2617">
            <w:pPr>
              <w:spacing w:beforeLines="40" w:before="96" w:afterLines="40" w:after="96"/>
              <w:jc w:val="left"/>
              <w:rPr>
                <w:lang w:val="en-GB"/>
              </w:rPr>
            </w:pPr>
            <w:r w:rsidRPr="00AA2617">
              <w:rPr>
                <w:lang w:val="en-GB"/>
              </w:rPr>
              <w:t>(stakeholders involved in NAP processes)</w:t>
            </w:r>
          </w:p>
        </w:tc>
      </w:tr>
      <w:tr w:rsidR="00E964B6" w:rsidRPr="00AA2617" w14:paraId="34ABA9E8" w14:textId="77777777" w:rsidTr="00DA0F69">
        <w:trPr>
          <w:cantSplit/>
        </w:trPr>
        <w:tc>
          <w:tcPr>
            <w:tcW w:w="2975" w:type="dxa"/>
          </w:tcPr>
          <w:p w14:paraId="17692BE2" w14:textId="77777777" w:rsidR="00E964B6" w:rsidRPr="00AA2617" w:rsidRDefault="00E964B6" w:rsidP="00AA2617">
            <w:pPr>
              <w:spacing w:beforeLines="40" w:before="96" w:afterLines="40" w:after="96"/>
              <w:jc w:val="left"/>
              <w:rPr>
                <w:lang w:val="en-GB"/>
              </w:rPr>
            </w:pPr>
            <w:r w:rsidRPr="00AA2617">
              <w:rPr>
                <w:lang w:val="en-GB"/>
              </w:rPr>
              <w:t>Index for risk assessment (INFORM)</w:t>
            </w:r>
          </w:p>
          <w:p w14:paraId="38C54688" w14:textId="77777777" w:rsidR="00E964B6" w:rsidRPr="00AA2617" w:rsidRDefault="00E964B6" w:rsidP="00AA2617">
            <w:pPr>
              <w:spacing w:beforeLines="40" w:before="96" w:afterLines="40" w:after="96"/>
              <w:jc w:val="left"/>
              <w:rPr>
                <w:lang w:val="en-GB"/>
              </w:rPr>
            </w:pPr>
            <w:r w:rsidRPr="00AA2617">
              <w:rPr>
                <w:lang w:val="en-GB"/>
              </w:rPr>
              <w:t>(De Groeve et al., 2015)</w:t>
            </w:r>
          </w:p>
        </w:tc>
        <w:tc>
          <w:tcPr>
            <w:tcW w:w="2709" w:type="dxa"/>
          </w:tcPr>
          <w:p w14:paraId="032FA98D" w14:textId="77777777" w:rsidR="00E964B6" w:rsidRPr="00AA2617" w:rsidRDefault="00E964B6" w:rsidP="00AA2617">
            <w:pPr>
              <w:spacing w:beforeLines="40" w:before="96" w:afterLines="40" w:after="96"/>
              <w:jc w:val="left"/>
              <w:rPr>
                <w:lang w:val="en-GB"/>
              </w:rPr>
            </w:pPr>
            <w:r w:rsidRPr="00AA2617">
              <w:rPr>
                <w:lang w:val="en-GB"/>
              </w:rPr>
              <w:t>Assessment of country resilience and ranking</w:t>
            </w:r>
          </w:p>
        </w:tc>
        <w:tc>
          <w:tcPr>
            <w:tcW w:w="1428" w:type="dxa"/>
          </w:tcPr>
          <w:p w14:paraId="5688270A" w14:textId="77777777" w:rsidR="00E964B6" w:rsidRPr="00AA2617" w:rsidRDefault="00E964B6" w:rsidP="00AA2617">
            <w:pPr>
              <w:spacing w:beforeLines="40" w:before="96" w:afterLines="40" w:after="96"/>
              <w:jc w:val="left"/>
              <w:rPr>
                <w:lang w:val="en-GB"/>
              </w:rPr>
            </w:pPr>
            <w:r w:rsidRPr="00AA2617">
              <w:rPr>
                <w:lang w:val="en-GB"/>
              </w:rPr>
              <w:t>National</w:t>
            </w:r>
          </w:p>
        </w:tc>
        <w:tc>
          <w:tcPr>
            <w:tcW w:w="1904" w:type="dxa"/>
          </w:tcPr>
          <w:p w14:paraId="404E99E7" w14:textId="77777777" w:rsidR="00E964B6" w:rsidRPr="00AA2617" w:rsidRDefault="00E964B6" w:rsidP="00AA2617">
            <w:pPr>
              <w:spacing w:beforeLines="40" w:before="96" w:afterLines="40" w:after="96"/>
              <w:jc w:val="left"/>
              <w:rPr>
                <w:lang w:val="en-GB"/>
              </w:rPr>
            </w:pPr>
            <w:r w:rsidRPr="00AA2617">
              <w:rPr>
                <w:lang w:val="en-GB"/>
              </w:rPr>
              <w:t>Multi-sectoral</w:t>
            </w:r>
          </w:p>
          <w:p w14:paraId="227319A6" w14:textId="77777777" w:rsidR="00E964B6" w:rsidRPr="00AA2617" w:rsidRDefault="00E964B6" w:rsidP="00AA2617">
            <w:pPr>
              <w:spacing w:beforeLines="40" w:before="96" w:afterLines="40" w:after="96"/>
              <w:jc w:val="left"/>
              <w:rPr>
                <w:lang w:val="en-GB"/>
              </w:rPr>
            </w:pPr>
            <w:r w:rsidRPr="00AA2617">
              <w:rPr>
                <w:lang w:val="en-GB"/>
              </w:rPr>
              <w:t>(national decision-makers and international organizations)</w:t>
            </w:r>
          </w:p>
        </w:tc>
      </w:tr>
      <w:tr w:rsidR="00E964B6" w:rsidRPr="00AA2617" w14:paraId="7705DFA8" w14:textId="77777777" w:rsidTr="00DA0F69">
        <w:trPr>
          <w:cantSplit/>
        </w:trPr>
        <w:tc>
          <w:tcPr>
            <w:tcW w:w="2975" w:type="dxa"/>
          </w:tcPr>
          <w:p w14:paraId="38A1F064" w14:textId="77777777" w:rsidR="00E964B6" w:rsidRPr="00AA2617" w:rsidRDefault="00E964B6" w:rsidP="00AA2617">
            <w:pPr>
              <w:spacing w:beforeLines="40" w:before="96" w:afterLines="40" w:after="96"/>
              <w:jc w:val="left"/>
              <w:rPr>
                <w:lang w:val="en-GB"/>
              </w:rPr>
            </w:pPr>
            <w:r w:rsidRPr="00AA2617">
              <w:rPr>
                <w:lang w:val="en-GB"/>
              </w:rPr>
              <w:t>Framework on making adaptation count</w:t>
            </w:r>
          </w:p>
          <w:p w14:paraId="378FEE44" w14:textId="77777777" w:rsidR="00E964B6" w:rsidRPr="00AA2617" w:rsidRDefault="00E964B6" w:rsidP="00AA2617">
            <w:pPr>
              <w:spacing w:beforeLines="40" w:before="96" w:afterLines="40" w:after="96"/>
              <w:jc w:val="left"/>
              <w:rPr>
                <w:lang w:val="en-GB"/>
              </w:rPr>
            </w:pPr>
            <w:r w:rsidRPr="00AA2617">
              <w:rPr>
                <w:lang w:val="en-GB"/>
              </w:rPr>
              <w:t>(Spearman and McGray, 2011)</w:t>
            </w:r>
          </w:p>
        </w:tc>
        <w:tc>
          <w:tcPr>
            <w:tcW w:w="2709" w:type="dxa"/>
          </w:tcPr>
          <w:p w14:paraId="27B47A8D" w14:textId="77777777" w:rsidR="00E964B6" w:rsidRPr="00AA2617" w:rsidRDefault="00E964B6" w:rsidP="00AA2617">
            <w:pPr>
              <w:spacing w:beforeLines="40" w:before="96" w:afterLines="40" w:after="96"/>
              <w:jc w:val="left"/>
              <w:rPr>
                <w:lang w:val="en-GB"/>
              </w:rPr>
            </w:pPr>
            <w:r w:rsidRPr="00AA2617">
              <w:rPr>
                <w:lang w:val="en-GB"/>
              </w:rPr>
              <w:t>Monitoring and evaluation of adaptation processes and outcomes</w:t>
            </w:r>
          </w:p>
        </w:tc>
        <w:tc>
          <w:tcPr>
            <w:tcW w:w="1428" w:type="dxa"/>
          </w:tcPr>
          <w:p w14:paraId="51CE3083" w14:textId="77777777" w:rsidR="00E964B6" w:rsidRPr="00AA2617" w:rsidRDefault="00E964B6" w:rsidP="00AA2617">
            <w:pPr>
              <w:spacing w:beforeLines="40" w:before="96" w:afterLines="40" w:after="96"/>
              <w:jc w:val="left"/>
              <w:rPr>
                <w:lang w:val="en-GB"/>
              </w:rPr>
            </w:pPr>
            <w:r w:rsidRPr="00AA2617">
              <w:rPr>
                <w:lang w:val="en-GB"/>
              </w:rPr>
              <w:t>National and local</w:t>
            </w:r>
          </w:p>
        </w:tc>
        <w:tc>
          <w:tcPr>
            <w:tcW w:w="1904" w:type="dxa"/>
          </w:tcPr>
          <w:p w14:paraId="6E2801C1" w14:textId="77777777" w:rsidR="00E964B6" w:rsidRPr="00AA2617" w:rsidRDefault="00E964B6" w:rsidP="00AA2617">
            <w:pPr>
              <w:spacing w:beforeLines="40" w:before="96" w:afterLines="40" w:after="96"/>
              <w:jc w:val="left"/>
              <w:rPr>
                <w:lang w:val="en-GB"/>
              </w:rPr>
            </w:pPr>
            <w:r w:rsidRPr="00AA2617">
              <w:rPr>
                <w:lang w:val="en-GB"/>
              </w:rPr>
              <w:t>Multi-sectoral</w:t>
            </w:r>
          </w:p>
          <w:p w14:paraId="0FD84619" w14:textId="77777777" w:rsidR="00E964B6" w:rsidRPr="00AA2617" w:rsidRDefault="00E964B6" w:rsidP="00AA2617">
            <w:pPr>
              <w:spacing w:beforeLines="40" w:before="96" w:afterLines="40" w:after="96"/>
              <w:jc w:val="left"/>
              <w:rPr>
                <w:lang w:val="en-GB"/>
              </w:rPr>
            </w:pPr>
            <w:r w:rsidRPr="00AA2617">
              <w:rPr>
                <w:lang w:val="en-GB"/>
              </w:rPr>
              <w:t>(adaptation practitioners)</w:t>
            </w:r>
          </w:p>
        </w:tc>
      </w:tr>
      <w:tr w:rsidR="00E964B6" w:rsidRPr="00AA2617" w14:paraId="284824F3" w14:textId="77777777" w:rsidTr="00DA0F69">
        <w:trPr>
          <w:cantSplit/>
        </w:trPr>
        <w:tc>
          <w:tcPr>
            <w:tcW w:w="2975" w:type="dxa"/>
          </w:tcPr>
          <w:p w14:paraId="3762212D" w14:textId="77777777" w:rsidR="00E964B6" w:rsidRPr="00AA2617" w:rsidRDefault="00E964B6" w:rsidP="00AA2617">
            <w:pPr>
              <w:spacing w:beforeLines="40" w:before="96" w:afterLines="40" w:after="96"/>
              <w:jc w:val="left"/>
              <w:rPr>
                <w:lang w:val="en-GB"/>
              </w:rPr>
            </w:pPr>
            <w:r w:rsidRPr="00AA2617">
              <w:rPr>
                <w:lang w:val="en-GB"/>
              </w:rPr>
              <w:t>Tracking adaptation and measuring development (TAMD) approach</w:t>
            </w:r>
          </w:p>
          <w:p w14:paraId="4A9F799D" w14:textId="77777777" w:rsidR="00E964B6" w:rsidRPr="00AA2617" w:rsidRDefault="00E964B6" w:rsidP="00AA2617">
            <w:pPr>
              <w:spacing w:beforeLines="40" w:before="96" w:afterLines="40" w:after="96"/>
              <w:jc w:val="left"/>
              <w:rPr>
                <w:lang w:val="en-GB"/>
              </w:rPr>
            </w:pPr>
            <w:r w:rsidRPr="00AA2617">
              <w:rPr>
                <w:lang w:val="en-GB"/>
              </w:rPr>
              <w:t>(Brooks et al., 2011)</w:t>
            </w:r>
          </w:p>
        </w:tc>
        <w:tc>
          <w:tcPr>
            <w:tcW w:w="2709" w:type="dxa"/>
          </w:tcPr>
          <w:p w14:paraId="630953B3" w14:textId="77777777" w:rsidR="00E964B6" w:rsidRPr="00AA2617" w:rsidRDefault="00E964B6" w:rsidP="00AA2617">
            <w:pPr>
              <w:spacing w:beforeLines="40" w:before="96" w:afterLines="40" w:after="96"/>
              <w:jc w:val="left"/>
              <w:rPr>
                <w:lang w:val="en-GB"/>
              </w:rPr>
            </w:pPr>
            <w:r w:rsidRPr="00AA2617">
              <w:rPr>
                <w:lang w:val="en-GB"/>
              </w:rPr>
              <w:t>Monitoring of climate risk management processes and outcomes</w:t>
            </w:r>
          </w:p>
        </w:tc>
        <w:tc>
          <w:tcPr>
            <w:tcW w:w="1428" w:type="dxa"/>
          </w:tcPr>
          <w:p w14:paraId="77DCE7CB" w14:textId="77777777" w:rsidR="00E964B6" w:rsidRPr="00AA2617" w:rsidRDefault="00E964B6" w:rsidP="00AA2617">
            <w:pPr>
              <w:spacing w:beforeLines="40" w:before="96" w:afterLines="40" w:after="96"/>
              <w:jc w:val="left"/>
              <w:rPr>
                <w:lang w:val="en-GB"/>
              </w:rPr>
            </w:pPr>
            <w:r w:rsidRPr="00AA2617">
              <w:rPr>
                <w:lang w:val="en-GB"/>
              </w:rPr>
              <w:t>National and local</w:t>
            </w:r>
          </w:p>
        </w:tc>
        <w:tc>
          <w:tcPr>
            <w:tcW w:w="1904" w:type="dxa"/>
          </w:tcPr>
          <w:p w14:paraId="70B55AEB" w14:textId="77777777" w:rsidR="00E964B6" w:rsidRPr="00AA2617" w:rsidRDefault="00E964B6" w:rsidP="00AA2617">
            <w:pPr>
              <w:spacing w:beforeLines="40" w:before="96" w:afterLines="40" w:after="96"/>
              <w:jc w:val="left"/>
              <w:rPr>
                <w:lang w:val="en-GB"/>
              </w:rPr>
            </w:pPr>
            <w:r w:rsidRPr="00AA2617">
              <w:rPr>
                <w:lang w:val="en-GB"/>
              </w:rPr>
              <w:t>Multi-sectoral</w:t>
            </w:r>
          </w:p>
          <w:p w14:paraId="786DD318" w14:textId="77777777" w:rsidR="00E964B6" w:rsidRPr="00AA2617" w:rsidRDefault="00E964B6" w:rsidP="00AA2617">
            <w:pPr>
              <w:spacing w:beforeLines="40" w:before="96" w:afterLines="40" w:after="96"/>
              <w:jc w:val="left"/>
              <w:rPr>
                <w:lang w:val="en-GB"/>
              </w:rPr>
            </w:pPr>
            <w:r w:rsidRPr="00AA2617">
              <w:rPr>
                <w:lang w:val="en-GB"/>
              </w:rPr>
              <w:t>(adaptation practitioners)</w:t>
            </w:r>
          </w:p>
        </w:tc>
      </w:tr>
      <w:tr w:rsidR="00E964B6" w:rsidRPr="00AA2617" w14:paraId="2FE28257" w14:textId="77777777" w:rsidTr="00DA0F69">
        <w:trPr>
          <w:cantSplit/>
        </w:trPr>
        <w:tc>
          <w:tcPr>
            <w:tcW w:w="2975" w:type="dxa"/>
          </w:tcPr>
          <w:p w14:paraId="72BE4109" w14:textId="77777777" w:rsidR="00E964B6" w:rsidRPr="00AA2617" w:rsidRDefault="00E964B6" w:rsidP="00AA2617">
            <w:pPr>
              <w:spacing w:beforeLines="40" w:before="96" w:afterLines="40" w:after="96"/>
              <w:jc w:val="left"/>
              <w:rPr>
                <w:lang w:val="en-GB"/>
              </w:rPr>
            </w:pPr>
            <w:r w:rsidRPr="00AA2617">
              <w:rPr>
                <w:lang w:val="en-GB"/>
              </w:rPr>
              <w:lastRenderedPageBreak/>
              <w:t>The Vulnerability Sourcebook</w:t>
            </w:r>
          </w:p>
          <w:p w14:paraId="07D1F068" w14:textId="77777777" w:rsidR="00E964B6" w:rsidRPr="00AA2617" w:rsidRDefault="00E964B6" w:rsidP="00AA2617">
            <w:pPr>
              <w:spacing w:beforeLines="40" w:before="96" w:afterLines="40" w:after="96"/>
              <w:jc w:val="left"/>
              <w:rPr>
                <w:lang w:val="en-GB"/>
              </w:rPr>
            </w:pPr>
            <w:r w:rsidRPr="00AA2617">
              <w:rPr>
                <w:lang w:val="en-GB"/>
              </w:rPr>
              <w:t>(Fritzsche et al., 2014)</w:t>
            </w:r>
          </w:p>
        </w:tc>
        <w:tc>
          <w:tcPr>
            <w:tcW w:w="2709" w:type="dxa"/>
          </w:tcPr>
          <w:p w14:paraId="1C007C42" w14:textId="77777777" w:rsidR="00E964B6" w:rsidRPr="00AA2617" w:rsidRDefault="00E964B6" w:rsidP="00AA2617">
            <w:pPr>
              <w:spacing w:beforeLines="40" w:before="96" w:afterLines="40" w:after="96"/>
              <w:jc w:val="left"/>
              <w:rPr>
                <w:lang w:val="en-GB"/>
              </w:rPr>
            </w:pPr>
            <w:r w:rsidRPr="00AA2617">
              <w:rPr>
                <w:lang w:val="en-GB"/>
              </w:rPr>
              <w:t>Changes in outcomes, with a specific focus on vulnerability</w:t>
            </w:r>
          </w:p>
        </w:tc>
        <w:tc>
          <w:tcPr>
            <w:tcW w:w="1428" w:type="dxa"/>
          </w:tcPr>
          <w:p w14:paraId="59ABA579" w14:textId="77777777" w:rsidR="00E964B6" w:rsidRPr="00AA2617" w:rsidRDefault="00E964B6" w:rsidP="00AA2617">
            <w:pPr>
              <w:spacing w:beforeLines="40" w:before="96" w:afterLines="40" w:after="96"/>
              <w:jc w:val="left"/>
              <w:rPr>
                <w:lang w:val="en-GB"/>
              </w:rPr>
            </w:pPr>
            <w:r w:rsidRPr="00AA2617">
              <w:rPr>
                <w:lang w:val="en-GB"/>
              </w:rPr>
              <w:t>National and sub-national</w:t>
            </w:r>
          </w:p>
        </w:tc>
        <w:tc>
          <w:tcPr>
            <w:tcW w:w="1904" w:type="dxa"/>
          </w:tcPr>
          <w:p w14:paraId="28F80753" w14:textId="77777777" w:rsidR="00E964B6" w:rsidRPr="00AA2617" w:rsidRDefault="00E964B6" w:rsidP="00AA2617">
            <w:pPr>
              <w:spacing w:beforeLines="40" w:before="96" w:afterLines="40" w:after="96"/>
              <w:jc w:val="left"/>
              <w:rPr>
                <w:lang w:val="en-GB"/>
              </w:rPr>
            </w:pPr>
            <w:r w:rsidRPr="00AA2617">
              <w:rPr>
                <w:lang w:val="en-GB"/>
              </w:rPr>
              <w:t>Multi-sectoral</w:t>
            </w:r>
          </w:p>
          <w:p w14:paraId="4E3DB200" w14:textId="77777777" w:rsidR="00E964B6" w:rsidRPr="00AA2617" w:rsidRDefault="00E964B6" w:rsidP="00AA2617">
            <w:pPr>
              <w:spacing w:beforeLines="40" w:before="96" w:afterLines="40" w:after="96"/>
              <w:jc w:val="left"/>
              <w:rPr>
                <w:lang w:val="en-GB"/>
              </w:rPr>
            </w:pPr>
            <w:r w:rsidRPr="00AA2617">
              <w:rPr>
                <w:lang w:val="en-GB"/>
              </w:rPr>
              <w:t>(adaptation practitioners)</w:t>
            </w:r>
          </w:p>
        </w:tc>
      </w:tr>
      <w:tr w:rsidR="00E964B6" w:rsidRPr="00AA2617" w14:paraId="2B7AD495" w14:textId="77777777" w:rsidTr="00DA0F69">
        <w:trPr>
          <w:cantSplit/>
        </w:trPr>
        <w:tc>
          <w:tcPr>
            <w:tcW w:w="2975" w:type="dxa"/>
          </w:tcPr>
          <w:p w14:paraId="1FAF235E" w14:textId="77777777" w:rsidR="00E964B6" w:rsidRPr="00AA2617" w:rsidRDefault="00E964B6" w:rsidP="00AA2617">
            <w:pPr>
              <w:spacing w:beforeLines="40" w:before="96" w:afterLines="40" w:after="96"/>
              <w:jc w:val="left"/>
              <w:rPr>
                <w:lang w:val="en-GB"/>
              </w:rPr>
            </w:pPr>
            <w:r w:rsidRPr="00AA2617">
              <w:rPr>
                <w:lang w:val="en-GB"/>
              </w:rPr>
              <w:t>Impact evaluation guidebook for climate change adaptation projects</w:t>
            </w:r>
          </w:p>
          <w:p w14:paraId="1CEC85DF" w14:textId="77777777" w:rsidR="00E964B6" w:rsidRPr="00AA2617" w:rsidRDefault="00E964B6" w:rsidP="00AA2617">
            <w:pPr>
              <w:spacing w:beforeLines="40" w:before="96" w:afterLines="40" w:after="96"/>
              <w:jc w:val="left"/>
              <w:rPr>
                <w:lang w:val="en-GB"/>
              </w:rPr>
            </w:pPr>
            <w:r w:rsidRPr="00AA2617">
              <w:rPr>
                <w:lang w:val="en-GB"/>
              </w:rPr>
              <w:t>(GIZ, 2015)</w:t>
            </w:r>
          </w:p>
        </w:tc>
        <w:tc>
          <w:tcPr>
            <w:tcW w:w="2709" w:type="dxa"/>
          </w:tcPr>
          <w:p w14:paraId="38D882BF" w14:textId="77777777" w:rsidR="00E964B6" w:rsidRPr="00AA2617" w:rsidRDefault="00E964B6" w:rsidP="00AA2617">
            <w:pPr>
              <w:spacing w:beforeLines="40" w:before="96" w:afterLines="40" w:after="96"/>
              <w:jc w:val="left"/>
              <w:rPr>
                <w:lang w:val="en-GB"/>
              </w:rPr>
            </w:pPr>
            <w:r w:rsidRPr="00AA2617">
              <w:rPr>
                <w:lang w:val="en-GB"/>
              </w:rPr>
              <w:t>Assessment of adaptation interventions contributing to a given outcome</w:t>
            </w:r>
          </w:p>
        </w:tc>
        <w:tc>
          <w:tcPr>
            <w:tcW w:w="1428" w:type="dxa"/>
          </w:tcPr>
          <w:p w14:paraId="651C9ED8" w14:textId="77777777" w:rsidR="00E964B6" w:rsidRPr="00AA2617" w:rsidRDefault="00E964B6" w:rsidP="00AA2617">
            <w:pPr>
              <w:spacing w:beforeLines="40" w:before="96" w:afterLines="40" w:after="96"/>
              <w:jc w:val="left"/>
              <w:rPr>
                <w:lang w:val="en-GB"/>
              </w:rPr>
            </w:pPr>
            <w:r w:rsidRPr="00AA2617">
              <w:rPr>
                <w:lang w:val="en-GB"/>
              </w:rPr>
              <w:t>National</w:t>
            </w:r>
          </w:p>
        </w:tc>
        <w:tc>
          <w:tcPr>
            <w:tcW w:w="1904" w:type="dxa"/>
          </w:tcPr>
          <w:p w14:paraId="1606ACEC" w14:textId="77777777" w:rsidR="00E964B6" w:rsidRPr="00AA2617" w:rsidRDefault="00E964B6" w:rsidP="00AA2617">
            <w:pPr>
              <w:spacing w:beforeLines="40" w:before="96" w:afterLines="40" w:after="96"/>
              <w:jc w:val="left"/>
              <w:rPr>
                <w:lang w:val="en-GB"/>
              </w:rPr>
            </w:pPr>
            <w:r w:rsidRPr="00AA2617">
              <w:rPr>
                <w:lang w:val="en-GB"/>
              </w:rPr>
              <w:t>Multi-sectoral</w:t>
            </w:r>
          </w:p>
          <w:p w14:paraId="19249528" w14:textId="77777777" w:rsidR="00E964B6" w:rsidRPr="00AA2617" w:rsidRDefault="00E964B6" w:rsidP="00AA2617">
            <w:pPr>
              <w:spacing w:beforeLines="40" w:before="96" w:afterLines="40" w:after="96"/>
              <w:jc w:val="left"/>
              <w:rPr>
                <w:lang w:val="en-GB"/>
              </w:rPr>
            </w:pPr>
            <w:r w:rsidRPr="00AA2617">
              <w:rPr>
                <w:lang w:val="en-GB"/>
              </w:rPr>
              <w:t>(adaptation practitioners)</w:t>
            </w:r>
          </w:p>
        </w:tc>
      </w:tr>
      <w:tr w:rsidR="00E964B6" w:rsidRPr="00AA2617" w14:paraId="4D6A49F4" w14:textId="77777777" w:rsidTr="00DA0F69">
        <w:trPr>
          <w:cantSplit/>
        </w:trPr>
        <w:tc>
          <w:tcPr>
            <w:tcW w:w="2975" w:type="dxa"/>
          </w:tcPr>
          <w:p w14:paraId="223A22AF" w14:textId="77777777" w:rsidR="00E964B6" w:rsidRPr="00AA2617" w:rsidRDefault="00E964B6" w:rsidP="00AA2617">
            <w:pPr>
              <w:spacing w:beforeLines="40" w:before="96" w:afterLines="40" w:after="96"/>
              <w:jc w:val="left"/>
              <w:rPr>
                <w:lang w:val="en-GB"/>
              </w:rPr>
            </w:pPr>
            <w:r w:rsidRPr="00AA2617">
              <w:rPr>
                <w:lang w:val="en-GB"/>
              </w:rPr>
              <w:t>Participatory monitoring, evaluation, reflection and learning (PMERL) for community-based adaptation</w:t>
            </w:r>
          </w:p>
          <w:p w14:paraId="2B516326" w14:textId="77777777" w:rsidR="00E964B6" w:rsidRPr="00AA2617" w:rsidRDefault="00E964B6" w:rsidP="00AA2617">
            <w:pPr>
              <w:spacing w:beforeLines="40" w:before="96" w:afterLines="40" w:after="96"/>
              <w:jc w:val="left"/>
              <w:rPr>
                <w:lang w:val="en-GB"/>
              </w:rPr>
            </w:pPr>
            <w:r w:rsidRPr="00AA2617">
              <w:rPr>
                <w:lang w:val="en-GB"/>
              </w:rPr>
              <w:t>(CARE International, 2014)</w:t>
            </w:r>
          </w:p>
        </w:tc>
        <w:tc>
          <w:tcPr>
            <w:tcW w:w="2709" w:type="dxa"/>
          </w:tcPr>
          <w:p w14:paraId="6C557EE5" w14:textId="77777777" w:rsidR="00E964B6" w:rsidRPr="00AA2617" w:rsidRDefault="00E964B6" w:rsidP="00AA2617">
            <w:pPr>
              <w:spacing w:beforeLines="40" w:before="96" w:afterLines="40" w:after="96"/>
              <w:jc w:val="left"/>
              <w:rPr>
                <w:lang w:val="en-GB"/>
              </w:rPr>
            </w:pPr>
            <w:r w:rsidRPr="00AA2617">
              <w:rPr>
                <w:lang w:val="en-GB"/>
              </w:rPr>
              <w:t>Participatory monitoring, evaluation, reflection and learning to help design and implement community-based adaptation</w:t>
            </w:r>
          </w:p>
        </w:tc>
        <w:tc>
          <w:tcPr>
            <w:tcW w:w="1428" w:type="dxa"/>
          </w:tcPr>
          <w:p w14:paraId="26F20C15" w14:textId="77777777" w:rsidR="00E964B6" w:rsidRPr="00AA2617" w:rsidRDefault="00E964B6" w:rsidP="00AA2617">
            <w:pPr>
              <w:spacing w:beforeLines="40" w:before="96" w:afterLines="40" w:after="96"/>
              <w:jc w:val="left"/>
              <w:rPr>
                <w:lang w:val="en-GB"/>
              </w:rPr>
            </w:pPr>
            <w:r w:rsidRPr="00AA2617">
              <w:rPr>
                <w:lang w:val="en-GB"/>
              </w:rPr>
              <w:t>Community</w:t>
            </w:r>
          </w:p>
        </w:tc>
        <w:tc>
          <w:tcPr>
            <w:tcW w:w="1904" w:type="dxa"/>
          </w:tcPr>
          <w:p w14:paraId="2EC642E5" w14:textId="77777777" w:rsidR="00E964B6" w:rsidRPr="00AA2617" w:rsidRDefault="00E964B6" w:rsidP="00AA2617">
            <w:pPr>
              <w:spacing w:beforeLines="40" w:before="96" w:afterLines="40" w:after="96"/>
              <w:jc w:val="left"/>
              <w:rPr>
                <w:lang w:val="en-GB"/>
              </w:rPr>
            </w:pPr>
            <w:r w:rsidRPr="00AA2617">
              <w:rPr>
                <w:lang w:val="en-GB"/>
              </w:rPr>
              <w:t>Multi-sectoral</w:t>
            </w:r>
          </w:p>
          <w:p w14:paraId="070106B0" w14:textId="77777777" w:rsidR="00E964B6" w:rsidRPr="00AA2617" w:rsidRDefault="00E964B6" w:rsidP="00AA2617">
            <w:pPr>
              <w:spacing w:beforeLines="40" w:before="96" w:afterLines="40" w:after="96"/>
              <w:jc w:val="left"/>
              <w:rPr>
                <w:lang w:val="en-GB"/>
              </w:rPr>
            </w:pPr>
            <w:r w:rsidRPr="00AA2617">
              <w:rPr>
                <w:lang w:val="en-GB"/>
              </w:rPr>
              <w:t>(communities)</w:t>
            </w:r>
          </w:p>
        </w:tc>
      </w:tr>
      <w:tr w:rsidR="00E964B6" w:rsidRPr="00AA2617" w14:paraId="0B378E69" w14:textId="77777777" w:rsidTr="00DA0F69">
        <w:trPr>
          <w:cantSplit/>
        </w:trPr>
        <w:tc>
          <w:tcPr>
            <w:tcW w:w="2975" w:type="dxa"/>
          </w:tcPr>
          <w:p w14:paraId="01A40271" w14:textId="77777777" w:rsidR="00E964B6" w:rsidRPr="00AA2617" w:rsidRDefault="00E964B6" w:rsidP="00AA2617">
            <w:pPr>
              <w:spacing w:beforeLines="40" w:before="96" w:afterLines="40" w:after="96"/>
              <w:jc w:val="left"/>
              <w:rPr>
                <w:lang w:val="en-GB"/>
              </w:rPr>
            </w:pPr>
            <w:r w:rsidRPr="00AA2617">
              <w:rPr>
                <w:lang w:val="en-GB"/>
              </w:rPr>
              <w:t>Resilience index measurement and analysis (RIMA)</w:t>
            </w:r>
          </w:p>
          <w:p w14:paraId="0BFE52A4" w14:textId="77777777" w:rsidR="00E964B6" w:rsidRPr="00AA2617" w:rsidRDefault="00E964B6" w:rsidP="00AA2617">
            <w:pPr>
              <w:spacing w:beforeLines="40" w:before="96" w:afterLines="40" w:after="96"/>
              <w:jc w:val="left"/>
              <w:rPr>
                <w:lang w:val="en-GB"/>
              </w:rPr>
            </w:pPr>
            <w:r w:rsidRPr="00AA2617">
              <w:rPr>
                <w:lang w:val="en-GB"/>
              </w:rPr>
              <w:t>(FAO, 2016)</w:t>
            </w:r>
          </w:p>
        </w:tc>
        <w:tc>
          <w:tcPr>
            <w:tcW w:w="2709" w:type="dxa"/>
          </w:tcPr>
          <w:p w14:paraId="36B509CA" w14:textId="77777777" w:rsidR="00E964B6" w:rsidRPr="00AA2617" w:rsidRDefault="00E964B6" w:rsidP="00AA2617">
            <w:pPr>
              <w:spacing w:beforeLines="40" w:before="96" w:afterLines="40" w:after="96"/>
              <w:jc w:val="left"/>
              <w:rPr>
                <w:lang w:val="en-GB"/>
              </w:rPr>
            </w:pPr>
            <w:r w:rsidRPr="00AA2617">
              <w:rPr>
                <w:lang w:val="en-GB"/>
              </w:rPr>
              <w:t>Assessment of households’ reactions to shocks and stressors</w:t>
            </w:r>
          </w:p>
        </w:tc>
        <w:tc>
          <w:tcPr>
            <w:tcW w:w="1428" w:type="dxa"/>
          </w:tcPr>
          <w:p w14:paraId="5A454FCD" w14:textId="77777777" w:rsidR="00E964B6" w:rsidRPr="00AA2617" w:rsidRDefault="00E964B6" w:rsidP="00AA2617">
            <w:pPr>
              <w:spacing w:beforeLines="40" w:before="96" w:afterLines="40" w:after="96"/>
              <w:jc w:val="left"/>
              <w:rPr>
                <w:lang w:val="en-GB"/>
              </w:rPr>
            </w:pPr>
            <w:r w:rsidRPr="00AA2617">
              <w:rPr>
                <w:lang w:val="en-GB"/>
              </w:rPr>
              <w:t>Household</w:t>
            </w:r>
          </w:p>
        </w:tc>
        <w:tc>
          <w:tcPr>
            <w:tcW w:w="1904" w:type="dxa"/>
          </w:tcPr>
          <w:p w14:paraId="301363A9" w14:textId="77777777" w:rsidR="00E964B6" w:rsidRPr="00AA2617" w:rsidRDefault="00E964B6" w:rsidP="00AA2617">
            <w:pPr>
              <w:spacing w:beforeLines="40" w:before="96" w:afterLines="40" w:after="96"/>
              <w:jc w:val="left"/>
              <w:rPr>
                <w:lang w:val="en-GB"/>
              </w:rPr>
            </w:pPr>
            <w:r w:rsidRPr="00AA2617">
              <w:rPr>
                <w:lang w:val="en-GB"/>
              </w:rPr>
              <w:t>Agriculture</w:t>
            </w:r>
          </w:p>
          <w:p w14:paraId="72E30B5B" w14:textId="77777777" w:rsidR="00E964B6" w:rsidRPr="00AA2617" w:rsidRDefault="00E964B6" w:rsidP="00AA2617">
            <w:pPr>
              <w:spacing w:beforeLines="40" w:before="96" w:afterLines="40" w:after="96"/>
              <w:jc w:val="left"/>
              <w:rPr>
                <w:lang w:val="en-GB"/>
              </w:rPr>
            </w:pPr>
            <w:r w:rsidRPr="00AA2617">
              <w:rPr>
                <w:lang w:val="en-GB"/>
              </w:rPr>
              <w:t>(households)</w:t>
            </w:r>
          </w:p>
        </w:tc>
      </w:tr>
      <w:tr w:rsidR="00E964B6" w:rsidRPr="00AA2617" w14:paraId="2090A888" w14:textId="77777777" w:rsidTr="00DA0F69">
        <w:trPr>
          <w:cantSplit/>
        </w:trPr>
        <w:tc>
          <w:tcPr>
            <w:tcW w:w="2975" w:type="dxa"/>
          </w:tcPr>
          <w:p w14:paraId="6D5EF86E" w14:textId="77777777" w:rsidR="00E964B6" w:rsidRPr="00AA2617" w:rsidRDefault="00E964B6" w:rsidP="00AA2617">
            <w:pPr>
              <w:spacing w:beforeLines="40" w:before="96" w:afterLines="40" w:after="96"/>
              <w:jc w:val="left"/>
              <w:rPr>
                <w:lang w:val="en-GB"/>
              </w:rPr>
            </w:pPr>
            <w:r w:rsidRPr="00AA2617">
              <w:rPr>
                <w:lang w:val="en-GB"/>
              </w:rPr>
              <w:t>Self-evaluation and holistic assessment of climate resilience of farmers and pastoralists (SHARP)</w:t>
            </w:r>
          </w:p>
          <w:p w14:paraId="6F6D8D31" w14:textId="77777777" w:rsidR="00E964B6" w:rsidRPr="00AA2617" w:rsidRDefault="00E964B6" w:rsidP="00AA2617">
            <w:pPr>
              <w:spacing w:beforeLines="40" w:before="96" w:afterLines="40" w:after="96"/>
              <w:jc w:val="left"/>
              <w:rPr>
                <w:lang w:val="en-GB"/>
              </w:rPr>
            </w:pPr>
            <w:r w:rsidRPr="00AA2617">
              <w:rPr>
                <w:lang w:val="en-GB"/>
              </w:rPr>
              <w:t>(FAO, 2015)</w:t>
            </w:r>
          </w:p>
        </w:tc>
        <w:tc>
          <w:tcPr>
            <w:tcW w:w="2709" w:type="dxa"/>
          </w:tcPr>
          <w:p w14:paraId="58CE8D1B" w14:textId="77777777" w:rsidR="00E964B6" w:rsidRPr="00AA2617" w:rsidRDefault="00E964B6" w:rsidP="00AA2617">
            <w:pPr>
              <w:spacing w:beforeLines="40" w:before="96" w:afterLines="40" w:after="96"/>
              <w:jc w:val="left"/>
              <w:rPr>
                <w:lang w:val="en-GB"/>
              </w:rPr>
            </w:pPr>
            <w:r w:rsidRPr="00AA2617">
              <w:rPr>
                <w:lang w:val="en-GB"/>
              </w:rPr>
              <w:t>Farmers’ self-evaluations to assess resilience</w:t>
            </w:r>
          </w:p>
        </w:tc>
        <w:tc>
          <w:tcPr>
            <w:tcW w:w="1428" w:type="dxa"/>
          </w:tcPr>
          <w:p w14:paraId="07082BD7" w14:textId="77777777" w:rsidR="00E964B6" w:rsidRPr="00AA2617" w:rsidRDefault="00E964B6" w:rsidP="00AA2617">
            <w:pPr>
              <w:spacing w:beforeLines="40" w:before="96" w:afterLines="40" w:after="96"/>
              <w:jc w:val="left"/>
              <w:rPr>
                <w:lang w:val="en-GB"/>
              </w:rPr>
            </w:pPr>
            <w:r w:rsidRPr="00AA2617">
              <w:rPr>
                <w:lang w:val="en-GB"/>
              </w:rPr>
              <w:t>Program/ project (household/ community)</w:t>
            </w:r>
          </w:p>
        </w:tc>
        <w:tc>
          <w:tcPr>
            <w:tcW w:w="1904" w:type="dxa"/>
          </w:tcPr>
          <w:p w14:paraId="5F868137" w14:textId="77777777" w:rsidR="00E964B6" w:rsidRPr="00AA2617" w:rsidRDefault="00E964B6" w:rsidP="00AA2617">
            <w:pPr>
              <w:spacing w:beforeLines="40" w:before="96" w:afterLines="40" w:after="96"/>
              <w:jc w:val="left"/>
              <w:rPr>
                <w:lang w:val="en-GB"/>
              </w:rPr>
            </w:pPr>
            <w:r w:rsidRPr="00AA2617">
              <w:rPr>
                <w:lang w:val="en-GB"/>
              </w:rPr>
              <w:t>Agriculture</w:t>
            </w:r>
          </w:p>
          <w:p w14:paraId="4617F7F7" w14:textId="77777777" w:rsidR="00E964B6" w:rsidRPr="00AA2617" w:rsidRDefault="00E964B6" w:rsidP="00AA2617">
            <w:pPr>
              <w:spacing w:beforeLines="40" w:before="96" w:afterLines="40" w:after="96"/>
              <w:jc w:val="left"/>
              <w:rPr>
                <w:lang w:val="en-GB"/>
              </w:rPr>
            </w:pPr>
            <w:r w:rsidRPr="00AA2617">
              <w:rPr>
                <w:lang w:val="en-GB"/>
              </w:rPr>
              <w:t>(farmers and pastoralists)</w:t>
            </w:r>
          </w:p>
        </w:tc>
      </w:tr>
      <w:tr w:rsidR="00E964B6" w:rsidRPr="00AA2617" w14:paraId="43EF7FE0" w14:textId="77777777" w:rsidTr="00DA0F69">
        <w:trPr>
          <w:cantSplit/>
        </w:trPr>
        <w:tc>
          <w:tcPr>
            <w:tcW w:w="2975" w:type="dxa"/>
          </w:tcPr>
          <w:p w14:paraId="689E2F2A" w14:textId="77777777" w:rsidR="00E964B6" w:rsidRPr="00AA2617" w:rsidRDefault="00E964B6" w:rsidP="00AA2617">
            <w:pPr>
              <w:spacing w:beforeLines="40" w:before="96" w:afterLines="40" w:after="96"/>
              <w:jc w:val="left"/>
              <w:rPr>
                <w:lang w:val="en-GB"/>
              </w:rPr>
            </w:pPr>
            <w:r w:rsidRPr="00AA2617">
              <w:rPr>
                <w:lang w:val="en-GB"/>
              </w:rPr>
              <w:t>Adaptation monitoring and assessment tool (AMAT)</w:t>
            </w:r>
          </w:p>
          <w:p w14:paraId="17843C38" w14:textId="77777777" w:rsidR="00E964B6" w:rsidRPr="00AA2617" w:rsidRDefault="00E964B6" w:rsidP="00AA2617">
            <w:pPr>
              <w:spacing w:beforeLines="40" w:before="96" w:afterLines="40" w:after="96"/>
              <w:jc w:val="left"/>
              <w:rPr>
                <w:lang w:val="en-GB"/>
              </w:rPr>
            </w:pPr>
            <w:r w:rsidRPr="00AA2617">
              <w:rPr>
                <w:lang w:val="en-GB"/>
              </w:rPr>
              <w:t>(GEF, 2012)</w:t>
            </w:r>
          </w:p>
        </w:tc>
        <w:tc>
          <w:tcPr>
            <w:tcW w:w="2709" w:type="dxa"/>
          </w:tcPr>
          <w:p w14:paraId="470701A4" w14:textId="77777777" w:rsidR="00E964B6" w:rsidRPr="00AA2617" w:rsidRDefault="00E964B6" w:rsidP="00AA2617">
            <w:pPr>
              <w:spacing w:beforeLines="40" w:before="96" w:afterLines="40" w:after="96"/>
              <w:jc w:val="left"/>
              <w:rPr>
                <w:lang w:val="en-GB"/>
              </w:rPr>
            </w:pPr>
            <w:r w:rsidRPr="00AA2617">
              <w:rPr>
                <w:lang w:val="en-GB"/>
              </w:rPr>
              <w:t>Assessment of project-specific processes, outputs, and outcomes</w:t>
            </w:r>
          </w:p>
        </w:tc>
        <w:tc>
          <w:tcPr>
            <w:tcW w:w="1428" w:type="dxa"/>
          </w:tcPr>
          <w:p w14:paraId="72D6CD7D" w14:textId="77777777" w:rsidR="00E964B6" w:rsidRPr="00AA2617" w:rsidRDefault="00E964B6" w:rsidP="00AA2617">
            <w:pPr>
              <w:spacing w:beforeLines="40" w:before="96" w:afterLines="40" w:after="96"/>
              <w:jc w:val="left"/>
              <w:rPr>
                <w:lang w:val="en-GB"/>
              </w:rPr>
            </w:pPr>
            <w:r w:rsidRPr="00AA2617">
              <w:rPr>
                <w:lang w:val="en-GB"/>
              </w:rPr>
              <w:t>Program/ project</w:t>
            </w:r>
          </w:p>
        </w:tc>
        <w:tc>
          <w:tcPr>
            <w:tcW w:w="1904" w:type="dxa"/>
          </w:tcPr>
          <w:p w14:paraId="3596173E" w14:textId="77777777" w:rsidR="00E964B6" w:rsidRPr="00AA2617" w:rsidRDefault="00E964B6" w:rsidP="00AA2617">
            <w:pPr>
              <w:spacing w:beforeLines="40" w:before="96" w:afterLines="40" w:after="96"/>
              <w:jc w:val="left"/>
              <w:rPr>
                <w:lang w:val="en-GB"/>
              </w:rPr>
            </w:pPr>
            <w:r w:rsidRPr="00AA2617">
              <w:rPr>
                <w:lang w:val="en-GB"/>
              </w:rPr>
              <w:t>Multi-sectoral</w:t>
            </w:r>
          </w:p>
          <w:p w14:paraId="5A066F7A" w14:textId="77777777" w:rsidR="00E964B6" w:rsidRPr="00AA2617" w:rsidRDefault="00E964B6" w:rsidP="00AA2617">
            <w:pPr>
              <w:spacing w:beforeLines="40" w:before="96" w:afterLines="40" w:after="96"/>
              <w:jc w:val="left"/>
              <w:rPr>
                <w:lang w:val="en-GB"/>
              </w:rPr>
            </w:pPr>
            <w:r w:rsidRPr="00AA2617">
              <w:rPr>
                <w:lang w:val="en-GB"/>
              </w:rPr>
              <w:t>(GEF projects’ executing partners)</w:t>
            </w:r>
          </w:p>
        </w:tc>
      </w:tr>
      <w:tr w:rsidR="00E964B6" w:rsidRPr="00AA2617" w14:paraId="64FE08C5" w14:textId="77777777" w:rsidTr="00DA0F69">
        <w:trPr>
          <w:cantSplit/>
        </w:trPr>
        <w:tc>
          <w:tcPr>
            <w:tcW w:w="2975" w:type="dxa"/>
          </w:tcPr>
          <w:p w14:paraId="56098512" w14:textId="77777777" w:rsidR="00E964B6" w:rsidRPr="00AA2617" w:rsidRDefault="00E964B6" w:rsidP="00AA2617">
            <w:pPr>
              <w:spacing w:beforeLines="40" w:before="96" w:afterLines="40" w:after="96"/>
              <w:jc w:val="left"/>
              <w:rPr>
                <w:lang w:val="en-GB"/>
              </w:rPr>
            </w:pPr>
            <w:r w:rsidRPr="00AA2617">
              <w:rPr>
                <w:lang w:val="en-GB"/>
              </w:rPr>
              <w:t>Strengthening Monitoring and Evaluation of Climate Change Adaptation</w:t>
            </w:r>
          </w:p>
          <w:p w14:paraId="4642F56E" w14:textId="77777777" w:rsidR="00E964B6" w:rsidRPr="00AA2617" w:rsidRDefault="00E964B6" w:rsidP="00AA2617">
            <w:pPr>
              <w:spacing w:beforeLines="40" w:before="96" w:afterLines="40" w:after="96"/>
              <w:jc w:val="left"/>
              <w:rPr>
                <w:lang w:val="en-GB"/>
              </w:rPr>
            </w:pPr>
            <w:r w:rsidRPr="00AA2617">
              <w:rPr>
                <w:lang w:val="en-GB"/>
              </w:rPr>
              <w:t>(GEF STAP, 2017)</w:t>
            </w:r>
          </w:p>
        </w:tc>
        <w:tc>
          <w:tcPr>
            <w:tcW w:w="2709" w:type="dxa"/>
          </w:tcPr>
          <w:p w14:paraId="11CE5A66" w14:textId="77777777" w:rsidR="00E964B6" w:rsidRPr="00AA2617" w:rsidRDefault="00E964B6" w:rsidP="00AA2617">
            <w:pPr>
              <w:spacing w:beforeLines="40" w:before="96" w:afterLines="40" w:after="96"/>
              <w:jc w:val="left"/>
              <w:rPr>
                <w:lang w:val="en-GB"/>
              </w:rPr>
            </w:pPr>
            <w:r w:rsidRPr="00AA2617">
              <w:rPr>
                <w:lang w:val="en-GB"/>
              </w:rPr>
              <w:t>M&amp;E challenges and frameworks</w:t>
            </w:r>
          </w:p>
        </w:tc>
        <w:tc>
          <w:tcPr>
            <w:tcW w:w="1428" w:type="dxa"/>
          </w:tcPr>
          <w:p w14:paraId="346EC1F0" w14:textId="77777777" w:rsidR="00E964B6" w:rsidRPr="00AA2617" w:rsidRDefault="00E964B6" w:rsidP="00AA2617">
            <w:pPr>
              <w:spacing w:beforeLines="40" w:before="96" w:afterLines="40" w:after="96"/>
              <w:jc w:val="left"/>
              <w:rPr>
                <w:lang w:val="en-GB"/>
              </w:rPr>
            </w:pPr>
            <w:r w:rsidRPr="00AA2617">
              <w:rPr>
                <w:lang w:val="en-GB"/>
              </w:rPr>
              <w:t>Program/ project</w:t>
            </w:r>
          </w:p>
        </w:tc>
        <w:tc>
          <w:tcPr>
            <w:tcW w:w="1904" w:type="dxa"/>
          </w:tcPr>
          <w:p w14:paraId="1812E796" w14:textId="77777777" w:rsidR="00E964B6" w:rsidRPr="00AA2617" w:rsidRDefault="00E964B6" w:rsidP="00AA2617">
            <w:pPr>
              <w:spacing w:beforeLines="40" w:before="96" w:afterLines="40" w:after="96"/>
              <w:jc w:val="left"/>
              <w:rPr>
                <w:lang w:val="en-GB"/>
              </w:rPr>
            </w:pPr>
            <w:r w:rsidRPr="00AA2617">
              <w:rPr>
                <w:lang w:val="en-GB"/>
              </w:rPr>
              <w:t>Multi-sectoral</w:t>
            </w:r>
          </w:p>
          <w:p w14:paraId="284B1F57" w14:textId="77777777" w:rsidR="00E964B6" w:rsidRPr="00AA2617" w:rsidRDefault="00E964B6" w:rsidP="00AA2617">
            <w:pPr>
              <w:spacing w:beforeLines="40" w:before="96" w:afterLines="40" w:after="96"/>
              <w:jc w:val="left"/>
              <w:rPr>
                <w:lang w:val="en-GB"/>
              </w:rPr>
            </w:pPr>
            <w:r w:rsidRPr="00AA2617">
              <w:rPr>
                <w:lang w:val="en-GB"/>
              </w:rPr>
              <w:t>(development agencies and financial institutions)</w:t>
            </w:r>
          </w:p>
        </w:tc>
      </w:tr>
      <w:tr w:rsidR="00E964B6" w:rsidRPr="00AA2617" w14:paraId="60CC5147" w14:textId="77777777" w:rsidTr="00DA0F69">
        <w:trPr>
          <w:cantSplit/>
        </w:trPr>
        <w:tc>
          <w:tcPr>
            <w:tcW w:w="2975" w:type="dxa"/>
          </w:tcPr>
          <w:p w14:paraId="00A3684E" w14:textId="77777777" w:rsidR="00E964B6" w:rsidRPr="00AA2617" w:rsidRDefault="00E964B6" w:rsidP="00AA2617">
            <w:pPr>
              <w:spacing w:beforeLines="40" w:before="96" w:afterLines="40" w:after="96"/>
              <w:jc w:val="left"/>
              <w:rPr>
                <w:lang w:val="en-GB"/>
              </w:rPr>
            </w:pPr>
            <w:r w:rsidRPr="00AA2617">
              <w:rPr>
                <w:lang w:val="en-GB"/>
              </w:rPr>
              <w:t>International and Donor Agency Portfolio Evaluations:  Trends in Monitoring and Evaluation of Climate Change Adaptation Programmes</w:t>
            </w:r>
          </w:p>
          <w:p w14:paraId="17E519AF" w14:textId="77777777" w:rsidR="00E964B6" w:rsidRPr="00AA2617" w:rsidRDefault="00E964B6" w:rsidP="00AA2617">
            <w:pPr>
              <w:spacing w:beforeLines="40" w:before="96" w:afterLines="40" w:after="96"/>
              <w:jc w:val="left"/>
              <w:rPr>
                <w:lang w:val="en-GB"/>
              </w:rPr>
            </w:pPr>
            <w:r w:rsidRPr="00AA2617">
              <w:rPr>
                <w:lang w:val="en-GB"/>
              </w:rPr>
              <w:t>(Sea Change &amp; UKCIP, 2017)</w:t>
            </w:r>
          </w:p>
        </w:tc>
        <w:tc>
          <w:tcPr>
            <w:tcW w:w="2709" w:type="dxa"/>
          </w:tcPr>
          <w:p w14:paraId="4B16FB88" w14:textId="77777777" w:rsidR="00E964B6" w:rsidRPr="00AA2617" w:rsidRDefault="00E964B6" w:rsidP="00AA2617">
            <w:pPr>
              <w:spacing w:beforeLines="40" w:before="96" w:afterLines="40" w:after="96"/>
              <w:jc w:val="left"/>
              <w:rPr>
                <w:lang w:val="en-GB"/>
              </w:rPr>
            </w:pPr>
            <w:r w:rsidRPr="00AA2617">
              <w:rPr>
                <w:lang w:val="en-GB"/>
              </w:rPr>
              <w:t>Trends in M&amp;E approaches from donor and development agencies</w:t>
            </w:r>
          </w:p>
        </w:tc>
        <w:tc>
          <w:tcPr>
            <w:tcW w:w="1428" w:type="dxa"/>
          </w:tcPr>
          <w:p w14:paraId="4BBC7526" w14:textId="77777777" w:rsidR="00E964B6" w:rsidRPr="00AA2617" w:rsidRDefault="00E964B6" w:rsidP="00AA2617">
            <w:pPr>
              <w:spacing w:beforeLines="40" w:before="96" w:afterLines="40" w:after="96"/>
              <w:jc w:val="left"/>
              <w:rPr>
                <w:lang w:val="en-GB"/>
              </w:rPr>
            </w:pPr>
            <w:r w:rsidRPr="00AA2617">
              <w:rPr>
                <w:lang w:val="en-GB"/>
              </w:rPr>
              <w:t>Program/ project</w:t>
            </w:r>
          </w:p>
        </w:tc>
        <w:tc>
          <w:tcPr>
            <w:tcW w:w="1904" w:type="dxa"/>
          </w:tcPr>
          <w:p w14:paraId="17E701C8" w14:textId="77777777" w:rsidR="00E964B6" w:rsidRPr="00AA2617" w:rsidRDefault="00E964B6" w:rsidP="00AA2617">
            <w:pPr>
              <w:spacing w:beforeLines="40" w:before="96" w:afterLines="40" w:after="96"/>
              <w:jc w:val="left"/>
              <w:rPr>
                <w:lang w:val="en-GB"/>
              </w:rPr>
            </w:pPr>
            <w:r w:rsidRPr="00AA2617">
              <w:rPr>
                <w:lang w:val="en-GB"/>
              </w:rPr>
              <w:t>Multi-sectoral</w:t>
            </w:r>
          </w:p>
          <w:p w14:paraId="143C1A5E" w14:textId="77777777" w:rsidR="00E964B6" w:rsidRPr="00AA2617" w:rsidRDefault="00E964B6" w:rsidP="00AA2617">
            <w:pPr>
              <w:spacing w:beforeLines="40" w:before="96" w:afterLines="40" w:after="96"/>
              <w:jc w:val="left"/>
              <w:rPr>
                <w:lang w:val="en-GB"/>
              </w:rPr>
            </w:pPr>
            <w:r w:rsidRPr="00AA2617">
              <w:rPr>
                <w:lang w:val="en-GB"/>
              </w:rPr>
              <w:t>(donor agencies and development agencies)</w:t>
            </w:r>
          </w:p>
        </w:tc>
      </w:tr>
      <w:tr w:rsidR="00E964B6" w:rsidRPr="00AA2617" w14:paraId="7DC9A84E" w14:textId="77777777" w:rsidTr="00DA0F69">
        <w:trPr>
          <w:cantSplit/>
        </w:trPr>
        <w:tc>
          <w:tcPr>
            <w:tcW w:w="2975" w:type="dxa"/>
          </w:tcPr>
          <w:p w14:paraId="1956F56D" w14:textId="77777777" w:rsidR="00E964B6" w:rsidRPr="00AA2617" w:rsidRDefault="00E964B6" w:rsidP="00AA2617">
            <w:pPr>
              <w:spacing w:beforeLines="40" w:before="96" w:afterLines="40" w:after="96"/>
              <w:jc w:val="left"/>
              <w:rPr>
                <w:lang w:val="en-GB"/>
              </w:rPr>
            </w:pPr>
            <w:r w:rsidRPr="00AA2617">
              <w:rPr>
                <w:lang w:val="en-GB"/>
              </w:rPr>
              <w:t>Guidance Note 1:  Twelve Reasons Why Climate Change Adaptation M&amp;E is Challenging</w:t>
            </w:r>
          </w:p>
          <w:p w14:paraId="381207E7" w14:textId="77777777" w:rsidR="00E964B6" w:rsidRPr="00AA2617" w:rsidRDefault="00E964B6" w:rsidP="00AA2617">
            <w:pPr>
              <w:spacing w:beforeLines="40" w:before="96" w:afterLines="40" w:after="96"/>
              <w:jc w:val="left"/>
              <w:rPr>
                <w:lang w:val="en-GB"/>
              </w:rPr>
            </w:pPr>
            <w:r w:rsidRPr="00AA2617">
              <w:rPr>
                <w:lang w:val="en-GB"/>
              </w:rPr>
              <w:t>(Sea Change &amp; UKCIP, 2014)</w:t>
            </w:r>
          </w:p>
        </w:tc>
        <w:tc>
          <w:tcPr>
            <w:tcW w:w="2709" w:type="dxa"/>
          </w:tcPr>
          <w:p w14:paraId="26C5F054" w14:textId="77777777" w:rsidR="00E964B6" w:rsidRPr="00AA2617" w:rsidRDefault="00E964B6" w:rsidP="00AA2617">
            <w:pPr>
              <w:spacing w:beforeLines="40" w:before="96" w:afterLines="40" w:after="96"/>
              <w:jc w:val="left"/>
              <w:rPr>
                <w:lang w:val="en-GB"/>
              </w:rPr>
            </w:pPr>
            <w:r w:rsidRPr="00AA2617">
              <w:rPr>
                <w:lang w:val="en-GB"/>
              </w:rPr>
              <w:t>Strategies for addressing common challenges for CCA M&amp;E</w:t>
            </w:r>
          </w:p>
        </w:tc>
        <w:tc>
          <w:tcPr>
            <w:tcW w:w="1428" w:type="dxa"/>
          </w:tcPr>
          <w:p w14:paraId="12A17DF7" w14:textId="77777777" w:rsidR="00E964B6" w:rsidRPr="00AA2617" w:rsidRDefault="00E964B6" w:rsidP="00AA2617">
            <w:pPr>
              <w:spacing w:beforeLines="40" w:before="96" w:afterLines="40" w:after="96"/>
              <w:jc w:val="left"/>
              <w:rPr>
                <w:lang w:val="en-GB"/>
              </w:rPr>
            </w:pPr>
            <w:r w:rsidRPr="00AA2617">
              <w:rPr>
                <w:lang w:val="en-GB"/>
              </w:rPr>
              <w:t>Program/ project</w:t>
            </w:r>
          </w:p>
        </w:tc>
        <w:tc>
          <w:tcPr>
            <w:tcW w:w="1904" w:type="dxa"/>
          </w:tcPr>
          <w:p w14:paraId="586A3017" w14:textId="77777777" w:rsidR="00E964B6" w:rsidRPr="00AA2617" w:rsidRDefault="00E964B6" w:rsidP="00AA2617">
            <w:pPr>
              <w:spacing w:beforeLines="40" w:before="96" w:afterLines="40" w:after="96"/>
              <w:jc w:val="left"/>
              <w:rPr>
                <w:lang w:val="en-GB"/>
              </w:rPr>
            </w:pPr>
            <w:r w:rsidRPr="00AA2617">
              <w:rPr>
                <w:lang w:val="en-GB"/>
              </w:rPr>
              <w:t>Multi-sectoral</w:t>
            </w:r>
          </w:p>
          <w:p w14:paraId="7CC3C781" w14:textId="77777777" w:rsidR="00E964B6" w:rsidRPr="00AA2617" w:rsidRDefault="00E964B6" w:rsidP="00AA2617">
            <w:pPr>
              <w:spacing w:beforeLines="40" w:before="96" w:afterLines="40" w:after="96"/>
              <w:jc w:val="left"/>
              <w:rPr>
                <w:lang w:val="en-GB"/>
              </w:rPr>
            </w:pPr>
            <w:r w:rsidRPr="00AA2617">
              <w:rPr>
                <w:lang w:val="en-GB"/>
              </w:rPr>
              <w:t>(donor agencies and development agencies)</w:t>
            </w:r>
          </w:p>
        </w:tc>
      </w:tr>
      <w:tr w:rsidR="00E964B6" w:rsidRPr="00AA2617" w14:paraId="2996DE68" w14:textId="77777777" w:rsidTr="00DA0F69">
        <w:trPr>
          <w:cantSplit/>
        </w:trPr>
        <w:tc>
          <w:tcPr>
            <w:tcW w:w="2975" w:type="dxa"/>
          </w:tcPr>
          <w:p w14:paraId="3C4AAFB2" w14:textId="77777777" w:rsidR="00E964B6" w:rsidRPr="00AA2617" w:rsidRDefault="00E964B6" w:rsidP="00AA2617">
            <w:pPr>
              <w:spacing w:beforeLines="40" w:before="96" w:afterLines="40" w:after="96"/>
              <w:jc w:val="left"/>
              <w:rPr>
                <w:lang w:val="en-GB"/>
              </w:rPr>
            </w:pPr>
            <w:r w:rsidRPr="00AA2617">
              <w:rPr>
                <w:lang w:val="en-GB"/>
              </w:rPr>
              <w:t>Guidance Note 2:  Selecting Indicators for Climate Change Adaptation Programming</w:t>
            </w:r>
          </w:p>
          <w:p w14:paraId="18432725" w14:textId="77777777" w:rsidR="00E964B6" w:rsidRPr="00AA2617" w:rsidRDefault="00E964B6" w:rsidP="00AA2617">
            <w:pPr>
              <w:spacing w:beforeLines="40" w:before="96" w:afterLines="40" w:after="96"/>
              <w:jc w:val="left"/>
              <w:rPr>
                <w:lang w:val="en-GB"/>
              </w:rPr>
            </w:pPr>
            <w:r w:rsidRPr="00AA2617">
              <w:rPr>
                <w:lang w:val="en-GB"/>
              </w:rPr>
              <w:t>(Sea Change &amp; UKCIP, 2014)</w:t>
            </w:r>
          </w:p>
        </w:tc>
        <w:tc>
          <w:tcPr>
            <w:tcW w:w="2709" w:type="dxa"/>
          </w:tcPr>
          <w:p w14:paraId="634163FF" w14:textId="77777777" w:rsidR="00E964B6" w:rsidRPr="00AA2617" w:rsidRDefault="00E964B6" w:rsidP="00AA2617">
            <w:pPr>
              <w:spacing w:beforeLines="40" w:before="96" w:afterLines="40" w:after="96"/>
              <w:jc w:val="left"/>
              <w:rPr>
                <w:lang w:val="en-GB"/>
              </w:rPr>
            </w:pPr>
            <w:r w:rsidRPr="00AA2617">
              <w:rPr>
                <w:lang w:val="en-GB"/>
              </w:rPr>
              <w:t>Considerations and frameworks for CCA indicators</w:t>
            </w:r>
          </w:p>
        </w:tc>
        <w:tc>
          <w:tcPr>
            <w:tcW w:w="1428" w:type="dxa"/>
          </w:tcPr>
          <w:p w14:paraId="5EA61842" w14:textId="77777777" w:rsidR="00E964B6" w:rsidRPr="00AA2617" w:rsidRDefault="00E964B6" w:rsidP="00AA2617">
            <w:pPr>
              <w:spacing w:beforeLines="40" w:before="96" w:afterLines="40" w:after="96"/>
              <w:jc w:val="left"/>
              <w:rPr>
                <w:lang w:val="en-GB"/>
              </w:rPr>
            </w:pPr>
            <w:r w:rsidRPr="00AA2617">
              <w:rPr>
                <w:lang w:val="en-GB"/>
              </w:rPr>
              <w:t>Program/ project</w:t>
            </w:r>
          </w:p>
        </w:tc>
        <w:tc>
          <w:tcPr>
            <w:tcW w:w="1904" w:type="dxa"/>
          </w:tcPr>
          <w:p w14:paraId="24FD8806" w14:textId="77777777" w:rsidR="00E964B6" w:rsidRPr="00AA2617" w:rsidRDefault="00E964B6" w:rsidP="00AA2617">
            <w:pPr>
              <w:spacing w:beforeLines="40" w:before="96" w:afterLines="40" w:after="96"/>
              <w:jc w:val="left"/>
              <w:rPr>
                <w:lang w:val="en-GB"/>
              </w:rPr>
            </w:pPr>
            <w:r w:rsidRPr="00AA2617">
              <w:rPr>
                <w:lang w:val="en-GB"/>
              </w:rPr>
              <w:t>Multi-sectoral</w:t>
            </w:r>
          </w:p>
          <w:p w14:paraId="2D58252C" w14:textId="77777777" w:rsidR="00E964B6" w:rsidRPr="00AA2617" w:rsidRDefault="00E964B6" w:rsidP="00AA2617">
            <w:pPr>
              <w:spacing w:beforeLines="40" w:before="96" w:afterLines="40" w:after="96"/>
              <w:jc w:val="left"/>
              <w:rPr>
                <w:lang w:val="en-GB"/>
              </w:rPr>
            </w:pPr>
            <w:r w:rsidRPr="00AA2617">
              <w:rPr>
                <w:lang w:val="en-GB"/>
              </w:rPr>
              <w:t>(donor agencies and development agencies)</w:t>
            </w:r>
          </w:p>
        </w:tc>
      </w:tr>
      <w:tr w:rsidR="00E964B6" w:rsidRPr="00AA2617" w14:paraId="3B330B41" w14:textId="77777777" w:rsidTr="00DA0F69">
        <w:trPr>
          <w:cantSplit/>
        </w:trPr>
        <w:tc>
          <w:tcPr>
            <w:tcW w:w="2975" w:type="dxa"/>
          </w:tcPr>
          <w:p w14:paraId="1BDEF1F5" w14:textId="77777777" w:rsidR="00E964B6" w:rsidRPr="00AA2617" w:rsidRDefault="00E964B6" w:rsidP="00AA2617">
            <w:pPr>
              <w:spacing w:beforeLines="40" w:before="96" w:afterLines="40" w:after="96"/>
              <w:jc w:val="left"/>
              <w:rPr>
                <w:lang w:val="en-GB"/>
              </w:rPr>
            </w:pPr>
            <w:r w:rsidRPr="00AA2617">
              <w:rPr>
                <w:lang w:val="en-GB"/>
              </w:rPr>
              <w:lastRenderedPageBreak/>
              <w:t>Guidance Note 3:  Theory of Change Approach to Climate Change Adaptation Programming</w:t>
            </w:r>
          </w:p>
          <w:p w14:paraId="52F503FE" w14:textId="77777777" w:rsidR="00E964B6" w:rsidRPr="00AA2617" w:rsidRDefault="00E964B6" w:rsidP="00AA2617">
            <w:pPr>
              <w:spacing w:beforeLines="40" w:before="96" w:afterLines="40" w:after="96"/>
              <w:jc w:val="left"/>
              <w:rPr>
                <w:lang w:val="en-GB"/>
              </w:rPr>
            </w:pPr>
            <w:r w:rsidRPr="00AA2617">
              <w:rPr>
                <w:lang w:val="en-GB"/>
              </w:rPr>
              <w:t>(Sea Change &amp; UKCIP, 2014)</w:t>
            </w:r>
          </w:p>
        </w:tc>
        <w:tc>
          <w:tcPr>
            <w:tcW w:w="2709" w:type="dxa"/>
          </w:tcPr>
          <w:p w14:paraId="1CA705C3" w14:textId="77777777" w:rsidR="00E964B6" w:rsidRPr="00AA2617" w:rsidRDefault="00E964B6" w:rsidP="00AA2617">
            <w:pPr>
              <w:spacing w:beforeLines="40" w:before="96" w:afterLines="40" w:after="96"/>
              <w:jc w:val="left"/>
              <w:rPr>
                <w:lang w:val="en-GB"/>
              </w:rPr>
            </w:pPr>
            <w:r w:rsidRPr="00AA2617">
              <w:rPr>
                <w:lang w:val="en-GB"/>
              </w:rPr>
              <w:t>How to apply a “Theory of Change” approach to designing CCA projects and programs</w:t>
            </w:r>
          </w:p>
        </w:tc>
        <w:tc>
          <w:tcPr>
            <w:tcW w:w="1428" w:type="dxa"/>
          </w:tcPr>
          <w:p w14:paraId="4E94BF30" w14:textId="77777777" w:rsidR="00E964B6" w:rsidRPr="00AA2617" w:rsidRDefault="00E964B6" w:rsidP="00AA2617">
            <w:pPr>
              <w:spacing w:beforeLines="40" w:before="96" w:afterLines="40" w:after="96"/>
              <w:jc w:val="left"/>
              <w:rPr>
                <w:lang w:val="en-GB"/>
              </w:rPr>
            </w:pPr>
            <w:r w:rsidRPr="00AA2617">
              <w:rPr>
                <w:lang w:val="en-GB"/>
              </w:rPr>
              <w:t>Program/ project</w:t>
            </w:r>
          </w:p>
        </w:tc>
        <w:tc>
          <w:tcPr>
            <w:tcW w:w="1904" w:type="dxa"/>
          </w:tcPr>
          <w:p w14:paraId="3B777ADD" w14:textId="77777777" w:rsidR="00E964B6" w:rsidRPr="00AA2617" w:rsidRDefault="00E964B6" w:rsidP="00AA2617">
            <w:pPr>
              <w:spacing w:beforeLines="40" w:before="96" w:afterLines="40" w:after="96"/>
              <w:jc w:val="left"/>
              <w:rPr>
                <w:lang w:val="en-GB"/>
              </w:rPr>
            </w:pPr>
            <w:r w:rsidRPr="00AA2617">
              <w:rPr>
                <w:lang w:val="en-GB"/>
              </w:rPr>
              <w:t>Multi-sectoral</w:t>
            </w:r>
          </w:p>
          <w:p w14:paraId="71B155BC" w14:textId="77777777" w:rsidR="00E964B6" w:rsidRPr="00AA2617" w:rsidRDefault="00E964B6" w:rsidP="00AA2617">
            <w:pPr>
              <w:spacing w:beforeLines="40" w:before="96" w:afterLines="40" w:after="96"/>
              <w:jc w:val="left"/>
              <w:rPr>
                <w:lang w:val="en-GB"/>
              </w:rPr>
            </w:pPr>
            <w:r w:rsidRPr="00AA2617">
              <w:rPr>
                <w:lang w:val="en-GB"/>
              </w:rPr>
              <w:t>(donor agencies and development agencies)</w:t>
            </w:r>
          </w:p>
        </w:tc>
      </w:tr>
    </w:tbl>
    <w:p w14:paraId="5840F318" w14:textId="77777777" w:rsidR="00DA0F69" w:rsidRPr="00AA2617" w:rsidRDefault="00DA0F69" w:rsidP="00AA2617">
      <w:pPr>
        <w:spacing w:before="240" w:after="240"/>
        <w:ind w:left="567"/>
        <w:jc w:val="left"/>
        <w:rPr>
          <w:rFonts w:cs="Times New Roman"/>
          <w:i/>
          <w:sz w:val="22"/>
          <w:lang w:val="en-GB"/>
        </w:rPr>
      </w:pPr>
      <w:r w:rsidRPr="00AA2617">
        <w:rPr>
          <w:rFonts w:cs="Times New Roman"/>
          <w:i/>
          <w:sz w:val="22"/>
          <w:lang w:val="en-GB"/>
        </w:rPr>
        <w:t xml:space="preserve">Activity 3.1.1.2.  Develop an analytical framework to assess adaptation challenges and opportunities in AFOLU sector through a stakeholder consultation.    </w:t>
      </w:r>
    </w:p>
    <w:p w14:paraId="4EBACB8A" w14:textId="77777777" w:rsidR="00DA0F69" w:rsidRPr="00AA2617" w:rsidRDefault="00DA0F69" w:rsidP="00AA2617">
      <w:pPr>
        <w:pStyle w:val="NumberedParagraph"/>
        <w:ind w:left="360"/>
        <w:rPr>
          <w:i/>
          <w:sz w:val="22"/>
          <w:lang w:val="en-GB"/>
        </w:rPr>
      </w:pPr>
      <w:r w:rsidRPr="00AA2617">
        <w:rPr>
          <w:sz w:val="22"/>
          <w:lang w:val="en-GB"/>
        </w:rPr>
        <w:t xml:space="preserve"> Sri Lanka stands at fourth position in the Global Climate Risk Index in 2018 for vulnerability to climate change and natural disasters. The vulnerabilities are multifaceted and overlapping. Separating those relevant to AFOLU sectors and identifying as challenges and opportunities could be challenging depending on data availability on adaptation. The activity is aimed at specifically defining the data requirements for the CCA measurement framework.  The upstream and downstream adaptation opportunities will be listed clearly with respect to climate change scenarios in AFOLU sectors. This activity should be performed at a sufficient level of disaggregation and detail focusing on priority settings in order to be useful for implementation. The process of MRV development for adaptation is inherently complicated compared to the same for mitigation since the freedom to use proxies is not necessarily helpful in the adaptation settings.</w:t>
      </w:r>
    </w:p>
    <w:p w14:paraId="77AC2B84" w14:textId="3D5E1B89" w:rsidR="00036853" w:rsidRPr="00AA2617" w:rsidRDefault="00036853" w:rsidP="00AA2617">
      <w:pPr>
        <w:pStyle w:val="NumberedParagraph"/>
        <w:numPr>
          <w:ilvl w:val="0"/>
          <w:numId w:val="0"/>
        </w:numPr>
        <w:ind w:left="360"/>
        <w:rPr>
          <w:i/>
          <w:sz w:val="22"/>
          <w:lang w:val="en-GB"/>
        </w:rPr>
      </w:pPr>
      <w:bookmarkStart w:id="33" w:name="_Hlk8736088"/>
      <w:r w:rsidRPr="00AA2617">
        <w:rPr>
          <w:i/>
          <w:sz w:val="22"/>
          <w:lang w:val="en-GB"/>
        </w:rPr>
        <w:t>Activity  3.1.1.3. Capacity building for development of land use policy and regulations to reduce land and environmental degradation</w:t>
      </w:r>
    </w:p>
    <w:p w14:paraId="4E9983DE" w14:textId="7A187E01" w:rsidR="00036853" w:rsidRPr="00AA2617" w:rsidRDefault="00CE007B" w:rsidP="00AA2617">
      <w:pPr>
        <w:pStyle w:val="NumberedParagraph"/>
        <w:numPr>
          <w:ilvl w:val="0"/>
          <w:numId w:val="0"/>
        </w:numPr>
        <w:ind w:left="360"/>
        <w:rPr>
          <w:i/>
          <w:sz w:val="22"/>
          <w:lang w:val="en-GB"/>
        </w:rPr>
      </w:pPr>
      <w:r w:rsidRPr="00AA2617">
        <w:rPr>
          <w:i/>
          <w:sz w:val="22"/>
          <w:lang w:val="en-GB"/>
        </w:rPr>
        <w:t xml:space="preserve">This is one of the prime important activities in Sri Lanka to </w:t>
      </w:r>
      <w:r w:rsidR="00C57074" w:rsidRPr="00AA2617">
        <w:rPr>
          <w:i/>
          <w:sz w:val="22"/>
          <w:lang w:val="en-GB"/>
        </w:rPr>
        <w:t>reduce</w:t>
      </w:r>
      <w:r w:rsidRPr="00AA2617">
        <w:rPr>
          <w:i/>
          <w:sz w:val="22"/>
          <w:lang w:val="en-GB"/>
        </w:rPr>
        <w:t xml:space="preserve"> </w:t>
      </w:r>
      <w:r w:rsidR="00C57074" w:rsidRPr="00AA2617">
        <w:rPr>
          <w:i/>
          <w:sz w:val="22"/>
          <w:lang w:val="en-GB"/>
        </w:rPr>
        <w:t xml:space="preserve">land and environmental degradation </w:t>
      </w:r>
      <w:r w:rsidRPr="00AA2617">
        <w:rPr>
          <w:i/>
          <w:sz w:val="22"/>
          <w:lang w:val="en-GB"/>
        </w:rPr>
        <w:t>and create awareness for better</w:t>
      </w:r>
      <w:r w:rsidR="00C57074" w:rsidRPr="00AA2617">
        <w:rPr>
          <w:i/>
          <w:sz w:val="22"/>
          <w:lang w:val="en-GB"/>
        </w:rPr>
        <w:t xml:space="preserve"> land use planning</w:t>
      </w:r>
      <w:r w:rsidRPr="00AA2617">
        <w:rPr>
          <w:i/>
          <w:sz w:val="22"/>
          <w:lang w:val="en-GB"/>
        </w:rPr>
        <w:t>. This activity will result in better planned policy inputs and planned development.</w:t>
      </w:r>
      <w:r w:rsidR="00634863" w:rsidRPr="00AA2617">
        <w:rPr>
          <w:i/>
          <w:sz w:val="22"/>
          <w:lang w:val="en-GB"/>
        </w:rPr>
        <w:t xml:space="preserve"> </w:t>
      </w:r>
    </w:p>
    <w:p w14:paraId="2C7705FE" w14:textId="7BECA9B7" w:rsidR="00036853" w:rsidRPr="00AA2617" w:rsidRDefault="00036853" w:rsidP="00AA2617">
      <w:pPr>
        <w:pStyle w:val="NumberedParagraph"/>
        <w:numPr>
          <w:ilvl w:val="0"/>
          <w:numId w:val="0"/>
        </w:numPr>
        <w:ind w:left="360"/>
        <w:rPr>
          <w:i/>
          <w:sz w:val="22"/>
          <w:lang w:val="en-GB"/>
        </w:rPr>
      </w:pPr>
      <w:r w:rsidRPr="00AA2617">
        <w:rPr>
          <w:i/>
          <w:sz w:val="22"/>
          <w:lang w:val="en-GB"/>
        </w:rPr>
        <w:t>Activity  3.1.1.4.  Development of Good Practice Guidelines for land use planning</w:t>
      </w:r>
    </w:p>
    <w:p w14:paraId="7B6CF1B4" w14:textId="2D7AAC9F" w:rsidR="00036853" w:rsidRPr="00AA2617" w:rsidRDefault="00CE007B" w:rsidP="00AA2617">
      <w:pPr>
        <w:pStyle w:val="NumberedParagraph"/>
        <w:numPr>
          <w:ilvl w:val="0"/>
          <w:numId w:val="0"/>
        </w:numPr>
        <w:ind w:left="360"/>
        <w:rPr>
          <w:i/>
          <w:sz w:val="22"/>
          <w:lang w:val="en-GB"/>
        </w:rPr>
      </w:pPr>
      <w:r w:rsidRPr="00AA2617">
        <w:rPr>
          <w:i/>
          <w:sz w:val="22"/>
          <w:lang w:val="en-GB"/>
        </w:rPr>
        <w:t>Good Practice Guidelines for land use planning will help in bringing more scientific and advanced environmental dimensions to protect environmental</w:t>
      </w:r>
      <w:r w:rsidR="00C57074" w:rsidRPr="00AA2617">
        <w:rPr>
          <w:i/>
          <w:sz w:val="22"/>
          <w:lang w:val="en-GB"/>
        </w:rPr>
        <w:t xml:space="preserve"> degradation. This activity will also provide better scientific inputs for reduction of consequences (environmental and soci-economical) from natural hazards, soil loss, impacts on hydrologic systems, ecological degradations etc. </w:t>
      </w:r>
    </w:p>
    <w:bookmarkEnd w:id="33"/>
    <w:p w14:paraId="6F1F5595" w14:textId="5513686D" w:rsidR="00DA0F69" w:rsidRPr="00AA2617" w:rsidRDefault="00036853" w:rsidP="00AA2617">
      <w:pPr>
        <w:pStyle w:val="NumberedParagraph"/>
        <w:numPr>
          <w:ilvl w:val="0"/>
          <w:numId w:val="0"/>
        </w:numPr>
        <w:ind w:left="360"/>
        <w:rPr>
          <w:i/>
          <w:sz w:val="22"/>
          <w:lang w:val="en-GB"/>
        </w:rPr>
      </w:pPr>
      <w:r w:rsidRPr="00AA2617">
        <w:rPr>
          <w:i/>
          <w:sz w:val="22"/>
          <w:lang w:val="en-GB"/>
        </w:rPr>
        <w:t xml:space="preserve">    </w:t>
      </w:r>
      <w:r w:rsidR="00DA0F69" w:rsidRPr="00AA2617">
        <w:rPr>
          <w:i/>
          <w:sz w:val="22"/>
          <w:lang w:val="en-GB"/>
        </w:rPr>
        <w:t xml:space="preserve">                                                                                                                                                                                                                            Activity  3.1.1.</w:t>
      </w:r>
      <w:r w:rsidRPr="00AA2617">
        <w:rPr>
          <w:i/>
          <w:sz w:val="22"/>
          <w:lang w:val="en-GB"/>
        </w:rPr>
        <w:t>5</w:t>
      </w:r>
      <w:r w:rsidR="00DA0F69" w:rsidRPr="00AA2617">
        <w:rPr>
          <w:i/>
          <w:sz w:val="22"/>
          <w:lang w:val="en-GB"/>
        </w:rPr>
        <w:t xml:space="preserve">.  Conduct an assessment of vulnerability based on a revalidation of agroecological zoning    </w:t>
      </w:r>
    </w:p>
    <w:p w14:paraId="202316EA" w14:textId="3E6A227E" w:rsidR="00DA0F69" w:rsidRPr="00AA2617" w:rsidRDefault="00DA0F69" w:rsidP="00AA2617">
      <w:pPr>
        <w:pStyle w:val="NumberedParagraph"/>
        <w:ind w:left="360"/>
        <w:rPr>
          <w:sz w:val="22"/>
          <w:lang w:val="en-GB"/>
        </w:rPr>
      </w:pPr>
      <w:r w:rsidRPr="00AA2617">
        <w:rPr>
          <w:sz w:val="22"/>
          <w:lang w:val="en-GB"/>
        </w:rPr>
        <w:t xml:space="preserve">The stakeholder workshop highlighted the need to update the agro-ecological zones, building on the same focus listed in Sri Lanka’s NDCs.  It was argued that with climate change, the conditions under which the above zoning was documented have changed and the existing parameters of determining the zones are not helpful in land use planning. The current classification of agroecological zones considers </w:t>
      </w:r>
      <w:r w:rsidR="00C57074" w:rsidRPr="00AA2617">
        <w:rPr>
          <w:sz w:val="22"/>
          <w:lang w:val="en-GB"/>
        </w:rPr>
        <w:t>three-man</w:t>
      </w:r>
      <w:r w:rsidRPr="00AA2617">
        <w:rPr>
          <w:sz w:val="22"/>
          <w:lang w:val="en-GB"/>
        </w:rPr>
        <w:t xml:space="preserve"> criteria as the basis. Of these, the precipitation </w:t>
      </w:r>
      <w:r w:rsidR="00C57074" w:rsidRPr="00AA2617">
        <w:rPr>
          <w:sz w:val="22"/>
          <w:lang w:val="en-GB"/>
        </w:rPr>
        <w:t>parameter is</w:t>
      </w:r>
      <w:r w:rsidRPr="00AA2617">
        <w:rPr>
          <w:sz w:val="22"/>
          <w:lang w:val="en-GB"/>
        </w:rPr>
        <w:t xml:space="preserve"> the one which merits a relook for classification. Especially in the agricultural sector, the type of vegetation suited for each of the 46 zonal identities is dynamically evolving as the climate conditions evolve over time. It is important that the reclassifications be considered in sufficiently long intervals to keep up with the changing conditions.</w:t>
      </w:r>
    </w:p>
    <w:p w14:paraId="7D32C421" w14:textId="0096E24C" w:rsidR="00DA0F69" w:rsidRPr="00AA2617" w:rsidRDefault="00DA0F69" w:rsidP="00AA2617">
      <w:pPr>
        <w:spacing w:before="240" w:after="240"/>
        <w:ind w:left="567"/>
        <w:jc w:val="left"/>
        <w:rPr>
          <w:rFonts w:cs="Times New Roman"/>
          <w:i/>
          <w:sz w:val="22"/>
          <w:lang w:val="en-GB"/>
        </w:rPr>
      </w:pPr>
      <w:r w:rsidRPr="00AA2617">
        <w:rPr>
          <w:rFonts w:cs="Times New Roman"/>
          <w:i/>
          <w:sz w:val="22"/>
          <w:lang w:val="en-GB"/>
        </w:rPr>
        <w:t xml:space="preserve">                                                                                                                                                                                                                                     Activity 3.1.1.</w:t>
      </w:r>
      <w:r w:rsidR="00036853" w:rsidRPr="00AA2617">
        <w:rPr>
          <w:rFonts w:cs="Times New Roman"/>
          <w:i/>
          <w:sz w:val="22"/>
          <w:lang w:val="en-GB"/>
        </w:rPr>
        <w:t>6</w:t>
      </w:r>
      <w:r w:rsidRPr="00AA2617">
        <w:rPr>
          <w:rFonts w:cs="Times New Roman"/>
          <w:i/>
          <w:sz w:val="22"/>
          <w:lang w:val="en-GB"/>
        </w:rPr>
        <w:t>.  Estimate resource requirements and sources for initial and sustained support (e.g., technology, personnel, funding, etc.) for MRV of adaptation activities in AFOLU sectors.</w:t>
      </w:r>
    </w:p>
    <w:p w14:paraId="1F9B1DE0" w14:textId="77777777" w:rsidR="00DA0F69" w:rsidRPr="00AA2617" w:rsidRDefault="00DA0F69" w:rsidP="00AA2617">
      <w:pPr>
        <w:pStyle w:val="NumberedParagraph"/>
        <w:ind w:left="360"/>
        <w:rPr>
          <w:sz w:val="22"/>
          <w:lang w:val="en-GB"/>
        </w:rPr>
      </w:pPr>
      <w:r w:rsidRPr="00AA2617">
        <w:rPr>
          <w:sz w:val="22"/>
          <w:lang w:val="en-GB"/>
        </w:rPr>
        <w:t xml:space="preserve">As Sri Lanka’s climate related risk exposure rises in comparison to other countries in the world, various estimates of adaptation costs have emerged. In the ADB funded project in formulating </w:t>
      </w:r>
      <w:r w:rsidRPr="00AA2617">
        <w:rPr>
          <w:sz w:val="22"/>
          <w:lang w:val="en-GB"/>
        </w:rPr>
        <w:lastRenderedPageBreak/>
        <w:t xml:space="preserve">National Climate Change Adaptation Strategy for Sri Lanka (2011 to 2016), a total cost was estimated to LKR 47 billion over the five years. The MRV component was not identified in isolation in the above costing. Therefore, it is important to estimate the cost of MRV process capable of streamlining adaptation activities into the CC strategy of the country. As in the case of institutional mapping, the costing of adaptation is inherently harder compared to the same valuation with respect to mitigation. The technical specificity under this output enables more precise estimates of necessary resources for near-term and longer term.  This activity should lead to prioritizing cost-efficient approaches (including proxy measures, reduced redundancy, engagement with diverse stakeholders, etc.) and reliable, adequate, and preferably diverse sources of resource support (including technology, personnel, funding, skills-upgrades, operation, maintenance etc.).  </w:t>
      </w:r>
    </w:p>
    <w:p w14:paraId="1CD5E5D5" w14:textId="77777777" w:rsidR="00DA0F69" w:rsidRPr="00AA2617" w:rsidRDefault="00DA0F69" w:rsidP="00AA2617">
      <w:pPr>
        <w:pStyle w:val="NumberedParagraph"/>
        <w:ind w:left="360"/>
        <w:rPr>
          <w:sz w:val="22"/>
          <w:lang w:val="en-GB"/>
        </w:rPr>
      </w:pPr>
      <w:r w:rsidRPr="00AA2617">
        <w:rPr>
          <w:sz w:val="22"/>
          <w:lang w:val="en-GB"/>
        </w:rPr>
        <w:t xml:space="preserve">For the already prioritised adaptation technologies, a scaling up plan should be identified for implementation based on  location specific cost-benefit analyses.  Among the 9 technologies, two technologies  in  particular are amenable for rapid implementation, namely,  Rain Water Harvesting and Solar-powered Drip Irrigation. It is important to identify the public and private investments needed in these and others as part of the scaling up exercise. With respect to MRV process, it is important to classify these and other adaptation technologies in conjunction with their potential activity data since the application of adaptation technologies are not always publicly observable, and even when observable, the incremental contribution to climate impacts  will be hard to measure. </w:t>
      </w:r>
    </w:p>
    <w:p w14:paraId="02577C0E" w14:textId="357C7D57" w:rsidR="00DA0F69" w:rsidRPr="00AA2617" w:rsidRDefault="00DA0F69" w:rsidP="00AA2617">
      <w:pPr>
        <w:spacing w:before="240" w:after="240"/>
        <w:ind w:left="567"/>
        <w:jc w:val="left"/>
        <w:rPr>
          <w:rFonts w:cs="Times New Roman"/>
          <w:i/>
          <w:sz w:val="22"/>
          <w:lang w:val="en-GB"/>
        </w:rPr>
      </w:pPr>
      <w:r w:rsidRPr="00AA2617">
        <w:rPr>
          <w:rFonts w:cs="Times New Roman"/>
          <w:i/>
          <w:sz w:val="22"/>
          <w:lang w:val="en-GB"/>
        </w:rPr>
        <w:t>Activity 3.1.1.</w:t>
      </w:r>
      <w:r w:rsidR="00036853" w:rsidRPr="00AA2617">
        <w:rPr>
          <w:rFonts w:cs="Times New Roman"/>
          <w:i/>
          <w:sz w:val="22"/>
          <w:lang w:val="en-GB"/>
        </w:rPr>
        <w:t>7</w:t>
      </w:r>
      <w:r w:rsidRPr="00AA2617">
        <w:rPr>
          <w:rFonts w:cs="Times New Roman"/>
          <w:i/>
          <w:sz w:val="22"/>
          <w:lang w:val="en-GB"/>
        </w:rPr>
        <w:t xml:space="preserve">.  </w:t>
      </w:r>
      <w:r w:rsidR="00C57074" w:rsidRPr="00AA2617">
        <w:rPr>
          <w:rFonts w:cs="Times New Roman"/>
          <w:i/>
          <w:sz w:val="22"/>
          <w:lang w:val="en-GB"/>
        </w:rPr>
        <w:t xml:space="preserve">Prepare </w:t>
      </w:r>
      <w:r w:rsidRPr="00AA2617">
        <w:rPr>
          <w:rFonts w:cs="Times New Roman"/>
          <w:i/>
          <w:sz w:val="22"/>
          <w:lang w:val="en-GB"/>
        </w:rPr>
        <w:t>knowledge-management plan</w:t>
      </w:r>
      <w:r w:rsidR="00C57074" w:rsidRPr="00AA2617">
        <w:rPr>
          <w:rFonts w:cs="Times New Roman"/>
          <w:i/>
          <w:sz w:val="22"/>
          <w:lang w:val="en-GB"/>
        </w:rPr>
        <w:t>, products and demonstrate</w:t>
      </w:r>
      <w:r w:rsidRPr="00AA2617">
        <w:rPr>
          <w:rFonts w:cs="Times New Roman"/>
          <w:i/>
          <w:sz w:val="22"/>
          <w:lang w:val="en-GB"/>
        </w:rPr>
        <w:t xml:space="preserve"> for adaptation activities.</w:t>
      </w:r>
    </w:p>
    <w:p w14:paraId="713ED1BE" w14:textId="5013A968" w:rsidR="00DA0F69" w:rsidRPr="00AA2617" w:rsidRDefault="00DA0F69" w:rsidP="00AA2617">
      <w:pPr>
        <w:pStyle w:val="NumberedParagraph"/>
        <w:ind w:left="360"/>
        <w:rPr>
          <w:sz w:val="22"/>
          <w:lang w:val="en-GB"/>
        </w:rPr>
      </w:pPr>
      <w:r w:rsidRPr="00AA2617">
        <w:rPr>
          <w:sz w:val="22"/>
          <w:lang w:val="en-GB"/>
        </w:rPr>
        <w:t>A key aspect of success in adaptation planning is building awareness and generating critical information on alternatives available to stakeholders. This is ensured through multiple strategies. From basic information dissemination to public to introduction climate information products, the scope of knowledge management can be relevant in all adaptation and mitigation work. In addition, specialised support services such as climate indexed insurance play a vital role in adapting to CC, and knowledge and information of such services should be readily available.</w:t>
      </w:r>
      <w:r w:rsidR="00C55EF3" w:rsidRPr="00AA2617">
        <w:rPr>
          <w:sz w:val="22"/>
          <w:lang w:val="en-GB"/>
        </w:rPr>
        <w:t xml:space="preserve"> Knowledge management products and its demonstration will be carried out under this activity. </w:t>
      </w:r>
    </w:p>
    <w:p w14:paraId="120149C2" w14:textId="77777777" w:rsidR="00DA0F69" w:rsidRPr="00AA2617" w:rsidRDefault="00DA0F69" w:rsidP="00AA2617">
      <w:pPr>
        <w:spacing w:before="240"/>
        <w:rPr>
          <w:rFonts w:cs="Times New Roman"/>
          <w:i/>
          <w:sz w:val="22"/>
          <w:lang w:val="en-GB"/>
        </w:rPr>
      </w:pPr>
      <w:r w:rsidRPr="00AA2617">
        <w:rPr>
          <w:rFonts w:cs="Times New Roman"/>
          <w:i/>
          <w:sz w:val="22"/>
          <w:lang w:val="en-GB"/>
        </w:rPr>
        <w:t>Output 3.1.2. Information technology systems upgraded to integrate and analyze adaptation-related data.</w:t>
      </w:r>
    </w:p>
    <w:p w14:paraId="567758E3" w14:textId="27E948AC" w:rsidR="00DA0F69" w:rsidRPr="00AA2617" w:rsidRDefault="00DA0F69" w:rsidP="00AA2617">
      <w:pPr>
        <w:ind w:left="567"/>
        <w:rPr>
          <w:rFonts w:cs="Times New Roman"/>
          <w:i/>
          <w:sz w:val="22"/>
          <w:lang w:val="en-GB"/>
        </w:rPr>
      </w:pPr>
      <w:r w:rsidRPr="00AA2617">
        <w:rPr>
          <w:rFonts w:cs="Times New Roman"/>
          <w:i/>
          <w:sz w:val="22"/>
          <w:lang w:val="en-GB"/>
        </w:rPr>
        <w:t xml:space="preserve">Activity 3.1.2.1.  Develop </w:t>
      </w:r>
      <w:r w:rsidR="00634863" w:rsidRPr="00AA2617">
        <w:rPr>
          <w:rFonts w:cs="Times New Roman"/>
          <w:i/>
          <w:sz w:val="22"/>
          <w:lang w:val="en-GB"/>
        </w:rPr>
        <w:t>an information system on</w:t>
      </w:r>
      <w:r w:rsidRPr="00AA2617">
        <w:rPr>
          <w:rFonts w:cs="Times New Roman"/>
          <w:i/>
          <w:sz w:val="22"/>
          <w:lang w:val="en-GB"/>
        </w:rPr>
        <w:t>CC adaptation priorities at national and local levels by development initiatives as a preliminary adaptation safeguards check for development projects</w:t>
      </w:r>
    </w:p>
    <w:p w14:paraId="3B99EC42" w14:textId="77777777" w:rsidR="00DA0F69" w:rsidRPr="00AA2617" w:rsidRDefault="00DA0F69" w:rsidP="00AA2617">
      <w:pPr>
        <w:pStyle w:val="NumberedParagraph"/>
        <w:ind w:left="360"/>
        <w:rPr>
          <w:sz w:val="22"/>
          <w:lang w:val="en-GB"/>
        </w:rPr>
      </w:pPr>
      <w:r w:rsidRPr="00AA2617">
        <w:rPr>
          <w:sz w:val="22"/>
          <w:lang w:val="en-GB"/>
        </w:rPr>
        <w:t>This activity refers to an intermediate result of the MRV process. The initial situation will be assessed by Baseline information surveys and database that CCS can update need to be established with respect to sectoral divisions and geographical identity. Such a database can offer numerous indirect benefits such as acting as a baseline and a sample frame for future analysis of adaptation impacts.</w:t>
      </w:r>
    </w:p>
    <w:p w14:paraId="1B097A1E" w14:textId="77777777" w:rsidR="00DA0F69" w:rsidRPr="00AA2617" w:rsidRDefault="00DA0F69" w:rsidP="00AA2617">
      <w:pPr>
        <w:spacing w:before="240"/>
        <w:rPr>
          <w:rFonts w:cs="Times New Roman"/>
          <w:i/>
          <w:sz w:val="22"/>
          <w:lang w:val="en-GB"/>
        </w:rPr>
      </w:pPr>
      <w:r w:rsidRPr="00AA2617">
        <w:rPr>
          <w:rFonts w:cs="Times New Roman"/>
          <w:i/>
          <w:sz w:val="22"/>
          <w:lang w:val="en-GB"/>
        </w:rPr>
        <w:t>Output 3.1.3. Capacity and technology upgraded in relevant institutions to strengthen M&amp;R for adaptation priorities identified in the NDC for the agricultural and land-use sectors.  (Coordinates with 2.1.3.)</w:t>
      </w:r>
    </w:p>
    <w:p w14:paraId="559E9814" w14:textId="77777777" w:rsidR="00DA0F69" w:rsidRPr="00AA2617" w:rsidRDefault="00DA0F69" w:rsidP="00AA2617">
      <w:pPr>
        <w:pStyle w:val="NumberedParagraph"/>
        <w:ind w:left="360"/>
        <w:rPr>
          <w:sz w:val="22"/>
          <w:lang w:val="en-GB"/>
        </w:rPr>
      </w:pPr>
      <w:r w:rsidRPr="00AA2617">
        <w:rPr>
          <w:sz w:val="22"/>
          <w:lang w:val="en-GB"/>
        </w:rPr>
        <w:t>This output ensures that relevant agencies and institutions have the technology and training they need to fulfil their responsibilities towards CC adaptation in general while ably contributing to the Adaptation specific NDC activities.</w:t>
      </w:r>
    </w:p>
    <w:p w14:paraId="403D2689" w14:textId="77777777" w:rsidR="00DA0F69" w:rsidRPr="00AA2617" w:rsidRDefault="00DA0F69" w:rsidP="00AA2617">
      <w:pPr>
        <w:ind w:left="567"/>
        <w:rPr>
          <w:rFonts w:cs="Times New Roman"/>
          <w:i/>
          <w:sz w:val="22"/>
          <w:lang w:val="en-GB"/>
        </w:rPr>
      </w:pPr>
    </w:p>
    <w:p w14:paraId="04FC257F" w14:textId="77777777" w:rsidR="00DA0F69" w:rsidRPr="00AA2617" w:rsidRDefault="00DA0F69" w:rsidP="00AA2617">
      <w:pPr>
        <w:ind w:left="567"/>
        <w:rPr>
          <w:rFonts w:cs="Times New Roman"/>
          <w:i/>
          <w:sz w:val="22"/>
          <w:lang w:val="en-GB"/>
        </w:rPr>
      </w:pPr>
      <w:r w:rsidRPr="00AA2617">
        <w:rPr>
          <w:rFonts w:cs="Times New Roman"/>
          <w:i/>
          <w:sz w:val="22"/>
          <w:lang w:val="en-GB"/>
        </w:rPr>
        <w:t xml:space="preserve">Activity 3.1.3.1.  Provide relevant stakeholders with the equipment and software necessary for decentralized data collection, storage, and uploading in line with data-provision guidelines </w:t>
      </w:r>
    </w:p>
    <w:p w14:paraId="583736CD" w14:textId="77777777" w:rsidR="00DA0F69" w:rsidRPr="00AA2617" w:rsidRDefault="00DA0F69" w:rsidP="00AA2617">
      <w:pPr>
        <w:pStyle w:val="NumberedParagraph"/>
        <w:ind w:left="360"/>
        <w:rPr>
          <w:sz w:val="22"/>
          <w:lang w:val="en-GB"/>
        </w:rPr>
      </w:pPr>
      <w:r w:rsidRPr="00AA2617">
        <w:rPr>
          <w:sz w:val="22"/>
          <w:lang w:val="en-GB"/>
        </w:rPr>
        <w:t xml:space="preserve">For efficiency and data accuracy, when possible, the project will use technology that facilitates automatic uploading and synchronization from data-collection modalities to primary databases. </w:t>
      </w:r>
      <w:r w:rsidRPr="00AA2617">
        <w:rPr>
          <w:sz w:val="22"/>
          <w:lang w:val="en-GB"/>
        </w:rPr>
        <w:lastRenderedPageBreak/>
        <w:t>This aspect was identified as highly lacking by the stakeholders. A data-sharing ICT platform is not available as of now. Also missing are efficient data-recording equipment that enables automatic and effortless transfer of data to central database.</w:t>
      </w:r>
    </w:p>
    <w:p w14:paraId="593E431E" w14:textId="77777777" w:rsidR="00DA0F69" w:rsidRPr="00AA2617" w:rsidRDefault="00DA0F69" w:rsidP="00AA2617">
      <w:pPr>
        <w:ind w:left="567"/>
        <w:rPr>
          <w:rFonts w:cs="Times New Roman"/>
          <w:i/>
          <w:sz w:val="22"/>
          <w:lang w:val="en-GB"/>
        </w:rPr>
      </w:pPr>
      <w:r w:rsidRPr="00AA2617">
        <w:rPr>
          <w:rFonts w:cs="Times New Roman"/>
          <w:i/>
          <w:sz w:val="22"/>
          <w:lang w:val="en-GB"/>
        </w:rPr>
        <w:t xml:space="preserve">                                                                                                                                                           Activity 3.1.3.2.  Produce training materials, including materials for training of trainers, for QC and associated technologies.    </w:t>
      </w:r>
    </w:p>
    <w:p w14:paraId="44A1BE46" w14:textId="528964F9" w:rsidR="00DA0F69" w:rsidRPr="00AA2617" w:rsidRDefault="00DA0F69" w:rsidP="00AA2617">
      <w:pPr>
        <w:pStyle w:val="NumberedParagraph"/>
        <w:ind w:left="360"/>
        <w:rPr>
          <w:sz w:val="22"/>
          <w:lang w:val="en-GB"/>
        </w:rPr>
      </w:pPr>
      <w:r w:rsidRPr="00AA2617">
        <w:rPr>
          <w:sz w:val="22"/>
          <w:lang w:val="en-GB"/>
        </w:rPr>
        <w:t xml:space="preserve">Adaptation-related training programming and relevant MRV practices are lacking in the public sector agencies involved in the AFOLU sectors due to poor sensitisation of the methodologies and content of training provided to technical personnel. This is due to lack of a suitable platform to share experience gained from the existing training opportunities provided by various international agencies on an ad-hoc basis. The physical separation and isolation of agencies working in related topics also contribute to weak peer learning. It is important that training be organised using an integrated methodology which enables relating different training opportunities to each other and there are sequential improvement in objectives of training. Equally crucial is the need to create opportunities for personnel to display the benefits of training by combining training to earmarked tasks relevant to the training.  </w:t>
      </w:r>
    </w:p>
    <w:p w14:paraId="0C0D5E3F" w14:textId="77777777" w:rsidR="00DA0F69" w:rsidRPr="00AA2617" w:rsidRDefault="00DA0F69" w:rsidP="00AA2617">
      <w:pPr>
        <w:pStyle w:val="NumberedParagraph"/>
        <w:ind w:left="360"/>
        <w:rPr>
          <w:rFonts w:eastAsiaTheme="minorHAnsi"/>
          <w:sz w:val="22"/>
          <w:lang w:val="en-GB"/>
        </w:rPr>
      </w:pPr>
      <w:r w:rsidRPr="00AA2617">
        <w:rPr>
          <w:sz w:val="22"/>
          <w:lang w:val="en-GB"/>
        </w:rPr>
        <w:t xml:space="preserve">Development of training material should be performed in consultation with relevant expertise in CC adaptation including resource persons trained in adaptation related to AFOLU sectors. CCS will collaborate with each line agency for training needs and share the contents of training through MOUs that will establish the continuity of such training programs . </w:t>
      </w:r>
    </w:p>
    <w:p w14:paraId="77E5500E" w14:textId="77777777" w:rsidR="00DA0F69" w:rsidRPr="00AA2617" w:rsidRDefault="00DA0F69" w:rsidP="00AA2617">
      <w:pPr>
        <w:ind w:left="567"/>
        <w:rPr>
          <w:rFonts w:cs="Times New Roman"/>
          <w:i/>
          <w:sz w:val="22"/>
          <w:lang w:val="en-GB"/>
        </w:rPr>
      </w:pPr>
      <w:r w:rsidRPr="00AA2617">
        <w:rPr>
          <w:rFonts w:cs="Times New Roman"/>
          <w:i/>
          <w:sz w:val="22"/>
          <w:lang w:val="en-GB"/>
        </w:rPr>
        <w:t>Activity 3.1.3.3.  Conduct training of relevant stakeholders, including training of trainers, to enable measurements in line with data-provision guidelines.</w:t>
      </w:r>
    </w:p>
    <w:p w14:paraId="333D19A1" w14:textId="77777777" w:rsidR="00DA0F69" w:rsidRPr="00AA2617" w:rsidRDefault="00DA0F69" w:rsidP="00AA2617">
      <w:pPr>
        <w:pStyle w:val="NumberedParagraph"/>
        <w:ind w:left="360"/>
        <w:rPr>
          <w:sz w:val="22"/>
          <w:lang w:val="en-GB"/>
        </w:rPr>
      </w:pPr>
      <w:r w:rsidRPr="00AA2617">
        <w:rPr>
          <w:sz w:val="22"/>
          <w:lang w:val="en-GB"/>
        </w:rPr>
        <w:t>Measurement compatibility across AFOLU sectors will be facilitated through a sequence  of training programs aimed at building coaching capacity within institutes though creating ToTs. Training will have to be carried out by the international agencies such as FAO under the guidance of MRV expertise. It is important to obtain third party support and guidance from academia and research community also in developing ToT programs</w:t>
      </w:r>
    </w:p>
    <w:p w14:paraId="4A0D08BC" w14:textId="77777777" w:rsidR="00DA0F69" w:rsidRPr="00AA2617" w:rsidRDefault="00DA0F69" w:rsidP="00AA2617">
      <w:pPr>
        <w:spacing w:before="240"/>
        <w:rPr>
          <w:rFonts w:cs="Times New Roman"/>
          <w:i/>
          <w:sz w:val="22"/>
          <w:lang w:val="en-GB"/>
        </w:rPr>
      </w:pPr>
      <w:r w:rsidRPr="00AA2617">
        <w:rPr>
          <w:rFonts w:cs="Times New Roman"/>
          <w:i/>
          <w:sz w:val="22"/>
          <w:lang w:val="en-GB"/>
        </w:rPr>
        <w:t>Output 3.1.4. Relevant measures validated and piloted for adaptation priorities identified in the NDC for the agricultural and land-use sectors.</w:t>
      </w:r>
    </w:p>
    <w:p w14:paraId="7114E691" w14:textId="77777777" w:rsidR="00DA0F69" w:rsidRPr="00AA2617" w:rsidRDefault="00DA0F69" w:rsidP="00AA2617">
      <w:pPr>
        <w:pStyle w:val="NumberedParagraph"/>
        <w:ind w:left="360"/>
        <w:rPr>
          <w:sz w:val="22"/>
          <w:lang w:val="en-GB"/>
        </w:rPr>
      </w:pPr>
      <w:r w:rsidRPr="00AA2617">
        <w:rPr>
          <w:sz w:val="22"/>
          <w:lang w:val="en-GB"/>
        </w:rPr>
        <w:t>Delivery of this output will coordinate closely with delivery of Output 2.1.4.  As with Output 2.1.4, preparation and capacitation to conduct mitigation-related measurements will be supported by project funds and co-financing, whereas nation-wide measurements will be funded primarily via co-financing.</w:t>
      </w:r>
    </w:p>
    <w:p w14:paraId="6C689678" w14:textId="77777777" w:rsidR="00DA0F69" w:rsidRPr="00AA2617" w:rsidRDefault="00DA0F69" w:rsidP="00AA2617">
      <w:pPr>
        <w:ind w:left="567"/>
        <w:jc w:val="left"/>
        <w:rPr>
          <w:rFonts w:cs="Times New Roman"/>
          <w:i/>
          <w:sz w:val="22"/>
          <w:lang w:val="en-GB"/>
        </w:rPr>
      </w:pPr>
      <w:r w:rsidRPr="00AA2617">
        <w:rPr>
          <w:rFonts w:cs="Times New Roman"/>
          <w:i/>
          <w:sz w:val="22"/>
          <w:lang w:val="en-GB"/>
        </w:rPr>
        <w:t xml:space="preserve">Activity 3.1.4.1.  Review relevant research literature to determine provisional estimates where possible and conduct uncertainty assessments for estimates for key indicators.                                                                                                                                                                            </w:t>
      </w:r>
    </w:p>
    <w:p w14:paraId="036175AE" w14:textId="77777777" w:rsidR="00DA0F69" w:rsidRPr="00AA2617" w:rsidRDefault="00DA0F69" w:rsidP="00AA2617">
      <w:pPr>
        <w:pStyle w:val="NumberedParagraph"/>
        <w:ind w:left="360"/>
        <w:rPr>
          <w:sz w:val="22"/>
          <w:lang w:val="en-GB"/>
        </w:rPr>
      </w:pPr>
      <w:r w:rsidRPr="00AA2617">
        <w:rPr>
          <w:sz w:val="22"/>
          <w:lang w:val="en-GB"/>
        </w:rPr>
        <w:t>This activity serves multiple purposes.  First, it gives a sense of common approaches and options for addressing national CCA measurement needs, including ideas for proxy measures.  Second, it provides interim estimates so that limited resources can be directed to important measures for which estimates are currently unavailable.  Third, the review gives a sense of an expected range for national measures, such that an outlier or erroneous measure would draw more scrutiny.  Fourth, the uncertainty estimates from this activity provide decision-makers with a sense of the degree of precision the estimates afford for pragmatic decisions.</w:t>
      </w:r>
    </w:p>
    <w:p w14:paraId="1E5C0A10" w14:textId="77777777" w:rsidR="00DA0F69" w:rsidRPr="00AA2617" w:rsidRDefault="00DA0F69" w:rsidP="00AA2617">
      <w:pPr>
        <w:ind w:left="567"/>
        <w:jc w:val="left"/>
        <w:rPr>
          <w:rFonts w:cs="Times New Roman"/>
          <w:i/>
          <w:sz w:val="22"/>
          <w:lang w:val="en-GB"/>
        </w:rPr>
      </w:pPr>
      <w:r w:rsidRPr="00AA2617">
        <w:rPr>
          <w:rFonts w:cs="Times New Roman"/>
          <w:i/>
          <w:sz w:val="22"/>
          <w:lang w:val="en-GB"/>
        </w:rPr>
        <w:t xml:space="preserve">Activity 3.1.4.2.  Conduct pilot tests of measurement protocols and revise protocols as needed.                                                                      </w:t>
      </w:r>
    </w:p>
    <w:p w14:paraId="4BFAC16F" w14:textId="77777777" w:rsidR="00DA0F69" w:rsidRPr="00AA2617" w:rsidRDefault="00DA0F69" w:rsidP="00AA2617">
      <w:pPr>
        <w:pStyle w:val="NumberedParagraph"/>
        <w:ind w:left="360"/>
        <w:rPr>
          <w:sz w:val="22"/>
          <w:lang w:val="en-GB"/>
        </w:rPr>
      </w:pPr>
      <w:r w:rsidRPr="00AA2617">
        <w:rPr>
          <w:sz w:val="22"/>
          <w:lang w:val="en-GB"/>
        </w:rPr>
        <w:t>This activity will be conducted in close collaboration with the corresponding piloting for CCM (Activity 2.1.4.3).  These pilot tests will help identify best practices and opportunities for improvement of the documented protocols for measurements.  Pilot testing will also enable training of the field staff before the full implementation of the MRV in the AFOLU sector.</w:t>
      </w:r>
    </w:p>
    <w:p w14:paraId="1ABB2703" w14:textId="77777777" w:rsidR="00DA0F69" w:rsidRPr="00AA2617" w:rsidRDefault="00DA0F69" w:rsidP="00AA2617">
      <w:pPr>
        <w:ind w:left="567"/>
        <w:jc w:val="left"/>
        <w:rPr>
          <w:rFonts w:cs="Times New Roman"/>
          <w:i/>
          <w:sz w:val="22"/>
          <w:lang w:val="en-GB"/>
        </w:rPr>
      </w:pPr>
      <w:r w:rsidRPr="00AA2617">
        <w:rPr>
          <w:rFonts w:cs="Times New Roman"/>
          <w:i/>
          <w:sz w:val="22"/>
          <w:lang w:val="en-GB"/>
        </w:rPr>
        <w:t>Activity 3.1.4.3.  Conduct preliminary validations of proxy measures.</w:t>
      </w:r>
    </w:p>
    <w:p w14:paraId="2729D83E" w14:textId="77777777" w:rsidR="00DA0F69" w:rsidRPr="00AA2617" w:rsidRDefault="00DA0F69" w:rsidP="00AA2617">
      <w:pPr>
        <w:pStyle w:val="NumberedParagraph"/>
        <w:ind w:left="360"/>
        <w:rPr>
          <w:sz w:val="22"/>
          <w:lang w:val="en-GB"/>
        </w:rPr>
      </w:pPr>
      <w:r w:rsidRPr="00AA2617">
        <w:rPr>
          <w:sz w:val="22"/>
          <w:lang w:val="en-GB"/>
        </w:rPr>
        <w:lastRenderedPageBreak/>
        <w:t>There are number of grey areas with relation to the AFOLU sectors and activities that come under them. For instance, with respect to Agriculture, provisional estimates on home garden fertiliser use, soil management practices in perennial and plantations crops, use of carbon trapping soil improvements such as bio-char are all poorly defined areas of climate impact. Environmentally-Adaptive and resource conserving technologies are also a key component of adaptation. The emission or removal factors associated with such innovations are also necessary to be established based on empirical tests and subsequent validation.</w:t>
      </w:r>
    </w:p>
    <w:p w14:paraId="0D61F6AC" w14:textId="77777777" w:rsidR="006573C8" w:rsidRPr="00AA2617" w:rsidRDefault="006573C8" w:rsidP="00AA2617">
      <w:pPr>
        <w:pStyle w:val="Heading2"/>
        <w:rPr>
          <w:rFonts w:cs="Times New Roman"/>
          <w:b/>
          <w:szCs w:val="22"/>
          <w:lang w:val="en-GB"/>
        </w:rPr>
      </w:pPr>
      <w:bookmarkStart w:id="34" w:name="_Toc9249183"/>
      <w:r w:rsidRPr="00AA2617">
        <w:rPr>
          <w:rFonts w:cs="Times New Roman"/>
          <w:b/>
          <w:szCs w:val="22"/>
          <w:lang w:val="en-GB"/>
        </w:rPr>
        <w:t>Alignment and Strategic Fit</w:t>
      </w:r>
      <w:bookmarkEnd w:id="34"/>
    </w:p>
    <w:p w14:paraId="0240EA06" w14:textId="77777777" w:rsidR="006573C8" w:rsidRPr="00AA2617" w:rsidRDefault="006573C8" w:rsidP="00AA2617">
      <w:pPr>
        <w:pStyle w:val="Heading3"/>
        <w:rPr>
          <w:rFonts w:cs="Times New Roman"/>
          <w:b/>
          <w:szCs w:val="22"/>
          <w:lang w:val="en-GB"/>
        </w:rPr>
      </w:pPr>
      <w:bookmarkStart w:id="35" w:name="_Toc9249184"/>
      <w:r w:rsidRPr="00AA2617">
        <w:rPr>
          <w:rFonts w:cs="Times New Roman"/>
          <w:b/>
          <w:szCs w:val="22"/>
          <w:lang w:val="en-GB"/>
        </w:rPr>
        <w:t>Alignment with national priorities</w:t>
      </w:r>
      <w:bookmarkEnd w:id="35"/>
    </w:p>
    <w:p w14:paraId="0F5E8AE0" w14:textId="7490C813" w:rsidR="006B2772" w:rsidRPr="00AA2617" w:rsidRDefault="006B2772" w:rsidP="00AA2617">
      <w:pPr>
        <w:pStyle w:val="NumberedParagraph"/>
        <w:ind w:left="360"/>
        <w:rPr>
          <w:sz w:val="22"/>
          <w:lang w:val="en-GB"/>
        </w:rPr>
      </w:pPr>
      <w:r w:rsidRPr="00AA2617">
        <w:rPr>
          <w:sz w:val="22"/>
          <w:lang w:val="en-GB"/>
        </w:rPr>
        <w:t xml:space="preserve">This project directly assists </w:t>
      </w:r>
      <w:r w:rsidR="000D1A35" w:rsidRPr="00AA2617">
        <w:rPr>
          <w:sz w:val="22"/>
          <w:lang w:val="en-GB"/>
        </w:rPr>
        <w:t>Sri Lanka’s</w:t>
      </w:r>
      <w:r w:rsidRPr="00AA2617">
        <w:rPr>
          <w:sz w:val="22"/>
          <w:lang w:val="en-GB"/>
        </w:rPr>
        <w:t xml:space="preserve"> in fulfilling its commitments under the Paris Agreement</w:t>
      </w:r>
      <w:r w:rsidR="00F1627E" w:rsidRPr="00AA2617">
        <w:rPr>
          <w:sz w:val="22"/>
          <w:lang w:val="en-GB"/>
        </w:rPr>
        <w:t xml:space="preserve"> and UNFCCC</w:t>
      </w:r>
      <w:r w:rsidRPr="00AA2617">
        <w:rPr>
          <w:sz w:val="22"/>
          <w:lang w:val="en-GB"/>
        </w:rPr>
        <w:t>.  The project’s objective and outcomes also directly support several domes</w:t>
      </w:r>
      <w:r w:rsidR="00322971" w:rsidRPr="00AA2617">
        <w:rPr>
          <w:sz w:val="22"/>
          <w:lang w:val="en-GB"/>
        </w:rPr>
        <w:t>tic priorities and initiatives, including:</w:t>
      </w:r>
    </w:p>
    <w:p w14:paraId="6C776DE1" w14:textId="77777777" w:rsidR="000D1A35" w:rsidRPr="00AA2617" w:rsidRDefault="000D1A35" w:rsidP="00AA2617">
      <w:pPr>
        <w:pStyle w:val="NumberedParagraph"/>
        <w:ind w:left="360"/>
        <w:rPr>
          <w:sz w:val="22"/>
          <w:lang w:val="en-GB"/>
        </w:rPr>
      </w:pPr>
      <w:r w:rsidRPr="00AA2617">
        <w:rPr>
          <w:sz w:val="22"/>
          <w:lang w:val="en-GB"/>
        </w:rPr>
        <w:t>Sri Lanka NEXT - A Blue Green Era (2016) initiated to support a “blue-green” development strategy to help Sri Lanka sustainably manage its vast marine and coastal resources, whilst identifying actions for low carbon development in key sectors. “Blue development” strategy involves enhancing offshore wind and oceanic thermal energy conversation; sustainable utilization of oceanic fish and other marine biological resources; explore oceanic mineral resources. “Green” development involves scaling up green energy generation; sustainable agriculture; green buildings and transport; and eco-friendly industrial production.</w:t>
      </w:r>
    </w:p>
    <w:p w14:paraId="3CBF434E" w14:textId="77777777" w:rsidR="000D1A35" w:rsidRPr="00AA2617" w:rsidRDefault="000D1A35" w:rsidP="00AA2617">
      <w:pPr>
        <w:pStyle w:val="NumberedParagraph"/>
        <w:numPr>
          <w:ilvl w:val="0"/>
          <w:numId w:val="0"/>
        </w:numPr>
        <w:spacing w:after="0"/>
        <w:ind w:left="720"/>
        <w:rPr>
          <w:sz w:val="22"/>
          <w:lang w:val="en-GB"/>
        </w:rPr>
      </w:pPr>
    </w:p>
    <w:p w14:paraId="15CE7D4C" w14:textId="7C01B992" w:rsidR="000D1A35" w:rsidRPr="00AA2617" w:rsidRDefault="000D1A35" w:rsidP="00AA2617">
      <w:pPr>
        <w:pStyle w:val="NumberedParagraph"/>
        <w:ind w:left="360"/>
        <w:rPr>
          <w:sz w:val="22"/>
          <w:lang w:val="en-GB"/>
        </w:rPr>
      </w:pPr>
      <w:r w:rsidRPr="00AA2617">
        <w:rPr>
          <w:sz w:val="22"/>
          <w:lang w:val="en-GB"/>
        </w:rPr>
        <w:t xml:space="preserve">National climate change strategy : National Climate Change Policy was developed in 2012 to highlight the country’s most pressing climate concerns and outlines several principles that should be considered when developing actions in NDC priority sectors such as energy, transport, industry, waste management, as well as other sectors, such as agriculture and livestock. As a policy relevant to a vibrant topic in global environment and development dialogue, climate change policy has seen many useful developments over the last 15 years. While the policy has evolved, its linkages to other policies and ordinances have not received equal attention. </w:t>
      </w:r>
    </w:p>
    <w:p w14:paraId="2DA98D93" w14:textId="77777777" w:rsidR="000D1A35" w:rsidRPr="00AA2617" w:rsidRDefault="000D1A35" w:rsidP="00AA2617">
      <w:pPr>
        <w:pStyle w:val="NumberedParagraph"/>
        <w:ind w:left="360"/>
        <w:rPr>
          <w:sz w:val="22"/>
          <w:lang w:val="en-GB"/>
        </w:rPr>
      </w:pPr>
      <w:r w:rsidRPr="00AA2617">
        <w:rPr>
          <w:sz w:val="22"/>
          <w:lang w:val="en-GB"/>
        </w:rPr>
        <w:t>National Heritage Wilderness Area Act No. 3 of 1988: This act was enacted to enable the preservation of unique natural ecosystems under the jurisdiction of the Forest Department. Thus far, only Sinharaja forest has been declared under this Act.</w:t>
      </w:r>
    </w:p>
    <w:p w14:paraId="5B66D077" w14:textId="69390F1F" w:rsidR="000D1A35" w:rsidRPr="00AA2617" w:rsidRDefault="000D1A35" w:rsidP="00AA2617">
      <w:pPr>
        <w:pStyle w:val="NumberedParagraph"/>
        <w:ind w:left="360"/>
        <w:rPr>
          <w:sz w:val="22"/>
          <w:lang w:val="en-GB"/>
        </w:rPr>
      </w:pPr>
      <w:r w:rsidRPr="00AA2617">
        <w:rPr>
          <w:sz w:val="22"/>
          <w:lang w:val="en-GB"/>
        </w:rPr>
        <w:t>Fauna and Flora Protection Ordinance (revised in 2009, Act No. 22 of 2009):</w:t>
      </w:r>
      <w:r w:rsidR="00491DC0" w:rsidRPr="00AA2617">
        <w:rPr>
          <w:sz w:val="22"/>
          <w:lang w:val="en-GB"/>
        </w:rPr>
        <w:t xml:space="preserve"> </w:t>
      </w:r>
      <w:r w:rsidRPr="00AA2617">
        <w:rPr>
          <w:sz w:val="22"/>
          <w:lang w:val="en-GB"/>
        </w:rPr>
        <w:t>This act has formalised the preparation of management plans for the national reserves or sanctuaries mandatory, establishes buffer zones for PAs, and contains many other new features that facilitate an efficient management of reserves by the DWLC. There have been many amendments to this Act for the purpose of strengthening it, but enforcement remains fairly weak with regard to protected species and encroachments.</w:t>
      </w:r>
    </w:p>
    <w:p w14:paraId="12585088" w14:textId="77777777" w:rsidR="000D1A35" w:rsidRPr="00AA2617" w:rsidRDefault="000D1A35" w:rsidP="00AA2617">
      <w:pPr>
        <w:pStyle w:val="NumberedParagraph"/>
        <w:ind w:left="360"/>
        <w:rPr>
          <w:sz w:val="22"/>
          <w:lang w:val="en-GB"/>
        </w:rPr>
      </w:pPr>
      <w:r w:rsidRPr="00AA2617">
        <w:rPr>
          <w:sz w:val="22"/>
          <w:lang w:val="en-GB"/>
        </w:rPr>
        <w:t>National Environmental Act (2000): The NEA served to create the Central Environmental Authority, while its amendment of 1988 empowers all project approving agencies to obtain an EIA for prescribed developmental projects from any developer (including the State). The NEA provides for the establishment of District Environmental Agencies (DEAs) in each administrative district for devolution of powers to the regions in relation to environmental management through the Provincial Councils and the DEAs.</w:t>
      </w:r>
    </w:p>
    <w:p w14:paraId="61162914" w14:textId="77777777" w:rsidR="000D1A35" w:rsidRPr="00AA2617" w:rsidRDefault="000D1A35" w:rsidP="00AA2617">
      <w:pPr>
        <w:pStyle w:val="NumberedParagraph"/>
        <w:ind w:left="360"/>
        <w:rPr>
          <w:sz w:val="22"/>
          <w:lang w:val="en-GB"/>
        </w:rPr>
      </w:pPr>
      <w:r w:rsidRPr="00AA2617">
        <w:rPr>
          <w:sz w:val="22"/>
          <w:lang w:val="en-GB"/>
        </w:rPr>
        <w:t>Soil Conservation Act, 1996: This act empowers the Minister of Agriculture to declare and acquire “erodible areas’; to specify measures regulating the use of land in such areas; and to acquire land for carrying out measures to prevent erosion. Deficiencies in the original Act have been rectified in the Amended Act of 1996. Accordingly, there has also been a shift of focus from the control of soil erosion to land resource management, while covering damage by floods, stream bank erosion, salinity, alkalinity and water logging.</w:t>
      </w:r>
    </w:p>
    <w:p w14:paraId="2A32BC88" w14:textId="77777777" w:rsidR="000D1A35" w:rsidRPr="00AA2617" w:rsidRDefault="000D1A35" w:rsidP="00AA2617">
      <w:pPr>
        <w:pStyle w:val="NumberedParagraph"/>
        <w:ind w:left="360"/>
        <w:rPr>
          <w:sz w:val="22"/>
          <w:lang w:val="en-GB"/>
        </w:rPr>
      </w:pPr>
      <w:r w:rsidRPr="00AA2617">
        <w:rPr>
          <w:sz w:val="22"/>
          <w:lang w:val="en-GB"/>
        </w:rPr>
        <w:lastRenderedPageBreak/>
        <w:t>National Agricultural Policy of 2007: Amongst other matters, this policy promotes home gardening and urban agriculture to enhance household nutrition and income; conservation of water resources, efficient water management and soil moisture retention techniques; prevention of water pollution from agriculture; adhering to the National Land Use Policy when allocating land for cultivation purposes; land conservation within watershed areas; enforcing the provisions of the Soil Conservation Act; and facilitating exchange of relevant knowledge among the farming community.</w:t>
      </w:r>
    </w:p>
    <w:p w14:paraId="71588872" w14:textId="0C41BAFC" w:rsidR="000D1A35" w:rsidRPr="00AA2617" w:rsidRDefault="000D1A35" w:rsidP="00AA2617">
      <w:pPr>
        <w:pStyle w:val="NumberedParagraph"/>
        <w:ind w:left="360"/>
        <w:rPr>
          <w:sz w:val="22"/>
          <w:lang w:val="en-GB"/>
        </w:rPr>
      </w:pPr>
      <w:r w:rsidRPr="00AA2617">
        <w:rPr>
          <w:sz w:val="22"/>
          <w:lang w:val="en-GB"/>
        </w:rPr>
        <w:t>National Environmental Policy of 2003: This policy aims to ensure sound environmental management within a framework of sustainable development in the country to balance the needs for social and economic development and environment integrity. It presents the course of action to be taken by Sri Lanka for safeguarding the environment and ensuring that economic development is sustainable. The policy addresses environmental dimensions under conservation and management of four basic groupings of  natural resources, namely: land, water, atmosphere and biological diversity</w:t>
      </w:r>
    </w:p>
    <w:p w14:paraId="29E1C5C9" w14:textId="77777777" w:rsidR="006573C8" w:rsidRPr="00AA2617" w:rsidRDefault="006573C8" w:rsidP="00AA2617">
      <w:pPr>
        <w:pStyle w:val="Heading3"/>
        <w:rPr>
          <w:rFonts w:cs="Times New Roman"/>
          <w:b/>
          <w:szCs w:val="22"/>
          <w:lang w:val="en-GB"/>
        </w:rPr>
      </w:pPr>
      <w:bookmarkStart w:id="36" w:name="_Toc9249185"/>
      <w:r w:rsidRPr="00AA2617">
        <w:rPr>
          <w:rFonts w:cs="Times New Roman"/>
          <w:b/>
          <w:szCs w:val="22"/>
          <w:lang w:val="en-GB"/>
        </w:rPr>
        <w:t>Alignment with GEF priorities</w:t>
      </w:r>
      <w:bookmarkEnd w:id="36"/>
    </w:p>
    <w:p w14:paraId="556D8A9B" w14:textId="534DC2A0" w:rsidR="006612BE" w:rsidRPr="00AA2617" w:rsidRDefault="006612BE" w:rsidP="00AA2617">
      <w:pPr>
        <w:pStyle w:val="NumberedParagraph"/>
        <w:spacing w:before="120" w:after="240"/>
        <w:ind w:left="547" w:hanging="547"/>
        <w:rPr>
          <w:sz w:val="22"/>
          <w:lang w:val="en-GB"/>
        </w:rPr>
      </w:pPr>
      <w:r w:rsidRPr="00AA2617">
        <w:rPr>
          <w:sz w:val="22"/>
          <w:lang w:val="en-GB"/>
        </w:rPr>
        <w:t xml:space="preserve">This project directly contributes to achieving CBIT’s goals.  Namely, as is manifest in the above description of the project’s activities and outputs, the project (i) strengthens national institutions for transparency-related activities in line with national priorities, (ii) provides relevant tools, training, and assistance for meeting the provisions stipulated in Article 13 of the Paris Agreement, and (iii) assists </w:t>
      </w:r>
      <w:r w:rsidR="00491DC0" w:rsidRPr="00AA2617">
        <w:rPr>
          <w:sz w:val="22"/>
          <w:lang w:val="en-GB"/>
        </w:rPr>
        <w:t xml:space="preserve">Sri Lanka </w:t>
      </w:r>
      <w:r w:rsidRPr="00AA2617">
        <w:rPr>
          <w:sz w:val="22"/>
          <w:lang w:val="en-GB"/>
        </w:rPr>
        <w:t>in improving the transparency of climate-related MRV over time.</w:t>
      </w:r>
      <w:r w:rsidR="00DC5942" w:rsidRPr="00AA2617">
        <w:rPr>
          <w:sz w:val="22"/>
          <w:lang w:val="en-GB"/>
        </w:rPr>
        <w:t xml:space="preserve">  The project also directly contributes to GEF-6’s Climate Change Mitigation focal-area objectives in line with Indicator 3:  “MRV systems for emissions reductions in place and reporting verified data.”</w:t>
      </w:r>
      <w:r w:rsidR="00DC5942" w:rsidRPr="00AA2617">
        <w:rPr>
          <w:rStyle w:val="FootnoteReference"/>
          <w:sz w:val="22"/>
          <w:lang w:val="en-GB"/>
        </w:rPr>
        <w:footnoteReference w:id="37"/>
      </w:r>
    </w:p>
    <w:p w14:paraId="6930444C" w14:textId="14FB8A19" w:rsidR="00491DC0" w:rsidRPr="00AA2617" w:rsidRDefault="00491DC0" w:rsidP="00AA2617">
      <w:pPr>
        <w:pStyle w:val="NumberedParagraph"/>
        <w:spacing w:before="120" w:after="240"/>
        <w:ind w:left="547" w:hanging="547"/>
        <w:rPr>
          <w:sz w:val="22"/>
          <w:lang w:val="en-GB"/>
        </w:rPr>
      </w:pPr>
      <w:r w:rsidRPr="00AA2617">
        <w:rPr>
          <w:sz w:val="22"/>
          <w:lang w:val="en-GB"/>
        </w:rPr>
        <w:t xml:space="preserve">Under global CC related conventions, Sri Lanka is part of programming under the following conventions and covenants: Convention on Biological Diversity (1992) , Convention on Wetlands of International Importance (1971), Convention concerning the protection of the World Cultural and Natural Heritage (1972), United Nations Framework Convention on Climate Change (1992), Vienna Convention for the Protection of the Ozone Layer (1985), Montreal Protocol on Substances that deplete the Ozone Layer (1987), Kyoto Protocol on Climate Change , Convention on International Trade in Endangered Species Of Wild Fauna and Flora (1973), International Plant Protection Convention 1952 and United Nations Convention to combat Desertification  (1996). </w:t>
      </w:r>
    </w:p>
    <w:p w14:paraId="666B4D4C" w14:textId="77777777" w:rsidR="006573C8" w:rsidRPr="00AA2617" w:rsidRDefault="006573C8" w:rsidP="00AA2617">
      <w:pPr>
        <w:pStyle w:val="Heading3"/>
        <w:rPr>
          <w:rFonts w:cs="Times New Roman"/>
          <w:b/>
          <w:szCs w:val="22"/>
          <w:lang w:val="en-GB"/>
        </w:rPr>
      </w:pPr>
      <w:bookmarkStart w:id="37" w:name="_Toc9249186"/>
      <w:r w:rsidRPr="00AA2617">
        <w:rPr>
          <w:rFonts w:cs="Times New Roman"/>
          <w:b/>
          <w:szCs w:val="22"/>
          <w:lang w:val="en-GB"/>
        </w:rPr>
        <w:t>Alignment with FAO priorities</w:t>
      </w:r>
      <w:bookmarkEnd w:id="37"/>
    </w:p>
    <w:p w14:paraId="3D815984" w14:textId="77777777" w:rsidR="00AF69D3" w:rsidRPr="00AA2617" w:rsidRDefault="00AF69D3" w:rsidP="00AA2617">
      <w:pPr>
        <w:pStyle w:val="NumberedParagraph"/>
        <w:rPr>
          <w:sz w:val="22"/>
          <w:lang w:val="en-GB"/>
        </w:rPr>
      </w:pPr>
      <w:r w:rsidRPr="00AA2617">
        <w:rPr>
          <w:sz w:val="22"/>
          <w:lang w:val="en-GB"/>
        </w:rPr>
        <w:t xml:space="preserve">The project aligns primarily with FAO’s Strategic Objective 2, which is to </w:t>
      </w:r>
      <w:r w:rsidRPr="00AA2617">
        <w:rPr>
          <w:color w:val="000000" w:themeColor="text1"/>
          <w:sz w:val="22"/>
          <w:lang w:val="en-GB"/>
        </w:rPr>
        <w:t>increase and improve provision of goods and services from agriculture, forestry and fisheries in a sustainable manner.</w:t>
      </w:r>
      <w:r w:rsidRPr="00AA2617">
        <w:rPr>
          <w:sz w:val="22"/>
          <w:lang w:val="en-GB"/>
        </w:rPr>
        <w:t xml:space="preserve">  In particular, the project aligns with:</w:t>
      </w:r>
    </w:p>
    <w:p w14:paraId="2653EEED" w14:textId="77777777" w:rsidR="00AF69D3" w:rsidRPr="00AA2617" w:rsidRDefault="00AF69D3" w:rsidP="00AA2617">
      <w:pPr>
        <w:pStyle w:val="NumberedParagraph"/>
        <w:numPr>
          <w:ilvl w:val="1"/>
          <w:numId w:val="2"/>
        </w:numPr>
        <w:rPr>
          <w:sz w:val="22"/>
          <w:lang w:val="en-GB"/>
        </w:rPr>
      </w:pPr>
      <w:r w:rsidRPr="00AA2617">
        <w:rPr>
          <w:i/>
          <w:sz w:val="22"/>
          <w:lang w:val="en-GB"/>
        </w:rPr>
        <w:t>Organizational Outcome 2.3:</w:t>
      </w:r>
      <w:r w:rsidRPr="00AA2617">
        <w:rPr>
          <w:sz w:val="22"/>
          <w:lang w:val="en-GB"/>
        </w:rPr>
        <w:t xml:space="preserve"> </w:t>
      </w:r>
      <w:r w:rsidRPr="00AA2617">
        <w:rPr>
          <w:color w:val="000000" w:themeColor="text1"/>
          <w:sz w:val="22"/>
          <w:lang w:val="en-GB"/>
        </w:rPr>
        <w:t>stakeholders endorse/adopt international (including regional) instruments and support related governance mechanisms for sustainable agricultural production systems;</w:t>
      </w:r>
    </w:p>
    <w:p w14:paraId="7D01C8FE" w14:textId="77777777" w:rsidR="00AF69D3" w:rsidRPr="00AA2617" w:rsidRDefault="00AF69D3" w:rsidP="00AA2617">
      <w:pPr>
        <w:pStyle w:val="NumberedParagraph"/>
        <w:numPr>
          <w:ilvl w:val="1"/>
          <w:numId w:val="2"/>
        </w:numPr>
        <w:rPr>
          <w:sz w:val="22"/>
          <w:lang w:val="en-GB"/>
        </w:rPr>
      </w:pPr>
      <w:r w:rsidRPr="00AA2617">
        <w:rPr>
          <w:i/>
          <w:sz w:val="22"/>
          <w:lang w:val="en-GB"/>
        </w:rPr>
        <w:t xml:space="preserve">Organizational Outcome 2.4: </w:t>
      </w:r>
      <w:r w:rsidRPr="00AA2617">
        <w:rPr>
          <w:color w:val="000000" w:themeColor="text1"/>
          <w:sz w:val="22"/>
          <w:lang w:val="en-GB"/>
        </w:rPr>
        <w:t>stakeholders make evidence-based decisions in the planning and management of the agricultural sectors and natural resources to support the transition to sustainable agricultural sector production systems through monitoring, statistics, assessment and analysis.</w:t>
      </w:r>
    </w:p>
    <w:p w14:paraId="4888C2BE" w14:textId="77777777" w:rsidR="00AF69D3" w:rsidRPr="00AA2617" w:rsidRDefault="00AF69D3" w:rsidP="00AA2617">
      <w:pPr>
        <w:pStyle w:val="NumberedParagraph"/>
        <w:rPr>
          <w:sz w:val="22"/>
          <w:lang w:val="en-GB"/>
        </w:rPr>
      </w:pPr>
      <w:r w:rsidRPr="00AA2617">
        <w:rPr>
          <w:sz w:val="22"/>
          <w:lang w:val="en-GB"/>
        </w:rPr>
        <w:t xml:space="preserve">In particular, the project will serve to deliver the following outputs: </w:t>
      </w:r>
    </w:p>
    <w:p w14:paraId="41A3C046" w14:textId="77777777" w:rsidR="00AF69D3" w:rsidRPr="00AA2617" w:rsidRDefault="00AF69D3" w:rsidP="00AA2617">
      <w:pPr>
        <w:pStyle w:val="NumberedParagraph"/>
        <w:numPr>
          <w:ilvl w:val="1"/>
          <w:numId w:val="2"/>
        </w:numPr>
        <w:rPr>
          <w:sz w:val="22"/>
          <w:lang w:val="en-GB"/>
        </w:rPr>
      </w:pPr>
      <w:r w:rsidRPr="00AA2617">
        <w:rPr>
          <w:i/>
          <w:sz w:val="22"/>
          <w:lang w:val="en-GB"/>
        </w:rPr>
        <w:lastRenderedPageBreak/>
        <w:t>Organizational Output 2.3.2:</w:t>
      </w:r>
      <w:r w:rsidRPr="00AA2617">
        <w:rPr>
          <w:sz w:val="22"/>
          <w:lang w:val="en-GB"/>
        </w:rPr>
        <w:t xml:space="preserve"> capacities of institutions strengthened to implement policies and international instruments that foster sustainable production and address climate change and environmental degradation;</w:t>
      </w:r>
    </w:p>
    <w:p w14:paraId="421421AF" w14:textId="77777777" w:rsidR="00AF69D3" w:rsidRPr="00AA2617" w:rsidRDefault="00AF69D3" w:rsidP="00AA2617">
      <w:pPr>
        <w:pStyle w:val="NumberedParagraph"/>
        <w:numPr>
          <w:ilvl w:val="1"/>
          <w:numId w:val="2"/>
        </w:numPr>
        <w:rPr>
          <w:sz w:val="22"/>
          <w:lang w:val="en-GB"/>
        </w:rPr>
      </w:pPr>
      <w:r w:rsidRPr="00AA2617">
        <w:rPr>
          <w:i/>
          <w:sz w:val="22"/>
          <w:lang w:val="en-GB"/>
        </w:rPr>
        <w:t>Organizational Output 2.4.2:</w:t>
      </w:r>
      <w:r w:rsidRPr="00AA2617">
        <w:rPr>
          <w:sz w:val="22"/>
          <w:lang w:val="en-GB"/>
        </w:rPr>
        <w:t xml:space="preserve"> capacities of institutions are strengthened to collect, analyse and report data for decision-making on sustainable production, climate change and environmental degradation, including relevant SDGs, notably goals 2, 7, 12, 13, 14 and 15.</w:t>
      </w:r>
    </w:p>
    <w:p w14:paraId="195D11C4" w14:textId="77777777" w:rsidR="006573C8" w:rsidRPr="00AA2617" w:rsidRDefault="00812E6F" w:rsidP="00AA2617">
      <w:pPr>
        <w:pStyle w:val="Heading2"/>
        <w:rPr>
          <w:rFonts w:cs="Times New Roman"/>
          <w:b/>
          <w:szCs w:val="22"/>
          <w:lang w:val="en-GB"/>
        </w:rPr>
      </w:pPr>
      <w:bookmarkStart w:id="38" w:name="_Toc9249187"/>
      <w:r w:rsidRPr="00AA2617">
        <w:rPr>
          <w:rFonts w:cs="Times New Roman"/>
          <w:b/>
          <w:szCs w:val="22"/>
          <w:lang w:val="en-GB"/>
        </w:rPr>
        <w:t xml:space="preserve">Institutional Stakeholders and </w:t>
      </w:r>
      <w:r w:rsidR="00E32F13" w:rsidRPr="00AA2617">
        <w:rPr>
          <w:rFonts w:cs="Times New Roman"/>
          <w:b/>
          <w:szCs w:val="22"/>
          <w:lang w:val="en-GB"/>
        </w:rPr>
        <w:t>Baseline I</w:t>
      </w:r>
      <w:r w:rsidR="006573C8" w:rsidRPr="00AA2617">
        <w:rPr>
          <w:rFonts w:cs="Times New Roman"/>
          <w:b/>
          <w:szCs w:val="22"/>
          <w:lang w:val="en-GB"/>
        </w:rPr>
        <w:t>nitiatives</w:t>
      </w:r>
      <w:bookmarkEnd w:id="38"/>
    </w:p>
    <w:p w14:paraId="227F41DB" w14:textId="77777777" w:rsidR="00812E6F" w:rsidRPr="00AA2617" w:rsidRDefault="00812E6F" w:rsidP="00AA2617">
      <w:pPr>
        <w:pStyle w:val="NumberedParagraph"/>
        <w:rPr>
          <w:sz w:val="22"/>
          <w:lang w:val="en-GB"/>
        </w:rPr>
      </w:pPr>
      <w:r w:rsidRPr="00AA2617">
        <w:rPr>
          <w:sz w:val="22"/>
          <w:lang w:val="en-GB"/>
        </w:rPr>
        <w:t xml:space="preserve">The baseline initiatives to address the identified barriers and root causes comprise both </w:t>
      </w:r>
      <w:r w:rsidR="007C130D" w:rsidRPr="00AA2617">
        <w:rPr>
          <w:sz w:val="22"/>
          <w:lang w:val="en-GB"/>
        </w:rPr>
        <w:t>institutional</w:t>
      </w:r>
      <w:r w:rsidRPr="00AA2617">
        <w:rPr>
          <w:sz w:val="22"/>
          <w:lang w:val="en-GB"/>
        </w:rPr>
        <w:t xml:space="preserve"> programs </w:t>
      </w:r>
      <w:r w:rsidR="007C130D" w:rsidRPr="00AA2617">
        <w:rPr>
          <w:sz w:val="22"/>
          <w:lang w:val="en-GB"/>
        </w:rPr>
        <w:t xml:space="preserve">(i.e., institutional mandates and long-term initiatives) </w:t>
      </w:r>
      <w:r w:rsidRPr="00AA2617">
        <w:rPr>
          <w:sz w:val="22"/>
          <w:lang w:val="en-GB"/>
        </w:rPr>
        <w:t>and discrete projects—overviews of which are pr</w:t>
      </w:r>
      <w:r w:rsidR="00A23E18" w:rsidRPr="00AA2617">
        <w:rPr>
          <w:sz w:val="22"/>
          <w:lang w:val="en-GB"/>
        </w:rPr>
        <w:t>esented below.</w:t>
      </w:r>
    </w:p>
    <w:p w14:paraId="070E2423" w14:textId="77777777" w:rsidR="00EB3147" w:rsidRPr="00AA2617" w:rsidRDefault="007C130D" w:rsidP="00AA2617">
      <w:pPr>
        <w:pStyle w:val="Heading3"/>
        <w:rPr>
          <w:rFonts w:cs="Times New Roman"/>
          <w:b/>
          <w:szCs w:val="22"/>
          <w:lang w:val="en-GB"/>
        </w:rPr>
      </w:pPr>
      <w:bookmarkStart w:id="39" w:name="_Toc9249188"/>
      <w:r w:rsidRPr="00AA2617">
        <w:rPr>
          <w:rFonts w:cs="Times New Roman"/>
          <w:b/>
          <w:szCs w:val="22"/>
          <w:lang w:val="en-GB"/>
        </w:rPr>
        <w:t>Institutional</w:t>
      </w:r>
      <w:r w:rsidR="00E32F13" w:rsidRPr="00AA2617">
        <w:rPr>
          <w:rFonts w:cs="Times New Roman"/>
          <w:b/>
          <w:szCs w:val="22"/>
          <w:lang w:val="en-GB"/>
        </w:rPr>
        <w:t xml:space="preserve"> programs</w:t>
      </w:r>
      <w:bookmarkEnd w:id="39"/>
    </w:p>
    <w:p w14:paraId="28CC3BFC" w14:textId="77777777" w:rsidR="0035108A" w:rsidRPr="00AA2617" w:rsidRDefault="0035108A" w:rsidP="00AA2617">
      <w:pPr>
        <w:pStyle w:val="NumberedParagraph"/>
        <w:rPr>
          <w:sz w:val="22"/>
          <w:lang w:val="en-GB"/>
        </w:rPr>
      </w:pPr>
      <w:r w:rsidRPr="00AA2617">
        <w:rPr>
          <w:sz w:val="22"/>
          <w:lang w:val="en-GB"/>
        </w:rPr>
        <w:t>The climate agenda of Sri Lanka is guided by two overarching policies: (a)  National Climate Change Policy, which outlines key principles that should be considered when developing climate actions in the energy, transport, industry, waste and agricultural sectors; and (b) “Sri Lanka NEXT - A Blue Green Era” Program, which identifies priority technologies and subsectors for a low carbon economy based on the country’s sustainable development priorities. Sri Lanka plans to achieve its NDC goals from 2021 to 2030, after following a readiness phase for NDC implementation from 2017 to 2020.</w:t>
      </w:r>
    </w:p>
    <w:p w14:paraId="3E25FAB4" w14:textId="77777777" w:rsidR="0035108A" w:rsidRPr="00AA2617" w:rsidRDefault="0035108A" w:rsidP="00AA2617">
      <w:pPr>
        <w:pStyle w:val="NumberedParagraph"/>
        <w:rPr>
          <w:sz w:val="22"/>
          <w:lang w:val="en-GB"/>
        </w:rPr>
      </w:pPr>
      <w:r w:rsidRPr="00AA2617">
        <w:rPr>
          <w:sz w:val="22"/>
          <w:lang w:val="en-GB"/>
        </w:rPr>
        <w:t>The Ministry of Mahaweli Development and Environment is the designated national institutions for CC related commitments. It has established a planning and monitoring committee, consisting of officials of the central and provincial governments, scientists and research groups to inform the development of strategic policies and implementation plans for each sector included in the NDC. A “Readiness Plan for Implementation of INDCs was therefore published by MMDE in 2016 to facilitate the implementation process of NDCs by identifying policy and institutional gaps, as well as technical capacity and resources required to implement the NDCs. The plan was developed in consultation with relevant line Ministries that cover all 14 sectors covered by the NDCs</w:t>
      </w:r>
    </w:p>
    <w:p w14:paraId="520FA228" w14:textId="77777777" w:rsidR="0035108A" w:rsidRPr="00AA2617" w:rsidRDefault="0035108A" w:rsidP="00AA2617">
      <w:pPr>
        <w:pStyle w:val="NumberedParagraph"/>
        <w:rPr>
          <w:sz w:val="22"/>
          <w:lang w:val="en-GB"/>
        </w:rPr>
      </w:pPr>
      <w:r w:rsidRPr="00AA2617">
        <w:rPr>
          <w:sz w:val="22"/>
          <w:lang w:val="en-GB"/>
        </w:rPr>
        <w:t>The Ministry of Agriculture oversees national policies and strategies relevant to food production, agricultural extension, policy support, agricultural marketing and agricultural research.  MoA oversees (i) the proper use of raw materials and resources, (ii) production of staples and field crops, (iii) support of value chain functions and agrarian affairs, (iv) strategies and policies to improve productivity, profitability, and competitiveness and to promote sustainable economic growth in the industry.  In addition to policy implementation and coordination, DoA produces estimates related to crops, harvests, and fertilizer usage.</w:t>
      </w:r>
    </w:p>
    <w:p w14:paraId="3CCCBF69" w14:textId="77777777" w:rsidR="0035108A" w:rsidRPr="00AA2617" w:rsidRDefault="0035108A" w:rsidP="00AA2617">
      <w:pPr>
        <w:pStyle w:val="NumberedParagraph"/>
        <w:rPr>
          <w:sz w:val="22"/>
          <w:lang w:val="en-GB"/>
        </w:rPr>
      </w:pPr>
      <w:r w:rsidRPr="00AA2617">
        <w:rPr>
          <w:sz w:val="22"/>
          <w:lang w:val="en-GB"/>
        </w:rPr>
        <w:t xml:space="preserve">The Department of Meteorology, provides information on weather forecasting, hydro-meteorology, and environmental changes to governmental and private organizations, and coordinates all hydro-meteorological observation networks.  With respect to the scope of adaptation, it is a key provider of data and information on weather for agricultural and fishery sectors. It has its own established MRV framework and regional stations </w:t>
      </w:r>
    </w:p>
    <w:p w14:paraId="15D7E1AF" w14:textId="01687280" w:rsidR="0035108A" w:rsidRPr="00AA2617" w:rsidRDefault="0035108A" w:rsidP="0099059D">
      <w:pPr>
        <w:pStyle w:val="NumberedParagraph"/>
        <w:rPr>
          <w:sz w:val="22"/>
          <w:lang w:val="en-GB"/>
        </w:rPr>
      </w:pPr>
      <w:r w:rsidRPr="00AA2617">
        <w:rPr>
          <w:sz w:val="22"/>
          <w:lang w:val="en-GB"/>
        </w:rPr>
        <w:t>Department of Census and statistics provides integrated management and coordination of national statistical activities and collects, compiles, processes, and disseminates census and industry survey data. The department has its own data producing channels and also depends on ground staff of other state agencies to generate data. This is the agency with the most comprehensive collection of survey and census based information on the population. With respect to AFOLU sector, DCS surveys on agriculture and the standard household survey captures the land use decisions. DCS surveys use the largest representative samples among alls age agencies and number of other state agencies triangulate their evidence and reporting based on DCS resources.</w:t>
      </w:r>
    </w:p>
    <w:p w14:paraId="03E88977" w14:textId="77777777" w:rsidR="0035108A" w:rsidRPr="00AA2617" w:rsidRDefault="0035108A" w:rsidP="00AA2617">
      <w:pPr>
        <w:pStyle w:val="NumberedParagraph"/>
        <w:rPr>
          <w:sz w:val="22"/>
          <w:lang w:val="en-GB"/>
        </w:rPr>
      </w:pPr>
      <w:r w:rsidRPr="00AA2617">
        <w:rPr>
          <w:sz w:val="22"/>
          <w:lang w:val="en-GB"/>
        </w:rPr>
        <w:lastRenderedPageBreak/>
        <w:t>Survey department administers cadastral database, land database, and land-cover image database, and remote sensed information related to area demarcations. The department carries a heavy mandate as key input provider for land use policy and physical planning. In this sense, it has a direct stake in the MRV process related to CC.</w:t>
      </w:r>
    </w:p>
    <w:p w14:paraId="0AEE54AE" w14:textId="77777777" w:rsidR="0035108A" w:rsidRPr="00AA2617" w:rsidRDefault="0035108A" w:rsidP="00AA2617">
      <w:pPr>
        <w:pStyle w:val="NumberedParagraph"/>
        <w:rPr>
          <w:sz w:val="22"/>
          <w:lang w:val="en-GB"/>
        </w:rPr>
      </w:pPr>
      <w:r w:rsidRPr="00AA2617">
        <w:rPr>
          <w:sz w:val="22"/>
          <w:lang w:val="en-GB"/>
        </w:rPr>
        <w:t xml:space="preserve">Land Use Policy and Planning department (LUPPD) is the land use policy making arm of the government. It has the mandate to recommend and advise the state on the natural, social and economic impacts of land use decisions and land use conversions. In the MRV protocols of the AFOLU sector, this is a key stakeholder with a large network of regional offices. Its roles are relevant to both mitigation and adaptation activities. </w:t>
      </w:r>
    </w:p>
    <w:p w14:paraId="74333E65" w14:textId="77777777" w:rsidR="0035108A" w:rsidRPr="00AA2617" w:rsidRDefault="0035108A" w:rsidP="00AA2617">
      <w:pPr>
        <w:pStyle w:val="NumberedParagraph"/>
        <w:rPr>
          <w:sz w:val="22"/>
          <w:lang w:val="en-GB"/>
        </w:rPr>
      </w:pPr>
      <w:r w:rsidRPr="00AA2617">
        <w:rPr>
          <w:sz w:val="22"/>
          <w:lang w:val="en-GB"/>
        </w:rPr>
        <w:t>National Physical Planning department (NPPD) is in charge of physical mapping and zoning in the country. It performs the space and resource allocations for prospective development projects nationally and provincially.  Its functions are important to land use decision making and, reciprocally, land use conversion processes are essential inputs to prospective mapping tasks performed. In mitigation related decision making, NPD has a direct role to play and  has a key role in MRV process.</w:t>
      </w:r>
    </w:p>
    <w:p w14:paraId="74724B24" w14:textId="77777777" w:rsidR="0035108A" w:rsidRPr="00AA2617" w:rsidRDefault="0035108A" w:rsidP="00AA2617">
      <w:pPr>
        <w:pStyle w:val="NumberedParagraph"/>
        <w:rPr>
          <w:sz w:val="22"/>
          <w:lang w:val="en-GB"/>
        </w:rPr>
      </w:pPr>
      <w:r w:rsidRPr="00AA2617">
        <w:rPr>
          <w:sz w:val="22"/>
          <w:lang w:val="en-GB"/>
        </w:rPr>
        <w:t>The Department of Disaster Management performs several key functions related to land use planning, i.e. (i) develops environmental legislation on disaster protection, (ii) provides strategic management of disaster-related prevention, preparedness, and recovery, (iii) evaluates disaster-related risks, (iv) builds disaster-related capacities, (v) organizes searches and rescues, (vi) responds to disasters by restoring and rehabilitating the main infrastructures, and (vii) monitors relevant laws and legislation.  DDM coordinates disaster-related activities of various stakeholders, including non-governmental and governmental organizations, the private sector, community groups, and international organizations.</w:t>
      </w:r>
    </w:p>
    <w:p w14:paraId="6CC6D398" w14:textId="77777777" w:rsidR="0035108A" w:rsidRPr="00AA2617" w:rsidRDefault="0035108A" w:rsidP="00AA2617">
      <w:pPr>
        <w:pStyle w:val="NumberedParagraph"/>
        <w:rPr>
          <w:sz w:val="22"/>
          <w:lang w:val="en-GB"/>
        </w:rPr>
      </w:pPr>
      <w:r w:rsidRPr="00AA2617">
        <w:rPr>
          <w:sz w:val="22"/>
          <w:lang w:val="en-GB"/>
        </w:rPr>
        <w:t>The Department of Animal Production and Health administers the livestock development program including the regular livestock census and researches a wide range of animal-related health issues, including efforts to diagnose, treat, cure, and prevent diseases  in livestock.  Given the role of enteric fermentation in methane released to atmosphere and land use impact of free-range grazing, this institution is a key partner in the MRV efforts for climate change mitigation and adaptation</w:t>
      </w:r>
    </w:p>
    <w:p w14:paraId="22B06774" w14:textId="77777777" w:rsidR="0035108A" w:rsidRPr="00AA2617" w:rsidRDefault="0035108A" w:rsidP="00AA2617">
      <w:pPr>
        <w:pStyle w:val="NumberedParagraph"/>
        <w:rPr>
          <w:sz w:val="22"/>
          <w:lang w:val="en-GB"/>
        </w:rPr>
      </w:pPr>
      <w:r w:rsidRPr="00AA2617">
        <w:rPr>
          <w:sz w:val="22"/>
          <w:lang w:val="en-GB"/>
        </w:rPr>
        <w:t>The NRMC conducts relevant information generation, geo-spatial analysis and research related  to agricultural ecosystems in Sri Lanka. Operating under the DoA, as the custodian center for Soil conservation Act, NRMC is a key institute in agroecological zoning and updating the ecological indicators to support land use decision and policy. NRMC has expertise regarding  environmental assessments, meteorology, hydrology, soil science, and environmental protection technology.</w:t>
      </w:r>
    </w:p>
    <w:p w14:paraId="647DA315" w14:textId="77777777" w:rsidR="0035108A" w:rsidRPr="00AA2617" w:rsidRDefault="0035108A" w:rsidP="00AA2617">
      <w:pPr>
        <w:pStyle w:val="NumberedParagraph"/>
        <w:rPr>
          <w:sz w:val="22"/>
          <w:lang w:val="en-GB"/>
        </w:rPr>
      </w:pPr>
      <w:r w:rsidRPr="00AA2617">
        <w:rPr>
          <w:sz w:val="22"/>
          <w:lang w:val="en-GB"/>
        </w:rPr>
        <w:t>The State Timber Corporation is a state-owned enterprise that oversees forest plantations, forest management, reforestation, and timber development and marketing. It is directly revevant to the forestry sector and indirectly to AFOLU sector. The MRV processes can benefit from STC’s longstanding experience with forest tree seedling establishments, rotational felling and adding value to timber products.</w:t>
      </w:r>
    </w:p>
    <w:p w14:paraId="42E64395" w14:textId="77777777" w:rsidR="0035108A" w:rsidRPr="00AA2617" w:rsidRDefault="0035108A" w:rsidP="00AA2617">
      <w:pPr>
        <w:pStyle w:val="NumberedParagraph"/>
        <w:rPr>
          <w:sz w:val="22"/>
          <w:lang w:val="en-GB"/>
        </w:rPr>
      </w:pPr>
      <w:r w:rsidRPr="00AA2617">
        <w:t xml:space="preserve">The Water Resources Board </w:t>
      </w:r>
      <w:r w:rsidRPr="00AA2617">
        <w:rPr>
          <w:sz w:val="22"/>
          <w:lang w:val="en-GB"/>
        </w:rPr>
        <w:t>conducts research and studies on water-related challenges, including those related to climate change mitigation and adaptation. Given the crucial role water plays in AFOLU sector of Sri Lanka, this board has significant roles to play in planning for surface and underground water resources.</w:t>
      </w:r>
    </w:p>
    <w:p w14:paraId="16BB74A3" w14:textId="77777777" w:rsidR="0035108A" w:rsidRPr="00AA2617" w:rsidRDefault="0035108A" w:rsidP="00AA2617">
      <w:pPr>
        <w:pStyle w:val="NumberedParagraph"/>
        <w:rPr>
          <w:sz w:val="22"/>
          <w:lang w:val="en-GB"/>
        </w:rPr>
      </w:pPr>
      <w:r w:rsidRPr="00AA2617">
        <w:rPr>
          <w:sz w:val="22"/>
          <w:lang w:val="en-GB"/>
        </w:rPr>
        <w:t xml:space="preserve">Central Environmental Authority (CEA) is responsible for specifying environmental standards, as well as coordinating/carrying out reports related to the environmental management of natural resources, fisheries, wildlife, forestry and soil conservation. In accordance with the environmental protection standards and other criteria set out by CEA, sectoral agencies are required to submit an environmental impact assessment report to ensure that environmental considerations are integrated into policies and plans. </w:t>
      </w:r>
    </w:p>
    <w:p w14:paraId="71626C63" w14:textId="77777777" w:rsidR="002D22EA" w:rsidRPr="00AA2617" w:rsidRDefault="00E32F13" w:rsidP="00AA2617">
      <w:pPr>
        <w:pStyle w:val="Heading3"/>
        <w:rPr>
          <w:rFonts w:cs="Times New Roman"/>
          <w:b/>
          <w:szCs w:val="22"/>
          <w:lang w:val="en-GB"/>
        </w:rPr>
      </w:pPr>
      <w:bookmarkStart w:id="40" w:name="_Toc9249189"/>
      <w:r w:rsidRPr="00AA2617">
        <w:rPr>
          <w:b/>
          <w:lang w:val="en-GB"/>
        </w:rPr>
        <w:lastRenderedPageBreak/>
        <w:t>Projects</w:t>
      </w:r>
      <w:bookmarkStart w:id="41" w:name="_Toc488753752"/>
      <w:bookmarkStart w:id="42" w:name="_Toc488753753"/>
      <w:bookmarkEnd w:id="40"/>
      <w:bookmarkEnd w:id="41"/>
      <w:bookmarkEnd w:id="42"/>
    </w:p>
    <w:p w14:paraId="67E514DD" w14:textId="4FA07D4F" w:rsidR="00812E6F" w:rsidRPr="00AA2617" w:rsidRDefault="0015164A" w:rsidP="00AA2617">
      <w:pPr>
        <w:pStyle w:val="NumberedParagraph"/>
        <w:rPr>
          <w:lang w:val="en-GB"/>
        </w:rPr>
      </w:pPr>
      <w:r w:rsidRPr="00AA2617">
        <w:rPr>
          <w:sz w:val="22"/>
          <w:lang w:val="en-GB"/>
        </w:rPr>
        <w:t xml:space="preserve">Many of the identified baseline projects </w:t>
      </w:r>
      <w:r w:rsidR="00F9231F" w:rsidRPr="00AA2617">
        <w:rPr>
          <w:sz w:val="22"/>
          <w:lang w:val="en-GB"/>
        </w:rPr>
        <w:t>address</w:t>
      </w:r>
      <w:r w:rsidRPr="00AA2617">
        <w:rPr>
          <w:sz w:val="22"/>
          <w:lang w:val="en-GB"/>
        </w:rPr>
        <w:t xml:space="preserve"> NDC-related priorities</w:t>
      </w:r>
      <w:r w:rsidR="001B00ED" w:rsidRPr="00AA2617">
        <w:rPr>
          <w:sz w:val="22"/>
          <w:lang w:val="en-GB"/>
        </w:rPr>
        <w:t>.  Therefore, those projects pertain to the ways in which the NDC’s priorities ar</w:t>
      </w:r>
      <w:r w:rsidR="00F9231F" w:rsidRPr="00AA2617">
        <w:rPr>
          <w:sz w:val="22"/>
          <w:lang w:val="en-GB"/>
        </w:rPr>
        <w:t>e operationalized</w:t>
      </w:r>
      <w:r w:rsidR="001B00ED" w:rsidRPr="00AA2617">
        <w:rPr>
          <w:sz w:val="22"/>
          <w:lang w:val="en-GB"/>
        </w:rPr>
        <w:t>, which includes aligning project-based M&amp;E systems with the national approach to climate-related MRV</w:t>
      </w:r>
      <w:r w:rsidR="00333648" w:rsidRPr="00AA2617">
        <w:rPr>
          <w:sz w:val="22"/>
          <w:lang w:val="en-GB"/>
        </w:rPr>
        <w:t xml:space="preserve"> activities</w:t>
      </w:r>
      <w:r w:rsidR="00632BE9" w:rsidRPr="00AA2617">
        <w:rPr>
          <w:sz w:val="22"/>
          <w:lang w:val="en-GB"/>
        </w:rPr>
        <w:t xml:space="preserve">. </w:t>
      </w:r>
      <w:r w:rsidR="001B00ED" w:rsidRPr="00AA2617">
        <w:rPr>
          <w:sz w:val="22"/>
          <w:lang w:val="en-GB"/>
        </w:rPr>
        <w:t xml:space="preserve"> </w:t>
      </w:r>
      <w:r w:rsidR="00F9231F" w:rsidRPr="00AA2617">
        <w:rPr>
          <w:sz w:val="22"/>
          <w:lang w:val="en-GB"/>
        </w:rPr>
        <w:t>Because this CBIT project is focused on the agricultural and land-use sub-sectors, this list of relevant projects pertains to the AFOLU sector.  These are the projects with which this CBIT project will most closely coordinate.  However, this CBIT project will also coordinate with climate-related projects in other sectors.</w:t>
      </w:r>
      <w:r w:rsidR="00A95715" w:rsidRPr="00AA2617">
        <w:rPr>
          <w:sz w:val="22"/>
          <w:lang w:val="en-GB"/>
        </w:rPr>
        <w:t xml:space="preserve">  In addition to those listed, this CBIT project will coordinate closely with </w:t>
      </w:r>
      <w:r w:rsidR="00A83E4F" w:rsidRPr="00AA2617">
        <w:rPr>
          <w:sz w:val="22"/>
          <w:lang w:val="en-GB"/>
        </w:rPr>
        <w:t xml:space="preserve">the </w:t>
      </w:r>
      <w:r w:rsidR="00A83E4F" w:rsidRPr="00AA2617">
        <w:rPr>
          <w:i/>
          <w:sz w:val="22"/>
          <w:lang w:val="en-GB"/>
        </w:rPr>
        <w:t>CBIT Global Coordination Platform</w:t>
      </w:r>
      <w:r w:rsidR="00A83E4F" w:rsidRPr="00AA2617">
        <w:rPr>
          <w:sz w:val="22"/>
          <w:lang w:val="en-GB"/>
        </w:rPr>
        <w:t xml:space="preserve"> </w:t>
      </w:r>
      <w:r w:rsidR="00632BE9" w:rsidRPr="00AA2617">
        <w:rPr>
          <w:sz w:val="22"/>
          <w:lang w:val="en-GB"/>
        </w:rPr>
        <w:t xml:space="preserve">and </w:t>
      </w:r>
      <w:r w:rsidR="00A95715" w:rsidRPr="00AA2617">
        <w:rPr>
          <w:sz w:val="22"/>
          <w:lang w:val="en-GB"/>
        </w:rPr>
        <w:t xml:space="preserve">FAO’s </w:t>
      </w:r>
      <w:r w:rsidR="00536521" w:rsidRPr="00AA2617">
        <w:rPr>
          <w:i/>
          <w:sz w:val="22"/>
          <w:lang w:val="en-GB"/>
        </w:rPr>
        <w:t>Global Capacity-building Towards Enhanced Transparency in the AFOLU Sector</w:t>
      </w:r>
      <w:r w:rsidR="00632BE9" w:rsidRPr="00AA2617">
        <w:rPr>
          <w:sz w:val="22"/>
          <w:lang w:val="en-GB"/>
        </w:rPr>
        <w:t>.</w:t>
      </w:r>
    </w:p>
    <w:p w14:paraId="6489D204" w14:textId="4D593F98" w:rsidR="00632BE9" w:rsidRPr="00AA2617" w:rsidRDefault="00632BE9" w:rsidP="00AA2617">
      <w:pPr>
        <w:pStyle w:val="Heading3"/>
        <w:numPr>
          <w:ilvl w:val="3"/>
          <w:numId w:val="1"/>
        </w:numPr>
        <w:rPr>
          <w:rFonts w:cs="Times New Roman"/>
          <w:b/>
          <w:szCs w:val="22"/>
          <w:lang w:val="en-GB"/>
        </w:rPr>
      </w:pPr>
      <w:bookmarkStart w:id="43" w:name="_Toc9249190"/>
      <w:r w:rsidRPr="00AA2617">
        <w:rPr>
          <w:b/>
          <w:lang w:val="en-GB"/>
        </w:rPr>
        <w:t>GEF Projects</w:t>
      </w:r>
      <w:bookmarkEnd w:id="43"/>
    </w:p>
    <w:p w14:paraId="5AF42DB1" w14:textId="77777777" w:rsidR="00632BE9" w:rsidRPr="00AA2617" w:rsidRDefault="00632BE9" w:rsidP="00AA2617">
      <w:pPr>
        <w:pStyle w:val="NumberedParagraph"/>
        <w:numPr>
          <w:ilvl w:val="0"/>
          <w:numId w:val="0"/>
        </w:numPr>
        <w:ind w:left="180"/>
        <w:rPr>
          <w:lang w:val="en-GB"/>
        </w:rPr>
      </w:pPr>
    </w:p>
    <w:p w14:paraId="012FF0D8" w14:textId="77777777" w:rsidR="00632BE9" w:rsidRPr="00AA2617" w:rsidRDefault="00632BE9" w:rsidP="00AA2617">
      <w:pPr>
        <w:pStyle w:val="NumberedParagraph"/>
        <w:rPr>
          <w:sz w:val="22"/>
          <w:lang w:val="en-GB"/>
        </w:rPr>
      </w:pPr>
      <w:r w:rsidRPr="00AA2617">
        <w:rPr>
          <w:sz w:val="22"/>
          <w:lang w:val="en-GB"/>
        </w:rPr>
        <w:t>GEF-UNDP funded National Capacity Needs Self Assessment (NCSA) from 2005- 2006 This project was carried out by the Ministry of Environment. The National Capacity Needs Self Assessment Project (NCSA) resulted in preparation of the NCSA Action Plan based on a thematic assessment of existing capacity to address climate change, biodiversity conservation and land degradation by the Ministry of Environment (and Natural Resources).</w:t>
      </w:r>
    </w:p>
    <w:p w14:paraId="27373103" w14:textId="77777777" w:rsidR="00632BE9" w:rsidRPr="00AA2617" w:rsidRDefault="00632BE9" w:rsidP="00AA2617">
      <w:pPr>
        <w:pStyle w:val="NumberedParagraph"/>
        <w:rPr>
          <w:sz w:val="22"/>
          <w:lang w:val="en-GB"/>
        </w:rPr>
      </w:pPr>
      <w:r w:rsidRPr="00AA2617">
        <w:rPr>
          <w:sz w:val="22"/>
          <w:lang w:val="en-GB"/>
        </w:rPr>
        <w:t xml:space="preserve">Enhancing Biodiversity Conservation and Sustenance of Ecosystem Services in Environmentally Sensitive Areas in Sri Lanka (2013) is a biodiversity focused  project under </w:t>
      </w:r>
      <w:r w:rsidRPr="00AA2617">
        <w:rPr>
          <w:sz w:val="22"/>
          <w:lang w:val="en-GB"/>
        </w:rPr>
        <w:tab/>
        <w:t xml:space="preserve">United Nations Development Programme. It aims to To operationalize Environment Sensitive Areas (ESAs) as a mechanism for mainstreaming biodiversity management into development in areas of high conservation significance. </w:t>
      </w:r>
    </w:p>
    <w:p w14:paraId="0B600FD1" w14:textId="77777777" w:rsidR="00632BE9" w:rsidRPr="00AA2617" w:rsidRDefault="00632BE9" w:rsidP="00AA2617">
      <w:pPr>
        <w:pStyle w:val="NumberedParagraph"/>
        <w:rPr>
          <w:sz w:val="22"/>
          <w:lang w:val="en-GB"/>
        </w:rPr>
      </w:pPr>
      <w:r w:rsidRPr="00AA2617">
        <w:rPr>
          <w:sz w:val="22"/>
          <w:lang w:val="en-GB"/>
        </w:rPr>
        <w:t xml:space="preserve">Healthy Landscapes: Managing Agricultural Landscapes in Socio-ecologically Sensitive Areas to Promote Food Security, Well-being and Ecosystem Health (2017) is addressing Biodiversity and Land Degradation in ecologically sensitive areas under UNDP coordination and participation of Ministry of Mahaweli Development and Environment, Mahaweli Authority of Sri Lanka, Ministry of Agriculture, Department of Agriculture,  and Bioversity International. </w:t>
      </w:r>
    </w:p>
    <w:p w14:paraId="7F4B8E17" w14:textId="77777777" w:rsidR="00632BE9" w:rsidRPr="00AA2617" w:rsidRDefault="00632BE9" w:rsidP="00AA2617">
      <w:pPr>
        <w:pStyle w:val="NumberedParagraph"/>
        <w:rPr>
          <w:sz w:val="22"/>
          <w:lang w:val="en-GB"/>
        </w:rPr>
      </w:pPr>
      <w:r w:rsidRPr="00AA2617">
        <w:rPr>
          <w:sz w:val="22"/>
          <w:lang w:val="en-GB"/>
        </w:rPr>
        <w:t>Third National Communication (TNC) to the UNFCCC (2016) is a project aimed at supporting the CCS to generate the TNC under the coordination of UNDP.</w:t>
      </w:r>
    </w:p>
    <w:p w14:paraId="109703A7" w14:textId="77777777" w:rsidR="00632BE9" w:rsidRPr="00AA2617" w:rsidRDefault="00632BE9" w:rsidP="00AA2617">
      <w:pPr>
        <w:pStyle w:val="NumberedParagraph"/>
        <w:rPr>
          <w:sz w:val="22"/>
          <w:lang w:val="en-GB"/>
        </w:rPr>
      </w:pPr>
      <w:r w:rsidRPr="00AA2617">
        <w:rPr>
          <w:sz w:val="22"/>
          <w:lang w:val="en-GB"/>
        </w:rPr>
        <w:t xml:space="preserve">Rehabilitation of Degraded Agricultural Lands in the Central Highlands (2014) is joint project of GEF with FAO to address land degradation in the vulnerable landscapes of the mountainous areas of the country. The MMDE is the coordination partner from the government. </w:t>
      </w:r>
    </w:p>
    <w:p w14:paraId="0C73E022" w14:textId="77777777" w:rsidR="00632BE9" w:rsidRPr="00AA2617" w:rsidRDefault="00632BE9" w:rsidP="00AA2617">
      <w:pPr>
        <w:pStyle w:val="NumberedParagraph"/>
        <w:rPr>
          <w:sz w:val="22"/>
          <w:lang w:val="en-GB"/>
        </w:rPr>
      </w:pPr>
      <w:r w:rsidRPr="00AA2617">
        <w:rPr>
          <w:sz w:val="22"/>
          <w:lang w:val="en-GB"/>
        </w:rPr>
        <w:t xml:space="preserve">Mainstreaming Agrobiodiversity Conservation and Use in Sri Lankan Agro-ecosystems for Livelihoods and Adaptation to Climate Change (2010) is a joint GEF –UNEP project implemented through The Ministry of Environment and natural Resources, Sri Lanka; Department of Agriculture, Sri Lanka, Platform for Agrobiodiversity Research and Biodiversity International aiming at conserving biodiversity in selected locations of the country. </w:t>
      </w:r>
    </w:p>
    <w:p w14:paraId="546A303F" w14:textId="77777777" w:rsidR="00632BE9" w:rsidRPr="00AA2617" w:rsidRDefault="00632BE9" w:rsidP="00AA2617">
      <w:pPr>
        <w:pStyle w:val="NumberedParagraph"/>
        <w:rPr>
          <w:sz w:val="22"/>
          <w:lang w:val="en-GB"/>
        </w:rPr>
      </w:pPr>
      <w:r w:rsidRPr="00AA2617">
        <w:rPr>
          <w:sz w:val="22"/>
          <w:lang w:val="en-GB"/>
        </w:rPr>
        <w:t xml:space="preserve">Protected Areas and Wildlife Conservation Project (2001) was conducted in liaison with ADB and WB in order to promote biodiversity. </w:t>
      </w:r>
    </w:p>
    <w:p w14:paraId="21479EC6" w14:textId="25E219EE" w:rsidR="000B2194" w:rsidRPr="00AA2617" w:rsidRDefault="000B2194" w:rsidP="00AA2617">
      <w:pPr>
        <w:pStyle w:val="Heading3"/>
        <w:numPr>
          <w:ilvl w:val="3"/>
          <w:numId w:val="1"/>
        </w:numPr>
        <w:rPr>
          <w:b/>
          <w:lang w:val="en-GB"/>
        </w:rPr>
      </w:pPr>
      <w:bookmarkStart w:id="44" w:name="_Toc9249191"/>
      <w:r w:rsidRPr="00AA2617">
        <w:rPr>
          <w:b/>
          <w:lang w:val="en-GB"/>
        </w:rPr>
        <w:t>Other UN/MDA projects</w:t>
      </w:r>
      <w:bookmarkEnd w:id="44"/>
    </w:p>
    <w:p w14:paraId="7EFDAB27" w14:textId="01BA3CEA" w:rsidR="00804BCF" w:rsidRPr="00AA2617" w:rsidRDefault="00804BCF" w:rsidP="00AA2617">
      <w:pPr>
        <w:pStyle w:val="NumberedParagraph"/>
        <w:rPr>
          <w:sz w:val="22"/>
          <w:lang w:val="en-GB"/>
        </w:rPr>
      </w:pPr>
      <w:r w:rsidRPr="00AA2617">
        <w:rPr>
          <w:sz w:val="22"/>
          <w:lang w:val="en-GB"/>
        </w:rPr>
        <w:t>UN-REDD:  The UN-REDD National Program will complete its current phase of operations in November 2018.  The program continues to yield significant advances in technical and technological capacities that are well suited to scaling-up to the rest of AFOLU sector, other sectors, and other countries.  Lessons learned to date from UN-REDD in strengthening MRV as a basis for building access to results-based payments will also inform this CBIT project’s guidance on aligning the broader AFOLU MRV approach to facilitate potential future access to international off-set markets (e.g., carbon markets).</w:t>
      </w:r>
    </w:p>
    <w:p w14:paraId="649BF7D1" w14:textId="77777777" w:rsidR="00804BCF" w:rsidRPr="00AA2617" w:rsidRDefault="00804BCF" w:rsidP="00AA2617">
      <w:pPr>
        <w:pStyle w:val="NumberedParagraph"/>
        <w:rPr>
          <w:sz w:val="22"/>
          <w:lang w:val="en-GB"/>
        </w:rPr>
      </w:pPr>
      <w:r w:rsidRPr="00AA2617">
        <w:rPr>
          <w:sz w:val="22"/>
          <w:lang w:val="en-GB"/>
        </w:rPr>
        <w:lastRenderedPageBreak/>
        <w:t>Man and the Biosphere Programme (MAB) programme of UNESCO convened by the National Science Foundation (NSF).The Sri Lanka MAB Programme has been in existence since the 1980s. A main aim of this programme is to adopt the MAB concept for management and conservation of forests in four international Biosphere Reserves belonging to Category IX under the IUCN system of classification. These sites are established to promote and demonstrate a balanced relationship between humans and the biosphere, and thereby take a people-centred approach, and are designed to offer solutions to conserving the environment to ensure sustainable development for people through reconciling the objectives of conserving biological resources with sustainable use of the environment and its resources.</w:t>
      </w:r>
    </w:p>
    <w:p w14:paraId="7A7544AD" w14:textId="77777777" w:rsidR="00804BCF" w:rsidRPr="00AA2617" w:rsidRDefault="00804BCF" w:rsidP="00AA2617">
      <w:pPr>
        <w:pStyle w:val="NumberedParagraph"/>
        <w:rPr>
          <w:sz w:val="22"/>
          <w:lang w:val="en-GB"/>
        </w:rPr>
      </w:pPr>
      <w:r w:rsidRPr="00AA2617">
        <w:rPr>
          <w:sz w:val="22"/>
          <w:lang w:val="en-GB"/>
        </w:rPr>
        <w:t>Sri Lanka Australia Natural Resources Management Project (SLANRMP): This was a  very comprehensive  initiative for poverty reduction through improved natural resource management in selected areas of the Intermediate and Dry Zone with the participation of local people. Its contributions in the area of improving livelihoods associated with farming and forestry have been prominent in the 1990s. The project was also influential in consolidatinf Sri Lanka’s social forestry program under the extension division of DFC.</w:t>
      </w:r>
    </w:p>
    <w:p w14:paraId="7FD8938F" w14:textId="77777777" w:rsidR="00804BCF" w:rsidRPr="00AA2617" w:rsidRDefault="00804BCF" w:rsidP="00AA2617">
      <w:pPr>
        <w:pStyle w:val="NumberedParagraph"/>
        <w:rPr>
          <w:sz w:val="22"/>
          <w:lang w:val="en-GB"/>
        </w:rPr>
      </w:pPr>
      <w:r w:rsidRPr="00AA2617">
        <w:rPr>
          <w:sz w:val="22"/>
          <w:lang w:val="en-GB"/>
        </w:rPr>
        <w:t>Protected Area Management and Wildlife Conservation (PAM&amp;WLC) Project (2001- 2008): This project was carried out by the DWLC to implement participatory adaptive management in pilot protected Areas and to facilitate community participation for buffer zone development. Component D of this project dealt with Sustainable Financing for Community Partnership Building. Under this, a new feature for the DWLC was the establishment or strengthening CBOs in the buffer zones of eight Protected Areas and providing them with micro credit facilities to establish new ventures. CBOs were strengthened with funds from the Protected Area Conservation Fund (PACF) designed to provide assistance to the fringe dwellers around the selected PAs to establish a range of ventures including agriculture development, carpentry work, poultry farming, retail shops, computer training centres, cottage industries and manufacturing dairy products to reduce illegal forest use.</w:t>
      </w:r>
    </w:p>
    <w:p w14:paraId="32A1D8C0" w14:textId="77777777" w:rsidR="00804BCF" w:rsidRPr="00AA2617" w:rsidRDefault="00804BCF" w:rsidP="00AA2617">
      <w:pPr>
        <w:pStyle w:val="NumberedParagraph"/>
        <w:rPr>
          <w:sz w:val="22"/>
          <w:lang w:val="en-GB"/>
        </w:rPr>
      </w:pPr>
      <w:r w:rsidRPr="00AA2617">
        <w:rPr>
          <w:sz w:val="22"/>
          <w:lang w:val="en-GB"/>
        </w:rPr>
        <w:t>ADB-assisted Plantation Reform Project (1998-2004): Leaseholders were given the right to harvest trees on their premises on prescriptions of management plans approved by the FD through the formulation of 21 Regional Plantation Companies in the latter part of the 1990s and by clustering government-owned tea, coconut and rubber plantations and leasing them on 99-year lease agreements to the private sector.</w:t>
      </w:r>
    </w:p>
    <w:p w14:paraId="060504B6" w14:textId="77777777" w:rsidR="00804BCF" w:rsidRPr="00AA2617" w:rsidRDefault="00804BCF" w:rsidP="00AA2617">
      <w:pPr>
        <w:pStyle w:val="NumberedParagraph"/>
        <w:rPr>
          <w:sz w:val="22"/>
          <w:lang w:val="en-GB"/>
        </w:rPr>
      </w:pPr>
      <w:r w:rsidRPr="00AA2617">
        <w:rPr>
          <w:sz w:val="22"/>
          <w:lang w:val="en-GB"/>
        </w:rPr>
        <w:t>UNDP-funded Integrated Strategic Environmental Assessment (2009): This was an environmental assessment project carried out by the CEA to prepare zoning plans for development of the under-developed areas including the Northern region after the end of the 30-year internal conflict. The assessment has been completed for Hambantota and Trincomalee Districts. The project had substantive impacts on the AFOLU sectors of the selected areas.</w:t>
      </w:r>
    </w:p>
    <w:p w14:paraId="6E0989F0" w14:textId="77777777" w:rsidR="00804BCF" w:rsidRPr="00AA2617" w:rsidRDefault="00804BCF" w:rsidP="00AA2617">
      <w:pPr>
        <w:rPr>
          <w:lang w:val="en-GB"/>
        </w:rPr>
      </w:pPr>
    </w:p>
    <w:p w14:paraId="4629799C" w14:textId="77777777" w:rsidR="009A0155" w:rsidRPr="00AA2617" w:rsidRDefault="009A0155" w:rsidP="00AA2617">
      <w:pPr>
        <w:rPr>
          <w:rFonts w:eastAsiaTheme="majorEastAsia" w:cs="Times New Roman"/>
          <w:b/>
          <w:bCs/>
          <w:smallCaps/>
          <w:sz w:val="22"/>
          <w:lang w:val="en-GB"/>
        </w:rPr>
      </w:pPr>
      <w:r w:rsidRPr="00AA2617">
        <w:rPr>
          <w:lang w:val="en-GB"/>
        </w:rPr>
        <w:br w:type="page"/>
      </w:r>
    </w:p>
    <w:p w14:paraId="44DD6C1A" w14:textId="4929081F" w:rsidR="00DB113C" w:rsidRPr="00AA2617" w:rsidRDefault="00DB113C" w:rsidP="00AA2617">
      <w:pPr>
        <w:pStyle w:val="ProDocSectionHeading"/>
        <w:rPr>
          <w:lang w:val="en-GB"/>
        </w:rPr>
      </w:pPr>
      <w:bookmarkStart w:id="45" w:name="_Toc9249192"/>
      <w:r w:rsidRPr="00AA2617">
        <w:rPr>
          <w:lang w:val="en-GB"/>
        </w:rPr>
        <w:lastRenderedPageBreak/>
        <w:t>S</w:t>
      </w:r>
      <w:r w:rsidR="00672E37" w:rsidRPr="00AA2617">
        <w:rPr>
          <w:lang w:val="en-GB"/>
        </w:rPr>
        <w:t>ection 2:  Project Governance and Operational Arrangements</w:t>
      </w:r>
      <w:bookmarkEnd w:id="45"/>
    </w:p>
    <w:p w14:paraId="7D88E986" w14:textId="77777777" w:rsidR="00DB113C" w:rsidRPr="00AA2617" w:rsidRDefault="00DB113C" w:rsidP="00AA2617">
      <w:pPr>
        <w:pStyle w:val="ListParagraph"/>
        <w:keepNext/>
        <w:keepLines/>
        <w:numPr>
          <w:ilvl w:val="0"/>
          <w:numId w:val="1"/>
        </w:numPr>
        <w:spacing w:before="40"/>
        <w:contextualSpacing w:val="0"/>
        <w:outlineLvl w:val="1"/>
        <w:rPr>
          <w:rFonts w:eastAsiaTheme="majorEastAsia" w:cs="Times New Roman"/>
          <w:vanish/>
          <w:sz w:val="26"/>
          <w:szCs w:val="26"/>
          <w:lang w:val="en-GB"/>
        </w:rPr>
      </w:pPr>
      <w:bookmarkStart w:id="46" w:name="_Toc474848380"/>
      <w:bookmarkStart w:id="47" w:name="_Toc483304572"/>
      <w:bookmarkStart w:id="48" w:name="_Toc483304699"/>
      <w:bookmarkStart w:id="49" w:name="_Toc483316066"/>
      <w:bookmarkStart w:id="50" w:name="_Toc485296306"/>
      <w:bookmarkStart w:id="51" w:name="_Toc486324891"/>
      <w:bookmarkStart w:id="52" w:name="_Toc486406294"/>
      <w:bookmarkStart w:id="53" w:name="_Toc488753778"/>
      <w:bookmarkStart w:id="54" w:name="_Toc491187172"/>
      <w:bookmarkStart w:id="55" w:name="_Toc491272907"/>
      <w:bookmarkStart w:id="56" w:name="_Toc491359873"/>
      <w:bookmarkStart w:id="57" w:name="_Toc493079910"/>
      <w:bookmarkStart w:id="58" w:name="_Toc493083880"/>
      <w:bookmarkStart w:id="59" w:name="_Toc493084275"/>
      <w:bookmarkStart w:id="60" w:name="_Toc493084422"/>
      <w:bookmarkStart w:id="61" w:name="_Toc493084785"/>
      <w:bookmarkStart w:id="62" w:name="_Toc493084931"/>
      <w:bookmarkStart w:id="63" w:name="_Toc493085075"/>
      <w:bookmarkStart w:id="64" w:name="_Toc493085429"/>
      <w:bookmarkStart w:id="65" w:name="_Toc493085529"/>
      <w:bookmarkStart w:id="66" w:name="_Toc494724820"/>
      <w:bookmarkStart w:id="67" w:name="_Toc494724894"/>
      <w:bookmarkStart w:id="68" w:name="_Toc494802308"/>
      <w:bookmarkStart w:id="69" w:name="_Toc494803165"/>
      <w:bookmarkStart w:id="70" w:name="_Toc494805887"/>
      <w:bookmarkStart w:id="71" w:name="_Toc494901737"/>
      <w:bookmarkStart w:id="72" w:name="_Toc494990100"/>
      <w:bookmarkStart w:id="73" w:name="_Toc494990207"/>
      <w:bookmarkStart w:id="74" w:name="_Toc494990792"/>
      <w:bookmarkStart w:id="75" w:name="_Toc498418922"/>
      <w:bookmarkStart w:id="76" w:name="_Toc498422987"/>
      <w:bookmarkStart w:id="77" w:name="_Toc498530614"/>
      <w:bookmarkStart w:id="78" w:name="_Toc498530750"/>
      <w:bookmarkStart w:id="79" w:name="_Toc498530868"/>
      <w:bookmarkStart w:id="80" w:name="_Toc498531095"/>
      <w:bookmarkStart w:id="81" w:name="_Toc498531168"/>
      <w:bookmarkStart w:id="82" w:name="_Toc498531258"/>
      <w:bookmarkStart w:id="83" w:name="_Toc507323024"/>
      <w:bookmarkStart w:id="84" w:name="_Toc507323187"/>
      <w:bookmarkStart w:id="85" w:name="_Toc509860880"/>
      <w:bookmarkStart w:id="86" w:name="_Toc510091835"/>
      <w:bookmarkStart w:id="87" w:name="_Toc510451031"/>
      <w:bookmarkStart w:id="88" w:name="_Toc510536435"/>
      <w:bookmarkStart w:id="89" w:name="_Toc513643661"/>
      <w:bookmarkStart w:id="90" w:name="_Toc514005628"/>
      <w:bookmarkStart w:id="91" w:name="_Toc514005830"/>
      <w:bookmarkStart w:id="92" w:name="_Toc514007051"/>
      <w:bookmarkStart w:id="93" w:name="_Toc514206836"/>
      <w:bookmarkStart w:id="94" w:name="_Toc514226125"/>
      <w:bookmarkStart w:id="95" w:name="_Toc514761658"/>
      <w:bookmarkStart w:id="96" w:name="_Toc514930534"/>
      <w:bookmarkStart w:id="97" w:name="_Toc515017325"/>
      <w:bookmarkStart w:id="98" w:name="_Toc1332988"/>
      <w:bookmarkStart w:id="99" w:name="_Toc2673065"/>
      <w:bookmarkStart w:id="100" w:name="_Toc3706307"/>
      <w:bookmarkStart w:id="101" w:name="_Toc3751435"/>
      <w:bookmarkStart w:id="102" w:name="_Toc5366979"/>
      <w:bookmarkStart w:id="103" w:name="_Toc8031380"/>
      <w:bookmarkStart w:id="104" w:name="_Toc8037049"/>
      <w:bookmarkStart w:id="105" w:name="_Toc8042206"/>
      <w:bookmarkStart w:id="106" w:name="_Toc8042280"/>
      <w:bookmarkStart w:id="107" w:name="_Toc8042356"/>
      <w:bookmarkStart w:id="108" w:name="_Toc8905196"/>
      <w:bookmarkStart w:id="109" w:name="_Toc8905292"/>
      <w:bookmarkStart w:id="110" w:name="_Toc8905390"/>
      <w:bookmarkStart w:id="111" w:name="_Toc8905465"/>
      <w:bookmarkStart w:id="112" w:name="_Toc8912710"/>
      <w:bookmarkStart w:id="113" w:name="_Toc9244937"/>
      <w:bookmarkStart w:id="114" w:name="_Toc9249122"/>
      <w:bookmarkStart w:id="115" w:name="_Toc9249193"/>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14:paraId="0873AFD8" w14:textId="77777777" w:rsidR="0010018B" w:rsidRPr="00AA2617" w:rsidRDefault="0010018B" w:rsidP="00AA2617">
      <w:pPr>
        <w:pStyle w:val="Heading2"/>
        <w:rPr>
          <w:b/>
          <w:lang w:val="en-GB"/>
        </w:rPr>
      </w:pPr>
      <w:bookmarkStart w:id="116" w:name="_Toc474848381"/>
      <w:bookmarkStart w:id="117" w:name="_Toc483304573"/>
      <w:bookmarkStart w:id="118" w:name="_Toc483304700"/>
      <w:bookmarkStart w:id="119" w:name="_Toc483316067"/>
      <w:bookmarkStart w:id="120" w:name="_Toc485296307"/>
      <w:bookmarkStart w:id="121" w:name="_Toc486324892"/>
      <w:bookmarkStart w:id="122" w:name="_Toc486406295"/>
      <w:bookmarkStart w:id="123" w:name="_Toc9249194"/>
      <w:bookmarkEnd w:id="116"/>
      <w:bookmarkEnd w:id="117"/>
      <w:bookmarkEnd w:id="118"/>
      <w:bookmarkEnd w:id="119"/>
      <w:bookmarkEnd w:id="120"/>
      <w:bookmarkEnd w:id="121"/>
      <w:bookmarkEnd w:id="122"/>
      <w:r w:rsidRPr="00AA2617">
        <w:rPr>
          <w:b/>
          <w:lang w:val="en-GB"/>
        </w:rPr>
        <w:t>Stakeholder Engagement</w:t>
      </w:r>
      <w:bookmarkEnd w:id="123"/>
    </w:p>
    <w:p w14:paraId="592DB62D" w14:textId="1AC18E50" w:rsidR="00CC10F1" w:rsidRPr="00AA2617" w:rsidRDefault="00192E2C" w:rsidP="00AA2617">
      <w:pPr>
        <w:pStyle w:val="NumberedParagraph"/>
        <w:rPr>
          <w:sz w:val="22"/>
          <w:lang w:val="en-GB"/>
        </w:rPr>
      </w:pPr>
      <w:r w:rsidRPr="00AA2617">
        <w:rPr>
          <w:sz w:val="22"/>
          <w:lang w:val="en-GB"/>
        </w:rPr>
        <w:t>Various stakeholders—including governmental agencies, academic and research institutions, international organizations, and CSOs/ NGOs—have been extensively consulted during this project’s development.  FAO consultants have conducted numerous one to one meeting with the highest government profiles to develop the concept, agree on implementation arrangements, and the specifi</w:t>
      </w:r>
      <w:r w:rsidR="005D1A28" w:rsidRPr="00AA2617">
        <w:rPr>
          <w:sz w:val="22"/>
          <w:lang w:val="en-GB"/>
        </w:rPr>
        <w:t>c output relevant to Sri Lanka.</w:t>
      </w:r>
      <w:r w:rsidRPr="00AA2617">
        <w:rPr>
          <w:sz w:val="22"/>
          <w:lang w:val="en-GB"/>
        </w:rPr>
        <w:t xml:space="preserve"> The final design of this project was also validated at a workshop with multi stakeholders in February 21st, 2019 . Annex 4 presents the summary report for the workshop conducted. Annex 5 provides the participant list and agenda for that workshop.  As noted below (see Section 2.2.2), various stakeholders will be extensively involved in the delivery of this project via execution partnerships, co-financed activities, representation on the project’s steering committee, </w:t>
      </w:r>
      <w:r w:rsidR="005D1A28" w:rsidRPr="00AA2617">
        <w:rPr>
          <w:i/>
          <w:iCs/>
          <w:sz w:val="22"/>
          <w:lang w:val="en-GB"/>
        </w:rPr>
        <w:t>Stakeholder Engagement</w:t>
      </w:r>
      <w:r w:rsidR="005D1A28" w:rsidRPr="00AA2617">
        <w:rPr>
          <w:sz w:val="22"/>
          <w:lang w:val="en-GB"/>
        </w:rPr>
        <w:t xml:space="preserve"> </w:t>
      </w:r>
      <w:r w:rsidR="00022F28" w:rsidRPr="00AA2617">
        <w:rPr>
          <w:sz w:val="22"/>
          <w:lang w:val="en-GB"/>
        </w:rPr>
        <w:t>k</w:t>
      </w:r>
      <w:r w:rsidRPr="00AA2617">
        <w:rPr>
          <w:sz w:val="22"/>
          <w:lang w:val="en-GB"/>
        </w:rPr>
        <w:t>nowledge-sharing, project workshops, etc.</w:t>
      </w:r>
    </w:p>
    <w:p w14:paraId="49B2CBD7" w14:textId="77777777" w:rsidR="0010018B" w:rsidRPr="00AA2617" w:rsidRDefault="008777C2" w:rsidP="00AA2617">
      <w:pPr>
        <w:pStyle w:val="Heading2"/>
        <w:rPr>
          <w:b/>
          <w:szCs w:val="22"/>
          <w:lang w:val="en-GB"/>
        </w:rPr>
      </w:pPr>
      <w:bookmarkStart w:id="124" w:name="_Toc9249195"/>
      <w:r w:rsidRPr="00AA2617">
        <w:rPr>
          <w:b/>
          <w:szCs w:val="22"/>
          <w:lang w:val="en-GB"/>
        </w:rPr>
        <w:t>Project Governance</w:t>
      </w:r>
      <w:bookmarkEnd w:id="124"/>
    </w:p>
    <w:p w14:paraId="6B42DBBB" w14:textId="77777777" w:rsidR="0010018B" w:rsidRPr="00AA2617" w:rsidRDefault="0010018B" w:rsidP="00AA2617">
      <w:pPr>
        <w:pStyle w:val="Heading3"/>
        <w:rPr>
          <w:b/>
          <w:szCs w:val="22"/>
          <w:lang w:val="en-GB"/>
        </w:rPr>
      </w:pPr>
      <w:bookmarkStart w:id="125" w:name="_Toc9249196"/>
      <w:r w:rsidRPr="00AA2617">
        <w:rPr>
          <w:b/>
          <w:szCs w:val="22"/>
          <w:lang w:val="en-GB"/>
        </w:rPr>
        <w:t>Operational mode</w:t>
      </w:r>
      <w:bookmarkEnd w:id="125"/>
    </w:p>
    <w:p w14:paraId="70EACF89" w14:textId="539E809D" w:rsidR="0039560F" w:rsidRPr="00AA2617" w:rsidRDefault="0039560F" w:rsidP="00AA2617">
      <w:pPr>
        <w:pStyle w:val="NumberedParagraph"/>
        <w:rPr>
          <w:sz w:val="22"/>
          <w:lang w:val="en-GB"/>
        </w:rPr>
      </w:pPr>
      <w:r w:rsidRPr="00AA2617">
        <w:rPr>
          <w:sz w:val="22"/>
          <w:lang w:val="en-GB"/>
        </w:rPr>
        <w:t>Project Management Unit (PMU). The Project Management Unit (PMU) will coordinate the daily execution of the project’s activities. The PMU will be co-located with Climate Unit of Climate Change Secretariat (CCS) under the Ministry of Mahaweli Development and Environment at the National Level and operate through the relevant government departments at the district level Based on delegation from the BH</w:t>
      </w:r>
      <w:r w:rsidRPr="00AA2617">
        <w:footnoteReference w:id="38"/>
      </w:r>
      <w:r w:rsidRPr="00AA2617">
        <w:rPr>
          <w:sz w:val="22"/>
          <w:lang w:val="en-GB"/>
        </w:rPr>
        <w:t>, the PMU will be led by a National Project Manager (NPM)  and will be supported by an Administrative Officer, and a Finance Officer. These three staff will be the core staff within the PMU. The NPM will work closely with the governmental counterpart, the National Project Director (NPD), who will be designated by the government to manage the government’s side of the project’s daily operations.  It is anticipated that the NPD will be a member of CCS.  The National Project Manager (NPM) will facilitate a decision-driven approach to the project’s outcomes, including mitigation-related MRV, adaptation-related M&amp;R, and project-related M&amp;E. The NPM will help to ensure that capacities and systems are developed to produce action-oriented information that efficiently enables stakeholders to achieve national and local climate-related goals, especially those of the NDC.  . During the project inception phase and ongoing implementation, the NPM will identify the specific technical assistance required for the project implementation and strengthen the quality inputs to guide the project towards the intended outcomes.  It is expected that the PMU’s  National Project Manager will split his/ her 20% of time between the PMU’s and FAO’s offices in order to coordinate FAO’s administrative support of the PMU’s operational arrangements. Appendix 6 contains abbreviated, provisional ToRs for members of the PMU.</w:t>
      </w:r>
    </w:p>
    <w:p w14:paraId="22D8A4F0" w14:textId="77777777" w:rsidR="0039560F" w:rsidRPr="00AA2617" w:rsidRDefault="0039560F" w:rsidP="00AA2617">
      <w:pPr>
        <w:pStyle w:val="NumberedParagraph"/>
        <w:rPr>
          <w:sz w:val="22"/>
          <w:lang w:val="en-GB"/>
        </w:rPr>
      </w:pPr>
      <w:r w:rsidRPr="00AA2617">
        <w:rPr>
          <w:sz w:val="22"/>
          <w:lang w:val="en-GB"/>
        </w:rPr>
        <w:t>The PMU will arrange for execution through various forms of agreements (e.g., MOUs, LOAs, contracts, procurement, and coordinated activities) with appropriate stakeholders. The PMU will endeavor, as appropriate and practical, to execute the project’s activities through the stakeholders who will be expected to continue those activities after the project has ended—the post-project responsible stakeholder (PPRS). If the PPRS does not currently have the capacity to deliver the required activities, the PMU will coordinate with the PPRS to establish a transitional plan that enables the project’s activities to be completed while building the capacities of the PPRS. The aim is to ensure that, by the end of the project, the PPRS is fully capacitated to conduct its post-project responsibilities. Ideally, the PPRS will take over those responsibilities prior to the end of the project and any transition of responsibilities will be gradual or phased.</w:t>
      </w:r>
    </w:p>
    <w:p w14:paraId="6C3C41CF" w14:textId="77777777" w:rsidR="0039560F" w:rsidRPr="00AA2617" w:rsidRDefault="0039560F" w:rsidP="00AA2617">
      <w:pPr>
        <w:pStyle w:val="NumberedParagraph"/>
        <w:rPr>
          <w:sz w:val="22"/>
          <w:lang w:val="en-GB"/>
        </w:rPr>
      </w:pPr>
      <w:r w:rsidRPr="00AA2617">
        <w:rPr>
          <w:sz w:val="22"/>
          <w:lang w:val="en-GB"/>
        </w:rPr>
        <w:lastRenderedPageBreak/>
        <w:t>PPRSs will be identified by the PMU in collaboration with the CCS and are anticipated to be primarily governmental agencies (e.g., ministerial subsidiaries) or public institutions (e.g., public universities, public research institutions).  Particularly in cases where the mandates of governmental agencies or public institutions clearly delineate a relevant area of responsibility for the project’s activities, the PMU (or its assignee, as stipulated through an LOA) may propose an execution partner. The PMU will abide by FAO’s guidelines for project execution.</w:t>
      </w:r>
      <w:r w:rsidRPr="00AA2617">
        <w:footnoteReference w:id="39"/>
      </w:r>
      <w:r w:rsidRPr="00AA2617">
        <w:rPr>
          <w:sz w:val="22"/>
          <w:lang w:val="en-GB"/>
        </w:rPr>
        <w:t xml:space="preserve">  FAO Manual Section 507 (MS507) will govern the PMU’s decisions regarding LOAs.</w:t>
      </w:r>
    </w:p>
    <w:p w14:paraId="5EB58BFF" w14:textId="77777777" w:rsidR="0039560F" w:rsidRPr="00AA2617" w:rsidRDefault="0039560F" w:rsidP="00AA2617">
      <w:pPr>
        <w:pStyle w:val="NumberedParagraph"/>
        <w:rPr>
          <w:sz w:val="22"/>
          <w:lang w:val="en-GB"/>
        </w:rPr>
      </w:pPr>
      <w:r w:rsidRPr="00AA2617">
        <w:rPr>
          <w:sz w:val="22"/>
          <w:lang w:val="en-GB"/>
        </w:rPr>
        <w:t xml:space="preserve">For activities that do not have a relatively clear PPRS, the PMU will follow a process of competitive bidding, whereby the primary selection factor is value for money both during and after the project and sustainability which entails a consideration of the effective transition of responsibilities to the eventual PPRS. In some cases, project-relevant activities are arranged by governmental agencies, but technically supported through other partners (via governmentally issued contracts or LOAs), such as NGOs or private companies.  In such cases, the PMU will consult with the NPD, Project Steering Committee (PSC) and with FAO in its implementing role to determine the best option by taking into consideration of the risks, policies, and controls of the potential PPRS intermediary. </w:t>
      </w:r>
    </w:p>
    <w:p w14:paraId="75C8A1C1" w14:textId="77777777" w:rsidR="0039560F" w:rsidRPr="00AA2617" w:rsidRDefault="0039560F" w:rsidP="00AA2617">
      <w:pPr>
        <w:pStyle w:val="NumberedParagraph"/>
        <w:rPr>
          <w:sz w:val="22"/>
          <w:lang w:val="en-GB"/>
        </w:rPr>
      </w:pPr>
      <w:r w:rsidRPr="00AA2617">
        <w:rPr>
          <w:sz w:val="22"/>
          <w:lang w:val="en-GB"/>
        </w:rPr>
        <w:t>The PMU will seek to strengthen governmental engagement with relevant CSOs where necessary by engaging with them for execution activities during and after the project when practicable and appropriate.  However, specific CSOs, NGOs, and private companies cannot be identified as PPRSs. Such PPRS functions must be designated as a class of stakeholders for which any agreements are competitive.</w:t>
      </w:r>
    </w:p>
    <w:p w14:paraId="2CF26D70" w14:textId="480AFA3C" w:rsidR="0039560F" w:rsidRPr="00AA2617" w:rsidRDefault="0039560F" w:rsidP="00AA2617">
      <w:pPr>
        <w:pStyle w:val="NumberedParagraph"/>
        <w:rPr>
          <w:sz w:val="22"/>
          <w:lang w:val="en-GB"/>
        </w:rPr>
      </w:pPr>
      <w:r w:rsidRPr="00AA2617">
        <w:rPr>
          <w:sz w:val="22"/>
          <w:lang w:val="en-GB"/>
        </w:rPr>
        <w:t>The PMU will be supervised technically by FAO Lead Technical Officer (LTO) and operationally by Budget Holder (BH).  The PMU will also be technically supported by the three Technical Working Group (TWG) and will be operationally advised by the National Mitigation Advisory Committee and National Adaptation Advisory Committee through the preparation of the work plan and operational matters.</w:t>
      </w:r>
    </w:p>
    <w:p w14:paraId="600C50F2" w14:textId="4E50EB14" w:rsidR="00B66778" w:rsidRPr="00AA2617" w:rsidRDefault="0039560F" w:rsidP="00AA2617">
      <w:pPr>
        <w:pStyle w:val="NumberedParagraph"/>
        <w:rPr>
          <w:sz w:val="22"/>
          <w:lang w:val="en-GB"/>
        </w:rPr>
      </w:pPr>
      <w:r w:rsidRPr="00AA2617">
        <w:rPr>
          <w:sz w:val="22"/>
          <w:lang w:val="en-GB"/>
        </w:rPr>
        <w:t xml:space="preserve">Technical Working Group: This project will </w:t>
      </w:r>
      <w:r w:rsidR="00B66778" w:rsidRPr="00AA2617">
        <w:rPr>
          <w:sz w:val="22"/>
          <w:lang w:val="en-GB"/>
        </w:rPr>
        <w:t xml:space="preserve">form and </w:t>
      </w:r>
      <w:r w:rsidRPr="00AA2617">
        <w:rPr>
          <w:sz w:val="22"/>
          <w:lang w:val="en-GB"/>
        </w:rPr>
        <w:t>work with</w:t>
      </w:r>
      <w:r w:rsidR="00B66778" w:rsidRPr="00AA2617">
        <w:rPr>
          <w:sz w:val="22"/>
          <w:lang w:val="en-GB"/>
        </w:rPr>
        <w:t xml:space="preserve"> </w:t>
      </w:r>
      <w:r w:rsidRPr="00AA2617">
        <w:rPr>
          <w:sz w:val="22"/>
          <w:lang w:val="en-GB"/>
        </w:rPr>
        <w:t>Technical Working Groups (</w:t>
      </w:r>
      <w:r w:rsidR="00B66778" w:rsidRPr="00AA2617">
        <w:rPr>
          <w:sz w:val="22"/>
          <w:lang w:val="en-GB"/>
        </w:rPr>
        <w:t xml:space="preserve"> which comprises the government agencies, private sector, academic/ researchers, NGOs and CSOs as appropriate</w:t>
      </w:r>
      <w:r w:rsidRPr="00AA2617">
        <w:rPr>
          <w:sz w:val="22"/>
          <w:lang w:val="en-GB"/>
        </w:rPr>
        <w:t xml:space="preserve">. The project will strengthen their capacity to collect quality data, improve the quality of data analysis and reporting towards the NDCs.  </w:t>
      </w:r>
    </w:p>
    <w:p w14:paraId="6B5D3322" w14:textId="682EA211" w:rsidR="0039560F" w:rsidRPr="00AA2617" w:rsidRDefault="0039560F" w:rsidP="00AA2617">
      <w:pPr>
        <w:pStyle w:val="NumberedParagraph"/>
        <w:rPr>
          <w:sz w:val="22"/>
          <w:lang w:val="en-GB"/>
        </w:rPr>
      </w:pPr>
      <w:r w:rsidRPr="00AA2617">
        <w:rPr>
          <w:sz w:val="22"/>
          <w:lang w:val="en-GB"/>
        </w:rPr>
        <w:t>Project Steering Committee (PSC).  This project document establishes the project’s intended and default execution arrangements, including work-plan and budget. However, it is anticipated that national circumstances and stakeholders’ priorities will evolve during the course of the project, requiring some degree of adaptability and flexibility. Flexibility in the project’s approach (including work-plan and budget) is ensured via the Project’s Steering Committee (PSC). The PSC will oversee and coordinate strategic aspects of the project’s execution.  PSC members act as the project’s focal points in their respective institutions. The PMU keeps the NDA informed of the project’s progress via the PSC and as part of normal business operations</w:t>
      </w:r>
      <w:r w:rsidR="000F35AB" w:rsidRPr="00AA2617">
        <w:rPr>
          <w:sz w:val="22"/>
          <w:lang w:val="en-GB"/>
        </w:rPr>
        <w:t>.</w:t>
      </w:r>
      <w:r w:rsidRPr="00AA2617">
        <w:rPr>
          <w:sz w:val="22"/>
          <w:lang w:val="en-GB"/>
        </w:rPr>
        <w:t xml:space="preserve"> Appendix 4 presents the terms of reference (ToR) and provisional membership of the PSC. The PSC will meet biannually (twice a year) and as needed. </w:t>
      </w:r>
    </w:p>
    <w:p w14:paraId="717F8A32" w14:textId="6322DF92" w:rsidR="0039560F" w:rsidRPr="00AA2617" w:rsidRDefault="0039560F" w:rsidP="00ED441B">
      <w:pPr>
        <w:pStyle w:val="NumberedParagraph"/>
        <w:rPr>
          <w:sz w:val="22"/>
          <w:lang w:val="en-GB"/>
        </w:rPr>
      </w:pPr>
      <w:r w:rsidRPr="00AA2617">
        <w:rPr>
          <w:sz w:val="22"/>
          <w:lang w:val="en-GB"/>
        </w:rPr>
        <w:t>GEF Agency.  FAO will act as a trustee of GEF resources, applying a fiduciary standard to ensure efficient delivery of global environmental benefits. FAO will disburse funds and provide technical, operational, and financial oversight throughout the project cycle, and will fulfil annual reporting obligations to GEF Secretariat on the project’s status.</w:t>
      </w:r>
    </w:p>
    <w:p w14:paraId="44E5A144" w14:textId="58503FF2" w:rsidR="0039560F" w:rsidRPr="00AA2617" w:rsidRDefault="0039560F" w:rsidP="00773C81">
      <w:pPr>
        <w:pStyle w:val="NumberedParagraph"/>
        <w:rPr>
          <w:sz w:val="22"/>
          <w:lang w:val="en-GB"/>
        </w:rPr>
      </w:pPr>
      <w:r w:rsidRPr="00AA2617">
        <w:rPr>
          <w:sz w:val="22"/>
          <w:lang w:val="en-GB"/>
        </w:rPr>
        <w:t>Project Support Services.  FAO’s country office will assist the PMU in providing six-monthly financial reports including a statement of project expenditures to the Project Steering Committee (PSC).  FAO will also assist the PMU in the preparation of budget revisions and in tracking the project’s finances via FAO’s financial management system.</w:t>
      </w:r>
    </w:p>
    <w:p w14:paraId="5C192390" w14:textId="77777777" w:rsidR="002C7ACD" w:rsidRPr="00AA2617" w:rsidRDefault="0010018B" w:rsidP="00AA2617">
      <w:pPr>
        <w:pStyle w:val="Heading3"/>
        <w:rPr>
          <w:lang w:val="en-GB"/>
        </w:rPr>
      </w:pPr>
      <w:bookmarkStart w:id="126" w:name="_Toc9249197"/>
      <w:r w:rsidRPr="00AA2617">
        <w:rPr>
          <w:b/>
          <w:lang w:val="en-GB"/>
        </w:rPr>
        <w:lastRenderedPageBreak/>
        <w:t>Institutional framework</w:t>
      </w:r>
      <w:bookmarkEnd w:id="126"/>
      <w:r w:rsidR="009E7B64" w:rsidRPr="00AA2617">
        <w:rPr>
          <w:b/>
          <w:lang w:val="en-GB"/>
        </w:rPr>
        <w:t xml:space="preserve"> </w:t>
      </w:r>
    </w:p>
    <w:p w14:paraId="156D2078" w14:textId="77777777" w:rsidR="0039560F" w:rsidRPr="00AA2617" w:rsidRDefault="0039560F" w:rsidP="00AA2617">
      <w:pPr>
        <w:pStyle w:val="GEFFieldtoFillout"/>
        <w:ind w:left="576"/>
        <w:rPr>
          <w:i/>
          <w:lang w:val="en-GB"/>
        </w:rPr>
      </w:pPr>
      <w:bookmarkStart w:id="127" w:name="_Toc1332993"/>
      <w:r w:rsidRPr="00AA2617">
        <w:rPr>
          <w:lang w:val="en-GB"/>
        </w:rPr>
        <w:t>Figure 14 depicts an overview of the project’s institutional arrangements. Appendix 4 presents the terms of reference and provisional membership of the PSC. Appendix 5 presents the terms of reference and proposed membership of the TWG.  Appendix 6 presents the abbreviated terms of reference for the members of the PMU.</w:t>
      </w:r>
      <w:bookmarkEnd w:id="127"/>
    </w:p>
    <w:p w14:paraId="432792DA" w14:textId="24342098" w:rsidR="003A13CE" w:rsidRPr="00AA2617" w:rsidRDefault="003A13CE" w:rsidP="00AA2617">
      <w:pPr>
        <w:pStyle w:val="NumberedParagraph"/>
        <w:keepNext/>
        <w:numPr>
          <w:ilvl w:val="0"/>
          <w:numId w:val="0"/>
        </w:numPr>
        <w:spacing w:before="240"/>
        <w:jc w:val="center"/>
        <w:rPr>
          <w:sz w:val="22"/>
          <w:lang w:val="en-GB"/>
        </w:rPr>
      </w:pPr>
      <w:r w:rsidRPr="00AA2617">
        <w:rPr>
          <w:sz w:val="22"/>
          <w:lang w:val="en-GB"/>
        </w:rPr>
        <w:t xml:space="preserve">Figure </w:t>
      </w:r>
      <w:r w:rsidR="00341036" w:rsidRPr="00AA2617">
        <w:rPr>
          <w:sz w:val="22"/>
          <w:lang w:val="en-GB"/>
        </w:rPr>
        <w:t>14</w:t>
      </w:r>
      <w:r w:rsidRPr="00AA2617">
        <w:rPr>
          <w:sz w:val="22"/>
          <w:lang w:val="en-GB"/>
        </w:rPr>
        <w:t>.  Overview of the Project’s Institutional Arrangements</w:t>
      </w:r>
    </w:p>
    <w:p w14:paraId="603985F7" w14:textId="3643DBBD" w:rsidR="00F86915" w:rsidRPr="00AA2617" w:rsidRDefault="00D20E9E" w:rsidP="00AA2617">
      <w:pPr>
        <w:pStyle w:val="NumberedParagraph"/>
        <w:numPr>
          <w:ilvl w:val="0"/>
          <w:numId w:val="0"/>
        </w:numPr>
        <w:jc w:val="center"/>
        <w:rPr>
          <w:lang w:val="en-GB"/>
        </w:rPr>
      </w:pPr>
      <w:r w:rsidRPr="00AA2617">
        <w:rPr>
          <w:noProof/>
        </w:rPr>
        <mc:AlternateContent>
          <mc:Choice Requires="wps">
            <w:drawing>
              <wp:anchor distT="0" distB="0" distL="114300" distR="114300" simplePos="0" relativeHeight="251802625" behindDoc="0" locked="0" layoutInCell="1" allowOverlap="1" wp14:anchorId="1192C876" wp14:editId="1E35BCCD">
                <wp:simplePos x="0" y="0"/>
                <wp:positionH relativeFrom="column">
                  <wp:posOffset>3594100</wp:posOffset>
                </wp:positionH>
                <wp:positionV relativeFrom="paragraph">
                  <wp:posOffset>3074035</wp:posOffset>
                </wp:positionV>
                <wp:extent cx="927100" cy="0"/>
                <wp:effectExtent l="38100" t="76200" r="0" b="95250"/>
                <wp:wrapNone/>
                <wp:docPr id="22" name="Straight Arrow Connector 22"/>
                <wp:cNvGraphicFramePr/>
                <a:graphic xmlns:a="http://schemas.openxmlformats.org/drawingml/2006/main">
                  <a:graphicData uri="http://schemas.microsoft.com/office/word/2010/wordprocessingShape">
                    <wps:wsp>
                      <wps:cNvCnPr/>
                      <wps:spPr>
                        <a:xfrm flipH="1">
                          <a:off x="0" y="0"/>
                          <a:ext cx="927100" cy="0"/>
                        </a:xfrm>
                        <a:prstGeom prst="straightConnector1">
                          <a:avLst/>
                        </a:prstGeom>
                        <a:ln w="25400">
                          <a:solidFill>
                            <a:schemeClr val="accent1">
                              <a:lumMod val="50000"/>
                            </a:schemeClr>
                          </a:solidFill>
                          <a:prstDash val="sysDot"/>
                          <a:miter lim="8000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78257CEC" id="Straight Arrow Connector 22" o:spid="_x0000_s1026" type="#_x0000_t32" style="position:absolute;margin-left:283pt;margin-top:242.05pt;width:73pt;height:0;flip:x;z-index:2518026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" strokecolor="#1f3763 [1604]" strokeweight="2pt">
                <v:stroke dashstyle="1 1" endarrow="block" joinstyle="miter"/>
              </v:shape>
            </w:pict>
          </mc:Fallback>
        </mc:AlternateContent>
      </w:r>
      <w:r w:rsidRPr="00AA2617">
        <w:rPr>
          <w:noProof/>
        </w:rPr>
        <mc:AlternateContent>
          <mc:Choice Requires="wps">
            <w:drawing>
              <wp:anchor distT="0" distB="0" distL="114300" distR="114300" simplePos="0" relativeHeight="251800577" behindDoc="0" locked="0" layoutInCell="1" allowOverlap="1" wp14:anchorId="413E7813" wp14:editId="7FBB1B6B">
                <wp:simplePos x="0" y="0"/>
                <wp:positionH relativeFrom="column">
                  <wp:posOffset>4552950</wp:posOffset>
                </wp:positionH>
                <wp:positionV relativeFrom="paragraph">
                  <wp:posOffset>2700655</wp:posOffset>
                </wp:positionV>
                <wp:extent cx="1389366" cy="853199"/>
                <wp:effectExtent l="0" t="0" r="0" b="0"/>
                <wp:wrapNone/>
                <wp:docPr id="6" name="Rounded Rectangle 349"/>
                <wp:cNvGraphicFramePr/>
                <a:graphic xmlns:a="http://schemas.openxmlformats.org/drawingml/2006/main">
                  <a:graphicData uri="http://schemas.microsoft.com/office/word/2010/wordprocessingShape">
                    <wps:wsp>
                      <wps:cNvSpPr/>
                      <wps:spPr>
                        <a:xfrm>
                          <a:off x="0" y="0"/>
                          <a:ext cx="1389366" cy="853199"/>
                        </a:xfrm>
                        <a:prstGeom prst="roundRect">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4ACEFB8" w14:textId="11FEA40C" w:rsidR="0099059D" w:rsidRPr="003A13CE" w:rsidRDefault="0099059D" w:rsidP="00D20E9E">
                            <w:pPr>
                              <w:pStyle w:val="NormalWeb"/>
                              <w:spacing w:before="0" w:beforeAutospacing="0" w:after="0" w:afterAutospacing="0"/>
                              <w:jc w:val="center"/>
                              <w:rPr>
                                <w:b/>
                                <w:color w:val="1F3864" w:themeColor="accent1" w:themeShade="80"/>
                                <w:sz w:val="22"/>
                                <w:szCs w:val="22"/>
                              </w:rPr>
                            </w:pPr>
                            <w:r>
                              <w:rPr>
                                <w:rFonts w:eastAsia="SimSun-ExtB"/>
                                <w:b/>
                                <w:color w:val="1F3864" w:themeColor="accent1" w:themeShade="80"/>
                                <w:kern w:val="24"/>
                                <w:sz w:val="22"/>
                                <w:szCs w:val="22"/>
                              </w:rPr>
                              <w:t xml:space="preserve">National Expert Committee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13E7813" id="Rounded Rectangle 349" o:spid="_x0000_s1132" style="position:absolute;left:0;text-align:left;margin-left:358.5pt;margin-top:212.65pt;width:109.4pt;height:67.2pt;z-index:251800577;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" fillcolor="#b4c6e7 [1300]" strokecolor="#1f3763 [1604]" strokeweight="1pt">
                <v:stroke joinstyle="miter"/>
                <v:textbox>
                  <w:txbxContent>
                    <w:p w14:paraId="24ACEFB8" w14:textId="11FEA40C" w:rsidR="0099059D" w:rsidRPr="003A13CE" w:rsidRDefault="0099059D" w:rsidP="00D20E9E">
                      <w:pPr>
                        <w:pStyle w:val="NormalWeb"/>
                        <w:spacing w:before="0" w:beforeAutospacing="0" w:after="0" w:afterAutospacing="0"/>
                        <w:jc w:val="center"/>
                        <w:rPr>
                          <w:b/>
                          <w:color w:val="1F3864" w:themeColor="accent1" w:themeShade="80"/>
                          <w:sz w:val="22"/>
                          <w:szCs w:val="22"/>
                        </w:rPr>
                      </w:pPr>
                      <w:r>
                        <w:rPr>
                          <w:rFonts w:eastAsia="SimSun-ExtB"/>
                          <w:b/>
                          <w:color w:val="1F3864" w:themeColor="accent1" w:themeShade="80"/>
                          <w:kern w:val="24"/>
                          <w:sz w:val="22"/>
                          <w:szCs w:val="22"/>
                        </w:rPr>
                        <w:t xml:space="preserve">National Expert Committee </w:t>
                      </w:r>
                    </w:p>
                  </w:txbxContent>
                </v:textbox>
              </v:roundrect>
            </w:pict>
          </mc:Fallback>
        </mc:AlternateContent>
      </w:r>
      <w:r w:rsidR="00AC708E" w:rsidRPr="00AA2617">
        <w:rPr>
          <w:noProof/>
        </w:rPr>
        <mc:AlternateContent>
          <mc:Choice Requires="wps">
            <w:drawing>
              <wp:anchor distT="0" distB="0" distL="114300" distR="114300" simplePos="0" relativeHeight="251794433" behindDoc="0" locked="0" layoutInCell="1" allowOverlap="1" wp14:anchorId="2448D70F" wp14:editId="196F2A53">
                <wp:simplePos x="0" y="0"/>
                <wp:positionH relativeFrom="column">
                  <wp:posOffset>318135</wp:posOffset>
                </wp:positionH>
                <wp:positionV relativeFrom="paragraph">
                  <wp:posOffset>1029970</wp:posOffset>
                </wp:positionV>
                <wp:extent cx="5081905" cy="0"/>
                <wp:effectExtent l="0" t="0" r="23495" b="19050"/>
                <wp:wrapNone/>
                <wp:docPr id="289" name="Straight Connector 289"/>
                <wp:cNvGraphicFramePr/>
                <a:graphic xmlns:a="http://schemas.openxmlformats.org/drawingml/2006/main">
                  <a:graphicData uri="http://schemas.microsoft.com/office/word/2010/wordprocessingShape">
                    <wps:wsp>
                      <wps:cNvCnPr/>
                      <wps:spPr>
                        <a:xfrm>
                          <a:off x="0" y="0"/>
                          <a:ext cx="5081905" cy="0"/>
                        </a:xfrm>
                        <a:prstGeom prst="line">
                          <a:avLst/>
                        </a:prstGeom>
                        <a:ln w="12700">
                          <a:solidFill>
                            <a:schemeClr val="accent1">
                              <a:lumMod val="50000"/>
                            </a:schemeClr>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54A18717" id="Straight Connector 289" o:spid="_x0000_s1026" style="position:absolute;z-index:251794433;visibility:visible;mso-wrap-style:square;mso-wrap-distance-left:9pt;mso-wrap-distance-top:0;mso-wrap-distance-right:9pt;mso-wrap-distance-bottom:0;mso-position-horizontal:absolute;mso-position-horizontal-relative:text;mso-position-vertical:absolute;mso-position-vertical-relative:text" from="25.05pt,81.1pt" to="425.2pt,8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" strokecolor="#1f3763 [1604]" strokeweight="1pt">
                <v:stroke dashstyle="longDash" joinstyle="miter"/>
              </v:line>
            </w:pict>
          </mc:Fallback>
        </mc:AlternateContent>
      </w:r>
      <w:r w:rsidR="00AC708E" w:rsidRPr="00AA2617">
        <w:rPr>
          <w:noProof/>
        </w:rPr>
        <mc:AlternateContent>
          <mc:Choice Requires="wps">
            <w:drawing>
              <wp:anchor distT="0" distB="0" distL="114300" distR="114300" simplePos="0" relativeHeight="251798529" behindDoc="0" locked="0" layoutInCell="1" allowOverlap="1" wp14:anchorId="58B77DC1" wp14:editId="12603985">
                <wp:simplePos x="0" y="0"/>
                <wp:positionH relativeFrom="column">
                  <wp:posOffset>318770</wp:posOffset>
                </wp:positionH>
                <wp:positionV relativeFrom="paragraph">
                  <wp:posOffset>1085850</wp:posOffset>
                </wp:positionV>
                <wp:extent cx="1242291" cy="1403985"/>
                <wp:effectExtent l="0" t="0" r="0" b="8890"/>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2291" cy="1403985"/>
                        </a:xfrm>
                        <a:prstGeom prst="rect">
                          <a:avLst/>
                        </a:prstGeom>
                        <a:solidFill>
                          <a:srgbClr val="FFFFFF"/>
                        </a:solidFill>
                        <a:ln w="9525">
                          <a:noFill/>
                          <a:miter lim="800000"/>
                          <a:headEnd/>
                          <a:tailEnd/>
                        </a:ln>
                      </wps:spPr>
                      <wps:txbx>
                        <w:txbxContent>
                          <w:p w14:paraId="0327A752" w14:textId="77777777" w:rsidR="0099059D" w:rsidRPr="00AC708E" w:rsidRDefault="0099059D" w:rsidP="00AC708E">
                            <w:pPr>
                              <w:rPr>
                                <w:color w:val="002060"/>
                              </w:rPr>
                            </w:pPr>
                            <w:r w:rsidRPr="00AC708E">
                              <w:rPr>
                                <w:b/>
                                <w:color w:val="002060"/>
                                <w:sz w:val="32"/>
                                <w:szCs w:val="32"/>
                              </w:rPr>
                              <w:t>↓</w:t>
                            </w:r>
                            <w:r w:rsidRPr="00AC708E">
                              <w:rPr>
                                <w:color w:val="002060"/>
                                <w:sz w:val="22"/>
                              </w:rPr>
                              <w:t xml:space="preserve"> Execution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8B77DC1" id="Text Box 2" o:spid="_x0000_s1133" type="#_x0000_t202" style="position:absolute;left:0;text-align:left;margin-left:25.1pt;margin-top:85.5pt;width:97.8pt;height:110.55pt;z-index:251798529;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" stroked="f">
                <v:textbox style="mso-fit-shape-to-text:t">
                  <w:txbxContent>
                    <w:p w14:paraId="0327A752" w14:textId="77777777" w:rsidR="0099059D" w:rsidRPr="00AC708E" w:rsidRDefault="0099059D" w:rsidP="00AC708E">
                      <w:pPr>
                        <w:rPr>
                          <w:color w:val="002060"/>
                        </w:rPr>
                      </w:pPr>
                      <w:r w:rsidRPr="00AC708E">
                        <w:rPr>
                          <w:b/>
                          <w:color w:val="002060"/>
                          <w:sz w:val="32"/>
                          <w:szCs w:val="32"/>
                        </w:rPr>
                        <w:t>↓</w:t>
                      </w:r>
                      <w:r w:rsidRPr="00AC708E">
                        <w:rPr>
                          <w:color w:val="002060"/>
                          <w:sz w:val="22"/>
                        </w:rPr>
                        <w:t xml:space="preserve"> Execution</w:t>
                      </w:r>
                    </w:p>
                  </w:txbxContent>
                </v:textbox>
              </v:shape>
            </w:pict>
          </mc:Fallback>
        </mc:AlternateContent>
      </w:r>
      <w:r w:rsidR="00AC708E" w:rsidRPr="00AA2617">
        <w:rPr>
          <w:noProof/>
        </w:rPr>
        <mc:AlternateContent>
          <mc:Choice Requires="wps">
            <w:drawing>
              <wp:anchor distT="0" distB="0" distL="114300" distR="114300" simplePos="0" relativeHeight="251796481" behindDoc="0" locked="0" layoutInCell="1" allowOverlap="1" wp14:anchorId="108B6615" wp14:editId="4ED7E109">
                <wp:simplePos x="0" y="0"/>
                <wp:positionH relativeFrom="column">
                  <wp:posOffset>319255</wp:posOffset>
                </wp:positionH>
                <wp:positionV relativeFrom="paragraph">
                  <wp:posOffset>661044</wp:posOffset>
                </wp:positionV>
                <wp:extent cx="1242291" cy="1403985"/>
                <wp:effectExtent l="0" t="0" r="0" b="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2291" cy="1403985"/>
                        </a:xfrm>
                        <a:prstGeom prst="rect">
                          <a:avLst/>
                        </a:prstGeom>
                        <a:solidFill>
                          <a:srgbClr val="FFFFFF"/>
                        </a:solidFill>
                        <a:ln w="9525">
                          <a:noFill/>
                          <a:miter lim="800000"/>
                          <a:headEnd/>
                          <a:tailEnd/>
                        </a:ln>
                      </wps:spPr>
                      <wps:txbx>
                        <w:txbxContent>
                          <w:p w14:paraId="0398D9B3" w14:textId="77777777" w:rsidR="0099059D" w:rsidRPr="00AC708E" w:rsidRDefault="0099059D">
                            <w:pPr>
                              <w:rPr>
                                <w:color w:val="002060"/>
                              </w:rPr>
                            </w:pPr>
                            <w:r w:rsidRPr="00AC708E">
                              <w:rPr>
                                <w:b/>
                                <w:color w:val="002060"/>
                                <w:sz w:val="32"/>
                                <w:szCs w:val="32"/>
                              </w:rPr>
                              <w:t>↑</w:t>
                            </w:r>
                            <w:r w:rsidRPr="00AC708E">
                              <w:rPr>
                                <w:color w:val="002060"/>
                                <w:sz w:val="22"/>
                              </w:rPr>
                              <w:t xml:space="preserve"> Implementation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8B6615" id="_x0000_s1134" type="#_x0000_t202" style="position:absolute;left:0;text-align:left;margin-left:25.15pt;margin-top:52.05pt;width:97.8pt;height:110.55pt;z-index:251796481;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" stroked="f">
                <v:textbox style="mso-fit-shape-to-text:t">
                  <w:txbxContent>
                    <w:p w14:paraId="0398D9B3" w14:textId="77777777" w:rsidR="0099059D" w:rsidRPr="00AC708E" w:rsidRDefault="0099059D">
                      <w:pPr>
                        <w:rPr>
                          <w:color w:val="002060"/>
                        </w:rPr>
                      </w:pPr>
                      <w:r w:rsidRPr="00AC708E">
                        <w:rPr>
                          <w:b/>
                          <w:color w:val="002060"/>
                          <w:sz w:val="32"/>
                          <w:szCs w:val="32"/>
                        </w:rPr>
                        <w:t>↑</w:t>
                      </w:r>
                      <w:r w:rsidRPr="00AC708E">
                        <w:rPr>
                          <w:color w:val="002060"/>
                          <w:sz w:val="22"/>
                        </w:rPr>
                        <w:t xml:space="preserve"> Implementation</w:t>
                      </w:r>
                    </w:p>
                  </w:txbxContent>
                </v:textbox>
              </v:shape>
            </w:pict>
          </mc:Fallback>
        </mc:AlternateContent>
      </w:r>
      <w:r w:rsidR="005B6A7E" w:rsidRPr="00AA2617">
        <w:rPr>
          <w:noProof/>
        </w:rPr>
        <mc:AlternateContent>
          <mc:Choice Requires="wps">
            <w:drawing>
              <wp:anchor distT="0" distB="0" distL="114300" distR="114300" simplePos="0" relativeHeight="251793409" behindDoc="0" locked="0" layoutInCell="1" allowOverlap="1" wp14:anchorId="4AE0F2F5" wp14:editId="2A91C20A">
                <wp:simplePos x="0" y="0"/>
                <wp:positionH relativeFrom="column">
                  <wp:posOffset>3174568</wp:posOffset>
                </wp:positionH>
                <wp:positionV relativeFrom="paragraph">
                  <wp:posOffset>1162437</wp:posOffset>
                </wp:positionV>
                <wp:extent cx="1389366" cy="853199"/>
                <wp:effectExtent l="0" t="0" r="0" b="0"/>
                <wp:wrapNone/>
                <wp:docPr id="325" name="Rounded Rectangle 325"/>
                <wp:cNvGraphicFramePr/>
                <a:graphic xmlns:a="http://schemas.openxmlformats.org/drawingml/2006/main">
                  <a:graphicData uri="http://schemas.microsoft.com/office/word/2010/wordprocessingShape">
                    <wps:wsp>
                      <wps:cNvSpPr/>
                      <wps:spPr>
                        <a:xfrm>
                          <a:off x="0" y="0"/>
                          <a:ext cx="1389366" cy="853199"/>
                        </a:xfrm>
                        <a:prstGeom prst="roundRect">
                          <a:avLst/>
                        </a:prstGeom>
                        <a:solidFill>
                          <a:schemeClr val="accent1">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70A8761" w14:textId="77777777" w:rsidR="0099059D" w:rsidRPr="00F86915" w:rsidRDefault="0099059D" w:rsidP="005B6A7E">
                            <w:pPr>
                              <w:pStyle w:val="NormalWeb"/>
                              <w:spacing w:before="0" w:beforeAutospacing="0" w:after="0" w:afterAutospacing="0"/>
                              <w:jc w:val="center"/>
                              <w:rPr>
                                <w:b/>
                                <w:sz w:val="22"/>
                                <w:szCs w:val="22"/>
                              </w:rPr>
                            </w:pPr>
                            <w:r w:rsidRPr="00F86915">
                              <w:rPr>
                                <w:rFonts w:eastAsia="SimSun-ExtB"/>
                                <w:b/>
                                <w:color w:val="FFFFFF" w:themeColor="background1"/>
                                <w:kern w:val="24"/>
                                <w:sz w:val="22"/>
                                <w:szCs w:val="22"/>
                              </w:rPr>
                              <w:t>Project Steering Committee</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AE0F2F5" id="Rounded Rectangle 325" o:spid="_x0000_s1135" style="position:absolute;left:0;text-align:left;margin-left:249.95pt;margin-top:91.55pt;width:109.4pt;height:67.2pt;z-index:251793409;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" fillcolor="#2f5496 [2404]" strokecolor="#1f3763 [1604]" strokeweight="1pt">
                <v:stroke joinstyle="miter"/>
                <v:textbox>
                  <w:txbxContent>
                    <w:p w14:paraId="670A8761" w14:textId="77777777" w:rsidR="0099059D" w:rsidRPr="00F86915" w:rsidRDefault="0099059D" w:rsidP="005B6A7E">
                      <w:pPr>
                        <w:pStyle w:val="NormalWeb"/>
                        <w:spacing w:before="0" w:beforeAutospacing="0" w:after="0" w:afterAutospacing="0"/>
                        <w:jc w:val="center"/>
                        <w:rPr>
                          <w:b/>
                          <w:sz w:val="22"/>
                          <w:szCs w:val="22"/>
                        </w:rPr>
                      </w:pPr>
                      <w:r w:rsidRPr="00F86915">
                        <w:rPr>
                          <w:rFonts w:eastAsia="SimSun-ExtB"/>
                          <w:b/>
                          <w:color w:val="FFFFFF" w:themeColor="background1"/>
                          <w:kern w:val="24"/>
                          <w:sz w:val="22"/>
                          <w:szCs w:val="22"/>
                        </w:rPr>
                        <w:t>Project Steering Committee</w:t>
                      </w:r>
                    </w:p>
                  </w:txbxContent>
                </v:textbox>
              </v:roundrect>
            </w:pict>
          </mc:Fallback>
        </mc:AlternateContent>
      </w:r>
      <w:r w:rsidR="0039560F" w:rsidRPr="00AA2617">
        <w:rPr>
          <w:noProof/>
        </w:rPr>
        <mc:AlternateContent>
          <mc:Choice Requires="wpg">
            <w:drawing>
              <wp:inline distT="0" distB="0" distL="0" distR="0" wp14:anchorId="54CC4633" wp14:editId="32ACEA85">
                <wp:extent cx="5086350" cy="4789170"/>
                <wp:effectExtent l="0" t="0" r="19050" b="11430"/>
                <wp:docPr id="31" name="Group 33"/>
                <wp:cNvGraphicFramePr/>
                <a:graphic xmlns:a="http://schemas.openxmlformats.org/drawingml/2006/main">
                  <a:graphicData uri="http://schemas.microsoft.com/office/word/2010/wordprocessingGroup">
                    <wpg:wgp>
                      <wpg:cNvGrpSpPr/>
                      <wpg:grpSpPr>
                        <a:xfrm>
                          <a:off x="0" y="0"/>
                          <a:ext cx="5086350" cy="4789170"/>
                          <a:chOff x="0" y="0"/>
                          <a:chExt cx="6612678" cy="6008915"/>
                        </a:xfrm>
                      </wpg:grpSpPr>
                      <wpg:grpSp>
                        <wpg:cNvPr id="71" name="Group 71"/>
                        <wpg:cNvGrpSpPr/>
                        <wpg:grpSpPr>
                          <a:xfrm>
                            <a:off x="5048" y="0"/>
                            <a:ext cx="6607630" cy="6008915"/>
                            <a:chOff x="5048" y="0"/>
                            <a:chExt cx="4076700" cy="3849525"/>
                          </a:xfrm>
                        </wpg:grpSpPr>
                        <wps:wsp>
                          <wps:cNvPr id="72" name="Rounded Rectangle 72"/>
                          <wps:cNvSpPr/>
                          <wps:spPr>
                            <a:xfrm>
                              <a:off x="5048" y="0"/>
                              <a:ext cx="857250" cy="447675"/>
                            </a:xfrm>
                            <a:prstGeom prst="round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6D8060E" w14:textId="77777777" w:rsidR="0099059D" w:rsidRPr="00F86915" w:rsidRDefault="0099059D" w:rsidP="0039560F">
                                <w:pPr>
                                  <w:pStyle w:val="NormalWeb"/>
                                  <w:spacing w:before="0" w:beforeAutospacing="0" w:after="0" w:afterAutospacing="0"/>
                                  <w:jc w:val="center"/>
                                  <w:rPr>
                                    <w:b/>
                                    <w:sz w:val="22"/>
                                    <w:szCs w:val="22"/>
                                  </w:rPr>
                                </w:pPr>
                                <w:r w:rsidRPr="00F86915">
                                  <w:rPr>
                                    <w:rFonts w:eastAsia="SimSun-ExtB"/>
                                    <w:b/>
                                    <w:color w:val="FFFFFF" w:themeColor="light1"/>
                                    <w:kern w:val="24"/>
                                    <w:sz w:val="22"/>
                                    <w:szCs w:val="22"/>
                                  </w:rPr>
                                  <w:t>GEF Secretariat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23" name="Rounded Rectangle 323"/>
                          <wps:cNvSpPr/>
                          <wps:spPr>
                            <a:xfrm>
                              <a:off x="1624298" y="1"/>
                              <a:ext cx="857250" cy="447675"/>
                            </a:xfrm>
                            <a:prstGeom prst="round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86CF9F6" w14:textId="77777777" w:rsidR="0099059D" w:rsidRPr="00F86915" w:rsidRDefault="0099059D" w:rsidP="0039560F">
                                <w:pPr>
                                  <w:pStyle w:val="NormalWeb"/>
                                  <w:spacing w:before="0" w:beforeAutospacing="0" w:after="0" w:afterAutospacing="0"/>
                                  <w:jc w:val="center"/>
                                  <w:rPr>
                                    <w:b/>
                                    <w:sz w:val="22"/>
                                    <w:szCs w:val="22"/>
                                  </w:rPr>
                                </w:pPr>
                                <w:r w:rsidRPr="00F86915">
                                  <w:rPr>
                                    <w:rFonts w:eastAsia="SimSun-ExtB"/>
                                    <w:b/>
                                    <w:color w:val="FFFFFF" w:themeColor="light1"/>
                                    <w:kern w:val="24"/>
                                    <w:sz w:val="22"/>
                                    <w:szCs w:val="22"/>
                                  </w:rPr>
                                  <w:t>FAO</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24" name="Rounded Rectangle 324"/>
                          <wps:cNvSpPr/>
                          <wps:spPr>
                            <a:xfrm>
                              <a:off x="2935733" y="6"/>
                              <a:ext cx="1146015" cy="753360"/>
                            </a:xfrm>
                            <a:prstGeom prst="round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7BE3906" w14:textId="4CC87D84" w:rsidR="0099059D" w:rsidRPr="00F86915" w:rsidRDefault="0099059D" w:rsidP="0039560F">
                                <w:pPr>
                                  <w:pStyle w:val="NormalWeb"/>
                                  <w:spacing w:before="0" w:beforeAutospacing="0" w:after="0" w:afterAutospacing="0"/>
                                  <w:jc w:val="center"/>
                                  <w:rPr>
                                    <w:b/>
                                    <w:sz w:val="22"/>
                                    <w:szCs w:val="22"/>
                                  </w:rPr>
                                </w:pPr>
                                <w:r>
                                  <w:rPr>
                                    <w:rFonts w:eastAsia="SimSun-ExtB"/>
                                    <w:b/>
                                    <w:color w:val="FFFFFF" w:themeColor="light1"/>
                                    <w:kern w:val="24"/>
                                    <w:sz w:val="22"/>
                                    <w:szCs w:val="22"/>
                                  </w:rPr>
                                  <w:t xml:space="preserve">Ministry of Mahaweli Development and Environment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26" name="Rounded Rectangle 326"/>
                          <wps:cNvSpPr/>
                          <wps:spPr>
                            <a:xfrm>
                              <a:off x="1500473" y="2163600"/>
                              <a:ext cx="1114425" cy="685800"/>
                            </a:xfrm>
                            <a:prstGeom prst="roundRect">
                              <a:avLst/>
                            </a:prstGeom>
                            <a:solidFill>
                              <a:schemeClr val="accent1">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79E48F6" w14:textId="77777777" w:rsidR="0099059D" w:rsidRDefault="0099059D" w:rsidP="0039560F">
                                <w:pPr>
                                  <w:pStyle w:val="NormalWeb"/>
                                  <w:spacing w:before="0" w:beforeAutospacing="0" w:after="0" w:afterAutospacing="0"/>
                                  <w:jc w:val="center"/>
                                  <w:rPr>
                                    <w:rFonts w:eastAsia="SimSun-ExtB"/>
                                    <w:b/>
                                    <w:color w:val="1F3864" w:themeColor="accent1" w:themeShade="80"/>
                                    <w:kern w:val="24"/>
                                    <w:sz w:val="22"/>
                                    <w:szCs w:val="22"/>
                                  </w:rPr>
                                </w:pPr>
                                <w:r w:rsidRPr="003A13CE">
                                  <w:rPr>
                                    <w:rFonts w:eastAsia="SimSun-ExtB"/>
                                    <w:b/>
                                    <w:color w:val="1F3864" w:themeColor="accent1" w:themeShade="80"/>
                                    <w:kern w:val="24"/>
                                    <w:sz w:val="22"/>
                                    <w:szCs w:val="22"/>
                                  </w:rPr>
                                  <w:t>Project Management Unit</w:t>
                                </w:r>
                              </w:p>
                              <w:p w14:paraId="7E61DE87" w14:textId="0754E9D2" w:rsidR="0099059D" w:rsidRPr="003A13CE" w:rsidRDefault="0099059D" w:rsidP="0039560F">
                                <w:pPr>
                                  <w:pStyle w:val="NormalWeb"/>
                                  <w:spacing w:before="0" w:beforeAutospacing="0" w:after="0" w:afterAutospacing="0"/>
                                  <w:jc w:val="center"/>
                                  <w:rPr>
                                    <w:b/>
                                    <w:color w:val="1F3864" w:themeColor="accent1" w:themeShade="80"/>
                                    <w:sz w:val="22"/>
                                    <w:szCs w:val="22"/>
                                  </w:rPr>
                                </w:pPr>
                                <w:r>
                                  <w:rPr>
                                    <w:rFonts w:eastAsia="SimSun-ExtB"/>
                                    <w:b/>
                                    <w:color w:val="1F3864" w:themeColor="accent1" w:themeShade="80"/>
                                    <w:kern w:val="24"/>
                                    <w:sz w:val="22"/>
                                    <w:szCs w:val="22"/>
                                  </w:rPr>
                                  <w:t>(Climate Chance Secretariat)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27" name="Rounded Rectangle 327"/>
                          <wps:cNvSpPr/>
                          <wps:spPr>
                            <a:xfrm>
                              <a:off x="5048" y="3401850"/>
                              <a:ext cx="857250" cy="447675"/>
                            </a:xfrm>
                            <a:prstGeom prst="roundRect">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BA2E718" w14:textId="77777777" w:rsidR="0099059D" w:rsidRPr="003A13CE" w:rsidRDefault="0099059D" w:rsidP="0039560F">
                                <w:pPr>
                                  <w:pStyle w:val="NormalWeb"/>
                                  <w:spacing w:before="0" w:beforeAutospacing="0" w:after="0" w:afterAutospacing="0"/>
                                  <w:jc w:val="center"/>
                                  <w:rPr>
                                    <w:b/>
                                    <w:color w:val="1F3864" w:themeColor="accent1" w:themeShade="80"/>
                                    <w:sz w:val="22"/>
                                    <w:szCs w:val="22"/>
                                  </w:rPr>
                                </w:pPr>
                                <w:r>
                                  <w:rPr>
                                    <w:rFonts w:eastAsia="SimSun-ExtB"/>
                                    <w:b/>
                                    <w:color w:val="1F3864" w:themeColor="accent1" w:themeShade="80"/>
                                    <w:kern w:val="24"/>
                                    <w:sz w:val="22"/>
                                    <w:szCs w:val="22"/>
                                  </w:rPr>
                                  <w:t>Gov. Agencies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28" name="Rounded Rectangle 328"/>
                          <wps:cNvSpPr/>
                          <wps:spPr>
                            <a:xfrm>
                              <a:off x="1071848" y="3392325"/>
                              <a:ext cx="857250" cy="447675"/>
                            </a:xfrm>
                            <a:prstGeom prst="roundRect">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388358D" w14:textId="77777777" w:rsidR="0099059D" w:rsidRPr="003A13CE" w:rsidRDefault="0099059D" w:rsidP="0039560F">
                                <w:pPr>
                                  <w:pStyle w:val="NormalWeb"/>
                                  <w:spacing w:before="0" w:beforeAutospacing="0" w:after="0" w:afterAutospacing="0"/>
                                  <w:jc w:val="center"/>
                                  <w:rPr>
                                    <w:b/>
                                    <w:color w:val="1F3864" w:themeColor="accent1" w:themeShade="80"/>
                                    <w:sz w:val="22"/>
                                    <w:szCs w:val="22"/>
                                  </w:rPr>
                                </w:pPr>
                                <w:r>
                                  <w:rPr>
                                    <w:rFonts w:eastAsia="SimSun-ExtB"/>
                                    <w:b/>
                                    <w:color w:val="1F3864" w:themeColor="accent1" w:themeShade="80"/>
                                    <w:kern w:val="24"/>
                                    <w:sz w:val="22"/>
                                    <w:szCs w:val="22"/>
                                  </w:rPr>
                                  <w:t>Academic &amp; Rsch. Inst.</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29" name="Straight Connector 329"/>
                          <wps:cNvCnPr/>
                          <wps:spPr>
                            <a:xfrm>
                              <a:off x="2481548" y="220500"/>
                              <a:ext cx="44196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wps:wsp>
                          <wps:cNvPr id="330" name="Straight Connector 330"/>
                          <wps:cNvCnPr/>
                          <wps:spPr>
                            <a:xfrm>
                              <a:off x="2872073" y="220500"/>
                              <a:ext cx="0" cy="714375"/>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wps:wsp>
                          <wps:cNvPr id="331" name="Rounded Rectangle 331"/>
                          <wps:cNvSpPr/>
                          <wps:spPr>
                            <a:xfrm>
                              <a:off x="2129123" y="3392325"/>
                              <a:ext cx="857250" cy="447675"/>
                            </a:xfrm>
                            <a:prstGeom prst="roundRect">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B7B0DAF" w14:textId="77777777" w:rsidR="0099059D" w:rsidRPr="003A13CE" w:rsidRDefault="0099059D" w:rsidP="0039560F">
                                <w:pPr>
                                  <w:pStyle w:val="NormalWeb"/>
                                  <w:spacing w:before="0" w:beforeAutospacing="0" w:after="0" w:afterAutospacing="0"/>
                                  <w:jc w:val="center"/>
                                  <w:rPr>
                                    <w:b/>
                                    <w:color w:val="1F3864" w:themeColor="accent1" w:themeShade="80"/>
                                    <w:sz w:val="22"/>
                                    <w:szCs w:val="22"/>
                                  </w:rPr>
                                </w:pPr>
                                <w:r w:rsidRPr="003A13CE">
                                  <w:rPr>
                                    <w:rFonts w:eastAsia="SimSun-ExtB"/>
                                    <w:b/>
                                    <w:color w:val="1F3864" w:themeColor="accent1" w:themeShade="80"/>
                                    <w:kern w:val="24"/>
                                    <w:sz w:val="22"/>
                                    <w:szCs w:val="22"/>
                                  </w:rPr>
                                  <w:t>CSO</w:t>
                                </w:r>
                                <w:r>
                                  <w:rPr>
                                    <w:rFonts w:eastAsia="SimSun-ExtB"/>
                                    <w:b/>
                                    <w:color w:val="1F3864" w:themeColor="accent1" w:themeShade="80"/>
                                    <w:kern w:val="24"/>
                                    <w:sz w:val="22"/>
                                    <w:szCs w:val="22"/>
                                  </w:rPr>
                                  <w:t>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32" name="Rounded Rectangle 332"/>
                          <wps:cNvSpPr/>
                          <wps:spPr>
                            <a:xfrm>
                              <a:off x="3186398" y="3392325"/>
                              <a:ext cx="857250" cy="447675"/>
                            </a:xfrm>
                            <a:prstGeom prst="roundRect">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AC8B389" w14:textId="77777777" w:rsidR="0099059D" w:rsidRPr="003A13CE" w:rsidRDefault="0099059D" w:rsidP="0039560F">
                                <w:pPr>
                                  <w:pStyle w:val="NormalWeb"/>
                                  <w:spacing w:before="0" w:beforeAutospacing="0" w:after="0" w:afterAutospacing="0"/>
                                  <w:jc w:val="center"/>
                                  <w:rPr>
                                    <w:b/>
                                    <w:color w:val="1F3864" w:themeColor="accent1" w:themeShade="80"/>
                                    <w:sz w:val="22"/>
                                    <w:szCs w:val="22"/>
                                  </w:rPr>
                                </w:pPr>
                                <w:r>
                                  <w:rPr>
                                    <w:rFonts w:eastAsia="SimSun-ExtB"/>
                                    <w:b/>
                                    <w:color w:val="1F3864" w:themeColor="accent1" w:themeShade="80"/>
                                    <w:kern w:val="24"/>
                                    <w:sz w:val="22"/>
                                    <w:szCs w:val="22"/>
                                  </w:rPr>
                                  <w:t>Others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33" name="Straight Arrow Connector 333"/>
                          <wps:cNvCnPr/>
                          <wps:spPr>
                            <a:xfrm>
                              <a:off x="862298" y="285825"/>
                              <a:ext cx="762000" cy="0"/>
                            </a:xfrm>
                            <a:prstGeom prst="straightConnector1">
                              <a:avLst/>
                            </a:prstGeom>
                            <a:ln w="25400">
                              <a:solidFill>
                                <a:schemeClr val="accent1">
                                  <a:lumMod val="50000"/>
                                </a:schemeClr>
                              </a:solidFill>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34" name="Straight Arrow Connector 334"/>
                          <wps:cNvCnPr/>
                          <wps:spPr>
                            <a:xfrm>
                              <a:off x="1976723" y="439575"/>
                              <a:ext cx="0" cy="1724025"/>
                            </a:xfrm>
                            <a:prstGeom prst="straightConnector1">
                              <a:avLst/>
                            </a:prstGeom>
                            <a:ln w="25400">
                              <a:solidFill>
                                <a:schemeClr val="accent1">
                                  <a:lumMod val="50000"/>
                                </a:schemeClr>
                              </a:solidFill>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35" name="Straight Arrow Connector 335"/>
                          <wps:cNvCnPr/>
                          <wps:spPr>
                            <a:xfrm>
                              <a:off x="2614898" y="2754150"/>
                              <a:ext cx="1152525" cy="637540"/>
                            </a:xfrm>
                            <a:prstGeom prst="straightConnector1">
                              <a:avLst/>
                            </a:prstGeom>
                            <a:ln w="25400">
                              <a:solidFill>
                                <a:schemeClr val="accent1">
                                  <a:lumMod val="50000"/>
                                </a:schemeClr>
                              </a:solidFill>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36" name="Straight Arrow Connector 336"/>
                          <wps:cNvCnPr/>
                          <wps:spPr>
                            <a:xfrm>
                              <a:off x="2376773" y="2849400"/>
                              <a:ext cx="285750" cy="542925"/>
                            </a:xfrm>
                            <a:prstGeom prst="straightConnector1">
                              <a:avLst/>
                            </a:prstGeom>
                            <a:ln w="25400">
                              <a:solidFill>
                                <a:schemeClr val="accent1">
                                  <a:lumMod val="50000"/>
                                </a:schemeClr>
                              </a:solidFill>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37" name="Straight Arrow Connector 337"/>
                          <wps:cNvCnPr/>
                          <wps:spPr>
                            <a:xfrm flipH="1">
                              <a:off x="1424273" y="2849400"/>
                              <a:ext cx="352424" cy="542925"/>
                            </a:xfrm>
                            <a:prstGeom prst="straightConnector1">
                              <a:avLst/>
                            </a:prstGeom>
                            <a:ln w="25400">
                              <a:solidFill>
                                <a:schemeClr val="accent1">
                                  <a:lumMod val="50000"/>
                                </a:schemeClr>
                              </a:solidFill>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38" name="Straight Arrow Connector 338"/>
                          <wps:cNvCnPr/>
                          <wps:spPr>
                            <a:xfrm flipH="1">
                              <a:off x="300323" y="2801775"/>
                              <a:ext cx="1200150" cy="600075"/>
                            </a:xfrm>
                            <a:prstGeom prst="straightConnector1">
                              <a:avLst/>
                            </a:prstGeom>
                            <a:ln w="25400">
                              <a:solidFill>
                                <a:schemeClr val="accent1">
                                  <a:lumMod val="50000"/>
                                </a:schemeClr>
                              </a:solidFill>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39" name="Straight Arrow Connector 339"/>
                          <wps:cNvCnPr/>
                          <wps:spPr>
                            <a:xfrm flipH="1" flipV="1">
                              <a:off x="2110073" y="439575"/>
                              <a:ext cx="0" cy="1724025"/>
                            </a:xfrm>
                            <a:prstGeom prst="straightConnector1">
                              <a:avLst/>
                            </a:prstGeom>
                            <a:ln w="25400">
                              <a:solidFill>
                                <a:schemeClr val="accent1">
                                  <a:lumMod val="50000"/>
                                </a:schemeClr>
                              </a:solidFill>
                              <a:prstDash val="sysDot"/>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40" name="Straight Arrow Connector 340"/>
                          <wps:cNvCnPr/>
                          <wps:spPr>
                            <a:xfrm flipH="1">
                              <a:off x="862298" y="179699"/>
                              <a:ext cx="762000" cy="0"/>
                            </a:xfrm>
                            <a:prstGeom prst="straightConnector1">
                              <a:avLst/>
                            </a:prstGeom>
                            <a:ln w="25400">
                              <a:solidFill>
                                <a:schemeClr val="accent1">
                                  <a:lumMod val="50000"/>
                                </a:schemeClr>
                              </a:solidFill>
                              <a:prstDash val="sysDot"/>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41" name="Straight Arrow Connector 341"/>
                          <wps:cNvCnPr/>
                          <wps:spPr>
                            <a:xfrm flipV="1">
                              <a:off x="538448" y="2849400"/>
                              <a:ext cx="1076324" cy="552450"/>
                            </a:xfrm>
                            <a:prstGeom prst="straightConnector1">
                              <a:avLst/>
                            </a:prstGeom>
                            <a:ln w="25400">
                              <a:solidFill>
                                <a:schemeClr val="accent1">
                                  <a:lumMod val="50000"/>
                                </a:schemeClr>
                              </a:solidFill>
                              <a:prstDash val="sysDot"/>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42" name="Straight Arrow Connector 342"/>
                          <wps:cNvCnPr/>
                          <wps:spPr>
                            <a:xfrm flipV="1">
                              <a:off x="1548098" y="2849400"/>
                              <a:ext cx="333375" cy="552450"/>
                            </a:xfrm>
                            <a:prstGeom prst="straightConnector1">
                              <a:avLst/>
                            </a:prstGeom>
                            <a:ln w="25400">
                              <a:solidFill>
                                <a:schemeClr val="accent1">
                                  <a:lumMod val="50000"/>
                                </a:schemeClr>
                              </a:solidFill>
                              <a:prstDash val="sysDot"/>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43" name="Straight Arrow Connector 343"/>
                          <wps:cNvCnPr/>
                          <wps:spPr>
                            <a:xfrm flipH="1" flipV="1">
                              <a:off x="2262473" y="2849400"/>
                              <a:ext cx="247651" cy="542926"/>
                            </a:xfrm>
                            <a:prstGeom prst="straightConnector1">
                              <a:avLst/>
                            </a:prstGeom>
                            <a:ln w="25400">
                              <a:solidFill>
                                <a:schemeClr val="accent1">
                                  <a:lumMod val="50000"/>
                                </a:schemeClr>
                              </a:solidFill>
                              <a:prstDash val="sysDot"/>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44" name="Straight Arrow Connector 344"/>
                          <wps:cNvCnPr/>
                          <wps:spPr>
                            <a:xfrm flipH="1" flipV="1">
                              <a:off x="2538698" y="2849400"/>
                              <a:ext cx="990600" cy="542290"/>
                            </a:xfrm>
                            <a:prstGeom prst="straightConnector1">
                              <a:avLst/>
                            </a:prstGeom>
                            <a:ln w="25400">
                              <a:solidFill>
                                <a:schemeClr val="accent1">
                                  <a:lumMod val="50000"/>
                                </a:schemeClr>
                              </a:solidFill>
                              <a:prstDash val="sysDot"/>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45" name="Straight Arrow Connector 345"/>
                          <wps:cNvCnPr/>
                          <wps:spPr>
                            <a:xfrm flipV="1">
                              <a:off x="2443448" y="1620675"/>
                              <a:ext cx="0" cy="542924"/>
                            </a:xfrm>
                            <a:prstGeom prst="straightConnector1">
                              <a:avLst/>
                            </a:prstGeom>
                            <a:ln w="25400">
                              <a:solidFill>
                                <a:schemeClr val="accent1">
                                  <a:lumMod val="50000"/>
                                </a:schemeClr>
                              </a:solidFill>
                              <a:prstDash val="sysDot"/>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46" name="Straight Arrow Connector 346"/>
                          <wps:cNvCnPr/>
                          <wps:spPr>
                            <a:xfrm>
                              <a:off x="43149" y="1413101"/>
                              <a:ext cx="295275" cy="0"/>
                            </a:xfrm>
                            <a:prstGeom prst="straightConnector1">
                              <a:avLst/>
                            </a:prstGeom>
                            <a:ln w="25400">
                              <a:solidFill>
                                <a:schemeClr val="accent1">
                                  <a:lumMod val="50000"/>
                                </a:schemeClr>
                              </a:solidFill>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47" name="Straight Arrow Connector 347"/>
                          <wps:cNvCnPr/>
                          <wps:spPr>
                            <a:xfrm>
                              <a:off x="43149" y="1593656"/>
                              <a:ext cx="295275" cy="0"/>
                            </a:xfrm>
                            <a:prstGeom prst="straightConnector1">
                              <a:avLst/>
                            </a:prstGeom>
                            <a:ln w="25400">
                              <a:solidFill>
                                <a:schemeClr val="accent1">
                                  <a:lumMod val="50000"/>
                                </a:schemeClr>
                              </a:solidFill>
                              <a:prstDash val="sysDot"/>
                              <a:miter lim="800000"/>
                              <a:tailEnd type="triangle"/>
                            </a:ln>
                          </wps:spPr>
                          <wps:style>
                            <a:lnRef idx="1">
                              <a:schemeClr val="accent1"/>
                            </a:lnRef>
                            <a:fillRef idx="0">
                              <a:schemeClr val="accent1"/>
                            </a:fillRef>
                            <a:effectRef idx="0">
                              <a:schemeClr val="accent1"/>
                            </a:effectRef>
                            <a:fontRef idx="minor">
                              <a:schemeClr val="tx1"/>
                            </a:fontRef>
                          </wps:style>
                          <wps:bodyPr/>
                        </wps:wsp>
                        <wps:wsp>
                          <wps:cNvPr id="348" name="Text Box 2"/>
                          <wps:cNvSpPr txBox="1">
                            <a:spLocks noChangeArrowheads="1"/>
                          </wps:cNvSpPr>
                          <wps:spPr bwMode="auto">
                            <a:xfrm>
                              <a:off x="366999" y="1311982"/>
                              <a:ext cx="1257299" cy="432204"/>
                            </a:xfrm>
                            <a:prstGeom prst="rect">
                              <a:avLst/>
                            </a:prstGeom>
                            <a:solidFill>
                              <a:srgbClr val="FFFFFF"/>
                            </a:solidFill>
                            <a:ln w="9525">
                              <a:noFill/>
                              <a:miter lim="800000"/>
                              <a:headEnd/>
                              <a:tailEnd/>
                            </a:ln>
                          </wps:spPr>
                          <wps:txbx>
                            <w:txbxContent>
                              <w:p w14:paraId="609C7B1D" w14:textId="77777777" w:rsidR="0099059D" w:rsidRPr="003A13CE" w:rsidRDefault="0099059D" w:rsidP="0039560F">
                                <w:pPr>
                                  <w:pStyle w:val="NormalWeb"/>
                                  <w:spacing w:before="0" w:beforeAutospacing="0" w:after="120" w:afterAutospacing="0"/>
                                  <w:rPr>
                                    <w:color w:val="1F3864" w:themeColor="accent1" w:themeShade="80"/>
                                    <w:sz w:val="22"/>
                                    <w:szCs w:val="22"/>
                                  </w:rPr>
                                </w:pPr>
                                <w:r w:rsidRPr="003A13CE">
                                  <w:rPr>
                                    <w:rFonts w:eastAsia="Calibri"/>
                                    <w:color w:val="1F3864" w:themeColor="accent1" w:themeShade="80"/>
                                    <w:kern w:val="24"/>
                                    <w:sz w:val="22"/>
                                    <w:szCs w:val="22"/>
                                  </w:rPr>
                                  <w:t>flow of funding</w:t>
                                </w:r>
                              </w:p>
                              <w:p w14:paraId="6E2BFA66" w14:textId="77777777" w:rsidR="0099059D" w:rsidRPr="003A13CE" w:rsidRDefault="0099059D" w:rsidP="0039560F">
                                <w:pPr>
                                  <w:pStyle w:val="NormalWeb"/>
                                  <w:spacing w:before="0" w:beforeAutospacing="0" w:after="120" w:afterAutospacing="0"/>
                                  <w:rPr>
                                    <w:color w:val="1F3864" w:themeColor="accent1" w:themeShade="80"/>
                                    <w:sz w:val="22"/>
                                    <w:szCs w:val="22"/>
                                  </w:rPr>
                                </w:pPr>
                                <w:r w:rsidRPr="003A13CE">
                                  <w:rPr>
                                    <w:rFonts w:eastAsia="Calibri"/>
                                    <w:color w:val="1F3864" w:themeColor="accent1" w:themeShade="80"/>
                                    <w:kern w:val="24"/>
                                    <w:sz w:val="22"/>
                                    <w:szCs w:val="22"/>
                                  </w:rPr>
                                  <w:t>flow of reporting</w:t>
                                </w:r>
                              </w:p>
                            </w:txbxContent>
                          </wps:txbx>
                          <wps:bodyPr rot="0" vert="horz" wrap="square" lIns="91440" tIns="45720" rIns="91440" bIns="45720" anchor="t" anchorCtr="0">
                            <a:noAutofit/>
                          </wps:bodyPr>
                        </wps:wsp>
                      </wpg:grpSp>
                      <wps:wsp>
                        <wps:cNvPr id="349" name="Rounded Rectangle 349"/>
                        <wps:cNvSpPr/>
                        <wps:spPr>
                          <a:xfrm>
                            <a:off x="0" y="3377270"/>
                            <a:ext cx="1806291" cy="1070499"/>
                          </a:xfrm>
                          <a:prstGeom prst="roundRect">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832065B" w14:textId="77777777" w:rsidR="0099059D" w:rsidRPr="003A13CE" w:rsidRDefault="0099059D" w:rsidP="0039560F">
                              <w:pPr>
                                <w:pStyle w:val="NormalWeb"/>
                                <w:spacing w:before="0" w:beforeAutospacing="0" w:after="0" w:afterAutospacing="0"/>
                                <w:jc w:val="center"/>
                                <w:rPr>
                                  <w:b/>
                                  <w:color w:val="1F3864" w:themeColor="accent1" w:themeShade="80"/>
                                  <w:sz w:val="22"/>
                                  <w:szCs w:val="22"/>
                                </w:rPr>
                              </w:pPr>
                              <w:r w:rsidRPr="003A13CE">
                                <w:rPr>
                                  <w:rFonts w:eastAsia="SimSun-ExtB"/>
                                  <w:b/>
                                  <w:color w:val="1F3864" w:themeColor="accent1" w:themeShade="80"/>
                                  <w:kern w:val="24"/>
                                  <w:sz w:val="22"/>
                                  <w:szCs w:val="22"/>
                                </w:rPr>
                                <w:t>Technical Working Group</w:t>
                              </w:r>
                              <w:r>
                                <w:rPr>
                                  <w:rFonts w:eastAsia="SimSun-ExtB"/>
                                  <w:b/>
                                  <w:color w:val="1F3864" w:themeColor="accent1" w:themeShade="80"/>
                                  <w:kern w:val="24"/>
                                  <w:sz w:val="22"/>
                                  <w:szCs w:val="22"/>
                                </w:rPr>
                                <w:t>s</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50" name="Straight Arrow Connector 350"/>
                        <wps:cNvCnPr/>
                        <wps:spPr>
                          <a:xfrm>
                            <a:off x="1806291" y="3912520"/>
                            <a:ext cx="622584" cy="0"/>
                          </a:xfrm>
                          <a:prstGeom prst="straightConnector1">
                            <a:avLst/>
                          </a:prstGeom>
                          <a:ln w="25400">
                            <a:solidFill>
                              <a:schemeClr val="accent1">
                                <a:lumMod val="50000"/>
                              </a:schemeClr>
                            </a:solidFill>
                            <a:prstDash val="sysDot"/>
                            <a:miter lim="800000"/>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54CC4633" id="Group 33" o:spid="_x0000_s1136" style="width:400.5pt;height:377.1pt;mso-position-horizontal-relative:char;mso-position-vertical-relative:line" coordsize="66126,60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">
                <v:group id="Group 71" o:spid="_x0000_s1137" style="position:absolute;left:50;width:66076;height:60089" coordorigin="50" coordsize="40767,38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roundrect id="Rounded Rectangle 72" o:spid="_x0000_s1138" style="position:absolute;left:50;width:8572;height:447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" fillcolor="#1f3763 [1604]" strokecolor="#1f3763 [1604]" strokeweight="1pt">
                    <v:stroke joinstyle="miter"/>
                    <v:textbox>
                      <w:txbxContent>
                        <w:p w14:paraId="16D8060E" w14:textId="77777777" w:rsidR="0099059D" w:rsidRPr="00F86915" w:rsidRDefault="0099059D" w:rsidP="0039560F">
                          <w:pPr>
                            <w:pStyle w:val="NormalWeb"/>
                            <w:spacing w:before="0" w:beforeAutospacing="0" w:after="0" w:afterAutospacing="0"/>
                            <w:jc w:val="center"/>
                            <w:rPr>
                              <w:b/>
                              <w:sz w:val="22"/>
                              <w:szCs w:val="22"/>
                            </w:rPr>
                          </w:pPr>
                          <w:r w:rsidRPr="00F86915">
                            <w:rPr>
                              <w:rFonts w:eastAsia="SimSun-ExtB"/>
                              <w:b/>
                              <w:color w:val="FFFFFF" w:themeColor="light1"/>
                              <w:kern w:val="24"/>
                              <w:sz w:val="22"/>
                              <w:szCs w:val="22"/>
                            </w:rPr>
                            <w:t>GEF Secretariat</w:t>
                          </w:r>
                        </w:p>
                      </w:txbxContent>
                    </v:textbox>
                  </v:roundrect>
                  <v:roundrect id="Rounded Rectangle 323" o:spid="_x0000_s1139" style="position:absolute;left:16242;width:8573;height:447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" fillcolor="#1f3763 [1604]" strokecolor="#1f3763 [1604]" strokeweight="1pt">
                    <v:stroke joinstyle="miter"/>
                    <v:textbox>
                      <w:txbxContent>
                        <w:p w14:paraId="786CF9F6" w14:textId="77777777" w:rsidR="0099059D" w:rsidRPr="00F86915" w:rsidRDefault="0099059D" w:rsidP="0039560F">
                          <w:pPr>
                            <w:pStyle w:val="NormalWeb"/>
                            <w:spacing w:before="0" w:beforeAutospacing="0" w:after="0" w:afterAutospacing="0"/>
                            <w:jc w:val="center"/>
                            <w:rPr>
                              <w:b/>
                              <w:sz w:val="22"/>
                              <w:szCs w:val="22"/>
                            </w:rPr>
                          </w:pPr>
                          <w:r w:rsidRPr="00F86915">
                            <w:rPr>
                              <w:rFonts w:eastAsia="SimSun-ExtB"/>
                              <w:b/>
                              <w:color w:val="FFFFFF" w:themeColor="light1"/>
                              <w:kern w:val="24"/>
                              <w:sz w:val="22"/>
                              <w:szCs w:val="22"/>
                            </w:rPr>
                            <w:t>FAO</w:t>
                          </w:r>
                        </w:p>
                      </w:txbxContent>
                    </v:textbox>
                  </v:roundrect>
                  <v:roundrect id="Rounded Rectangle 324" o:spid="_x0000_s1140" style="position:absolute;left:29357;width:11460;height:753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" fillcolor="#1f3763 [1604]" strokecolor="#1f3763 [1604]" strokeweight="1pt">
                    <v:stroke joinstyle="miter"/>
                    <v:textbox>
                      <w:txbxContent>
                        <w:p w14:paraId="07BE3906" w14:textId="4CC87D84" w:rsidR="0099059D" w:rsidRPr="00F86915" w:rsidRDefault="0099059D" w:rsidP="0039560F">
                          <w:pPr>
                            <w:pStyle w:val="NormalWeb"/>
                            <w:spacing w:before="0" w:beforeAutospacing="0" w:after="0" w:afterAutospacing="0"/>
                            <w:jc w:val="center"/>
                            <w:rPr>
                              <w:b/>
                              <w:sz w:val="22"/>
                              <w:szCs w:val="22"/>
                            </w:rPr>
                          </w:pPr>
                          <w:r>
                            <w:rPr>
                              <w:rFonts w:eastAsia="SimSun-ExtB"/>
                              <w:b/>
                              <w:color w:val="FFFFFF" w:themeColor="light1"/>
                              <w:kern w:val="24"/>
                              <w:sz w:val="22"/>
                              <w:szCs w:val="22"/>
                            </w:rPr>
                            <w:t xml:space="preserve">Ministry of Mahaweli Development and Environment </w:t>
                          </w:r>
                        </w:p>
                      </w:txbxContent>
                    </v:textbox>
                  </v:roundrect>
                  <v:roundrect id="Rounded Rectangle 326" o:spid="_x0000_s1141" style="position:absolute;left:15004;top:21636;width:11144;height:685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" fillcolor="#8eaadb [1940]" strokecolor="#1f3763 [1604]" strokeweight="1pt">
                    <v:stroke joinstyle="miter"/>
                    <v:textbox>
                      <w:txbxContent>
                        <w:p w14:paraId="279E48F6" w14:textId="77777777" w:rsidR="0099059D" w:rsidRDefault="0099059D" w:rsidP="0039560F">
                          <w:pPr>
                            <w:pStyle w:val="NormalWeb"/>
                            <w:spacing w:before="0" w:beforeAutospacing="0" w:after="0" w:afterAutospacing="0"/>
                            <w:jc w:val="center"/>
                            <w:rPr>
                              <w:rFonts w:eastAsia="SimSun-ExtB"/>
                              <w:b/>
                              <w:color w:val="1F3864" w:themeColor="accent1" w:themeShade="80"/>
                              <w:kern w:val="24"/>
                              <w:sz w:val="22"/>
                              <w:szCs w:val="22"/>
                            </w:rPr>
                          </w:pPr>
                          <w:r w:rsidRPr="003A13CE">
                            <w:rPr>
                              <w:rFonts w:eastAsia="SimSun-ExtB"/>
                              <w:b/>
                              <w:color w:val="1F3864" w:themeColor="accent1" w:themeShade="80"/>
                              <w:kern w:val="24"/>
                              <w:sz w:val="22"/>
                              <w:szCs w:val="22"/>
                            </w:rPr>
                            <w:t>Project Management Unit</w:t>
                          </w:r>
                        </w:p>
                        <w:p w14:paraId="7E61DE87" w14:textId="0754E9D2" w:rsidR="0099059D" w:rsidRPr="003A13CE" w:rsidRDefault="0099059D" w:rsidP="0039560F">
                          <w:pPr>
                            <w:pStyle w:val="NormalWeb"/>
                            <w:spacing w:before="0" w:beforeAutospacing="0" w:after="0" w:afterAutospacing="0"/>
                            <w:jc w:val="center"/>
                            <w:rPr>
                              <w:b/>
                              <w:color w:val="1F3864" w:themeColor="accent1" w:themeShade="80"/>
                              <w:sz w:val="22"/>
                              <w:szCs w:val="22"/>
                            </w:rPr>
                          </w:pPr>
                          <w:r>
                            <w:rPr>
                              <w:rFonts w:eastAsia="SimSun-ExtB"/>
                              <w:b/>
                              <w:color w:val="1F3864" w:themeColor="accent1" w:themeShade="80"/>
                              <w:kern w:val="24"/>
                              <w:sz w:val="22"/>
                              <w:szCs w:val="22"/>
                            </w:rPr>
                            <w:t>(Climate Chance Secretariat)</w:t>
                          </w:r>
                        </w:p>
                      </w:txbxContent>
                    </v:textbox>
                  </v:roundrect>
                  <v:roundrect id="Rounded Rectangle 327" o:spid="_x0000_s1142" style="position:absolute;left:50;top:34018;width:8572;height:447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" fillcolor="#b4c6e7 [1300]" strokecolor="#1f3763 [1604]" strokeweight="1pt">
                    <v:stroke joinstyle="miter"/>
                    <v:textbox>
                      <w:txbxContent>
                        <w:p w14:paraId="0BA2E718" w14:textId="77777777" w:rsidR="0099059D" w:rsidRPr="003A13CE" w:rsidRDefault="0099059D" w:rsidP="0039560F">
                          <w:pPr>
                            <w:pStyle w:val="NormalWeb"/>
                            <w:spacing w:before="0" w:beforeAutospacing="0" w:after="0" w:afterAutospacing="0"/>
                            <w:jc w:val="center"/>
                            <w:rPr>
                              <w:b/>
                              <w:color w:val="1F3864" w:themeColor="accent1" w:themeShade="80"/>
                              <w:sz w:val="22"/>
                              <w:szCs w:val="22"/>
                            </w:rPr>
                          </w:pPr>
                          <w:r>
                            <w:rPr>
                              <w:rFonts w:eastAsia="SimSun-ExtB"/>
                              <w:b/>
                              <w:color w:val="1F3864" w:themeColor="accent1" w:themeShade="80"/>
                              <w:kern w:val="24"/>
                              <w:sz w:val="22"/>
                              <w:szCs w:val="22"/>
                            </w:rPr>
                            <w:t>Gov. Agencies</w:t>
                          </w:r>
                        </w:p>
                      </w:txbxContent>
                    </v:textbox>
                  </v:roundrect>
                  <v:roundrect id="Rounded Rectangle 328" o:spid="_x0000_s1143" style="position:absolute;left:10718;top:33923;width:8572;height:447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" fillcolor="#b4c6e7 [1300]" strokecolor="#1f3763 [1604]" strokeweight="1pt">
                    <v:stroke joinstyle="miter"/>
                    <v:textbox>
                      <w:txbxContent>
                        <w:p w14:paraId="0388358D" w14:textId="77777777" w:rsidR="0099059D" w:rsidRPr="003A13CE" w:rsidRDefault="0099059D" w:rsidP="0039560F">
                          <w:pPr>
                            <w:pStyle w:val="NormalWeb"/>
                            <w:spacing w:before="0" w:beforeAutospacing="0" w:after="0" w:afterAutospacing="0"/>
                            <w:jc w:val="center"/>
                            <w:rPr>
                              <w:b/>
                              <w:color w:val="1F3864" w:themeColor="accent1" w:themeShade="80"/>
                              <w:sz w:val="22"/>
                              <w:szCs w:val="22"/>
                            </w:rPr>
                          </w:pPr>
                          <w:r>
                            <w:rPr>
                              <w:rFonts w:eastAsia="SimSun-ExtB"/>
                              <w:b/>
                              <w:color w:val="1F3864" w:themeColor="accent1" w:themeShade="80"/>
                              <w:kern w:val="24"/>
                              <w:sz w:val="22"/>
                              <w:szCs w:val="22"/>
                            </w:rPr>
                            <w:t>Academic &amp; Rsch. Inst.</w:t>
                          </w:r>
                        </w:p>
                      </w:txbxContent>
                    </v:textbox>
                  </v:roundrect>
                  <v:line id="Straight Connector 329" o:spid="_x0000_s1144" style="position:absolute;visibility:visible;mso-wrap-style:square" from="24815,2205" to="29235,2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" strokecolor="#1f3763 [1604]" strokeweight=".5pt">
                    <v:stroke joinstyle="miter"/>
                  </v:line>
                  <v:line id="Straight Connector 330" o:spid="_x0000_s1145" style="position:absolute;visibility:visible;mso-wrap-style:square" from="28720,2205" to="28720,93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" strokecolor="#1f3763 [1604]" strokeweight=".5pt">
                    <v:stroke joinstyle="miter"/>
                  </v:line>
                  <v:roundrect id="Rounded Rectangle 331" o:spid="_x0000_s1146" style="position:absolute;left:21291;top:33923;width:8572;height:447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" fillcolor="#b4c6e7 [1300]" strokecolor="#1f3763 [1604]" strokeweight="1pt">
                    <v:stroke joinstyle="miter"/>
                    <v:textbox>
                      <w:txbxContent>
                        <w:p w14:paraId="1B7B0DAF" w14:textId="77777777" w:rsidR="0099059D" w:rsidRPr="003A13CE" w:rsidRDefault="0099059D" w:rsidP="0039560F">
                          <w:pPr>
                            <w:pStyle w:val="NormalWeb"/>
                            <w:spacing w:before="0" w:beforeAutospacing="0" w:after="0" w:afterAutospacing="0"/>
                            <w:jc w:val="center"/>
                            <w:rPr>
                              <w:b/>
                              <w:color w:val="1F3864" w:themeColor="accent1" w:themeShade="80"/>
                              <w:sz w:val="22"/>
                              <w:szCs w:val="22"/>
                            </w:rPr>
                          </w:pPr>
                          <w:r w:rsidRPr="003A13CE">
                            <w:rPr>
                              <w:rFonts w:eastAsia="SimSun-ExtB"/>
                              <w:b/>
                              <w:color w:val="1F3864" w:themeColor="accent1" w:themeShade="80"/>
                              <w:kern w:val="24"/>
                              <w:sz w:val="22"/>
                              <w:szCs w:val="22"/>
                            </w:rPr>
                            <w:t>CSO</w:t>
                          </w:r>
                          <w:r>
                            <w:rPr>
                              <w:rFonts w:eastAsia="SimSun-ExtB"/>
                              <w:b/>
                              <w:color w:val="1F3864" w:themeColor="accent1" w:themeShade="80"/>
                              <w:kern w:val="24"/>
                              <w:sz w:val="22"/>
                              <w:szCs w:val="22"/>
                            </w:rPr>
                            <w:t>s</w:t>
                          </w:r>
                        </w:p>
                      </w:txbxContent>
                    </v:textbox>
                  </v:roundrect>
                  <v:roundrect id="Rounded Rectangle 332" o:spid="_x0000_s1147" style="position:absolute;left:31863;top:33923;width:8573;height:447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" fillcolor="#b4c6e7 [1300]" strokecolor="#1f3763 [1604]" strokeweight="1pt">
                    <v:stroke joinstyle="miter"/>
                    <v:textbox>
                      <w:txbxContent>
                        <w:p w14:paraId="5AC8B389" w14:textId="77777777" w:rsidR="0099059D" w:rsidRPr="003A13CE" w:rsidRDefault="0099059D" w:rsidP="0039560F">
                          <w:pPr>
                            <w:pStyle w:val="NormalWeb"/>
                            <w:spacing w:before="0" w:beforeAutospacing="0" w:after="0" w:afterAutospacing="0"/>
                            <w:jc w:val="center"/>
                            <w:rPr>
                              <w:b/>
                              <w:color w:val="1F3864" w:themeColor="accent1" w:themeShade="80"/>
                              <w:sz w:val="22"/>
                              <w:szCs w:val="22"/>
                            </w:rPr>
                          </w:pPr>
                          <w:r>
                            <w:rPr>
                              <w:rFonts w:eastAsia="SimSun-ExtB"/>
                              <w:b/>
                              <w:color w:val="1F3864" w:themeColor="accent1" w:themeShade="80"/>
                              <w:kern w:val="24"/>
                              <w:sz w:val="22"/>
                              <w:szCs w:val="22"/>
                            </w:rPr>
                            <w:t>Others</w:t>
                          </w:r>
                        </w:p>
                      </w:txbxContent>
                    </v:textbox>
                  </v:roundrect>
                  <v:shape id="Straight Arrow Connector 333" o:spid="_x0000_s1148" type="#_x0000_t32" style="position:absolute;left:8622;top:2858;width:76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" strokecolor="#1f3763 [1604]" strokeweight="2pt">
                    <v:stroke endarrow="block" joinstyle="miter"/>
                  </v:shape>
                  <v:shape id="Straight Arrow Connector 334" o:spid="_x0000_s1149" type="#_x0000_t32" style="position:absolute;left:19767;top:4395;width:0;height:172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" strokecolor="#1f3763 [1604]" strokeweight="2pt">
                    <v:stroke endarrow="block" joinstyle="miter"/>
                  </v:shape>
                  <v:shape id="Straight Arrow Connector 335" o:spid="_x0000_s1150" type="#_x0000_t32" style="position:absolute;left:26148;top:27541;width:11526;height:637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" strokecolor="#1f3763 [1604]" strokeweight="2pt">
                    <v:stroke endarrow="block" joinstyle="miter"/>
                  </v:shape>
                  <v:shape id="Straight Arrow Connector 336" o:spid="_x0000_s1151" type="#_x0000_t32" style="position:absolute;left:23767;top:28494;width:2858;height:54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" strokecolor="#1f3763 [1604]" strokeweight="2pt">
                    <v:stroke endarrow="block" joinstyle="miter"/>
                  </v:shape>
                  <v:shape id="Straight Arrow Connector 337" o:spid="_x0000_s1152" type="#_x0000_t32" style="position:absolute;left:14242;top:28494;width:3524;height:542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" strokecolor="#1f3763 [1604]" strokeweight="2pt">
                    <v:stroke endarrow="block" joinstyle="miter"/>
                  </v:shape>
                  <v:shape id="Straight Arrow Connector 338" o:spid="_x0000_s1153" type="#_x0000_t32" style="position:absolute;left:3003;top:28017;width:12001;height:600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" strokecolor="#1f3763 [1604]" strokeweight="2pt">
                    <v:stroke endarrow="block" joinstyle="miter"/>
                  </v:shape>
                  <v:shape id="Straight Arrow Connector 339" o:spid="_x0000_s1154" type="#_x0000_t32" style="position:absolute;left:21100;top:4395;width:0;height:1724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" strokecolor="#1f3763 [1604]" strokeweight="2pt">
                    <v:stroke dashstyle="1 1" endarrow="block" joinstyle="miter"/>
                  </v:shape>
                  <v:shape id="Straight Arrow Connector 340" o:spid="_x0000_s1155" type="#_x0000_t32" style="position:absolute;left:8622;top:1796;width:762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" strokecolor="#1f3763 [1604]" strokeweight="2pt">
                    <v:stroke dashstyle="1 1" endarrow="block" joinstyle="miter"/>
                  </v:shape>
                  <v:shape id="Straight Arrow Connector 341" o:spid="_x0000_s1156" type="#_x0000_t32" style="position:absolute;left:5384;top:28494;width:10763;height:552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" strokecolor="#1f3763 [1604]" strokeweight="2pt">
                    <v:stroke dashstyle="1 1" endarrow="block" joinstyle="miter"/>
                  </v:shape>
                  <v:shape id="Straight Arrow Connector 342" o:spid="_x0000_s1157" type="#_x0000_t32" style="position:absolute;left:15480;top:28494;width:3334;height:552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" strokecolor="#1f3763 [1604]" strokeweight="2pt">
                    <v:stroke dashstyle="1 1" endarrow="block" joinstyle="miter"/>
                  </v:shape>
                  <v:shape id="Straight Arrow Connector 343" o:spid="_x0000_s1158" type="#_x0000_t32" style="position:absolute;left:22624;top:28494;width:2477;height:542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" strokecolor="#1f3763 [1604]" strokeweight="2pt">
                    <v:stroke dashstyle="1 1" endarrow="block" joinstyle="miter"/>
                  </v:shape>
                  <v:shape id="Straight Arrow Connector 344" o:spid="_x0000_s1159" type="#_x0000_t32" style="position:absolute;left:25386;top:28494;width:9906;height:542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" strokecolor="#1f3763 [1604]" strokeweight="2pt">
                    <v:stroke dashstyle="1 1" endarrow="block" joinstyle="miter"/>
                  </v:shape>
                  <v:shape id="Straight Arrow Connector 345" o:spid="_x0000_s1160" type="#_x0000_t32" style="position:absolute;left:24434;top:16206;width:0;height:54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" strokecolor="#1f3763 [1604]" strokeweight="2pt">
                    <v:stroke dashstyle="1 1" endarrow="block" joinstyle="miter"/>
                  </v:shape>
                  <v:shape id="Straight Arrow Connector 346" o:spid="_x0000_s1161" type="#_x0000_t32" style="position:absolute;left:431;top:14131;width:29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" strokecolor="#1f3763 [1604]" strokeweight="2pt">
                    <v:stroke endarrow="block" joinstyle="miter"/>
                  </v:shape>
                  <v:shape id="Straight Arrow Connector 347" o:spid="_x0000_s1162" type="#_x0000_t32" style="position:absolute;left:431;top:15936;width:29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" strokecolor="#1f3763 [1604]" strokeweight="2pt">
                    <v:stroke dashstyle="1 1" endarrow="block" joinstyle="miter"/>
                  </v:shape>
                  <v:shape id="_x0000_s1163" type="#_x0000_t202" style="position:absolute;left:3669;top:13119;width:12573;height:4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" stroked="f">
                    <v:textbox>
                      <w:txbxContent>
                        <w:p w14:paraId="609C7B1D" w14:textId="77777777" w:rsidR="0099059D" w:rsidRPr="003A13CE" w:rsidRDefault="0099059D" w:rsidP="0039560F">
                          <w:pPr>
                            <w:pStyle w:val="NormalWeb"/>
                            <w:spacing w:before="0" w:beforeAutospacing="0" w:after="120" w:afterAutospacing="0"/>
                            <w:rPr>
                              <w:color w:val="1F3864" w:themeColor="accent1" w:themeShade="80"/>
                              <w:sz w:val="22"/>
                              <w:szCs w:val="22"/>
                            </w:rPr>
                          </w:pPr>
                          <w:r w:rsidRPr="003A13CE">
                            <w:rPr>
                              <w:rFonts w:eastAsia="Calibri"/>
                              <w:color w:val="1F3864" w:themeColor="accent1" w:themeShade="80"/>
                              <w:kern w:val="24"/>
                              <w:sz w:val="22"/>
                              <w:szCs w:val="22"/>
                            </w:rPr>
                            <w:t>flow of funding</w:t>
                          </w:r>
                        </w:p>
                        <w:p w14:paraId="6E2BFA66" w14:textId="77777777" w:rsidR="0099059D" w:rsidRPr="003A13CE" w:rsidRDefault="0099059D" w:rsidP="0039560F">
                          <w:pPr>
                            <w:pStyle w:val="NormalWeb"/>
                            <w:spacing w:before="0" w:beforeAutospacing="0" w:after="120" w:afterAutospacing="0"/>
                            <w:rPr>
                              <w:color w:val="1F3864" w:themeColor="accent1" w:themeShade="80"/>
                              <w:sz w:val="22"/>
                              <w:szCs w:val="22"/>
                            </w:rPr>
                          </w:pPr>
                          <w:r w:rsidRPr="003A13CE">
                            <w:rPr>
                              <w:rFonts w:eastAsia="Calibri"/>
                              <w:color w:val="1F3864" w:themeColor="accent1" w:themeShade="80"/>
                              <w:kern w:val="24"/>
                              <w:sz w:val="22"/>
                              <w:szCs w:val="22"/>
                            </w:rPr>
                            <w:t>flow of reporting</w:t>
                          </w:r>
                        </w:p>
                      </w:txbxContent>
                    </v:textbox>
                  </v:shape>
                </v:group>
                <v:roundrect id="_x0000_s1164" style="position:absolute;top:33772;width:18062;height:1070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" fillcolor="#b4c6e7 [1300]" strokecolor="#1f3763 [1604]" strokeweight="1pt">
                  <v:stroke joinstyle="miter"/>
                  <v:textbox>
                    <w:txbxContent>
                      <w:p w14:paraId="2832065B" w14:textId="77777777" w:rsidR="0099059D" w:rsidRPr="003A13CE" w:rsidRDefault="0099059D" w:rsidP="0039560F">
                        <w:pPr>
                          <w:pStyle w:val="NormalWeb"/>
                          <w:spacing w:before="0" w:beforeAutospacing="0" w:after="0" w:afterAutospacing="0"/>
                          <w:jc w:val="center"/>
                          <w:rPr>
                            <w:b/>
                            <w:color w:val="1F3864" w:themeColor="accent1" w:themeShade="80"/>
                            <w:sz w:val="22"/>
                            <w:szCs w:val="22"/>
                          </w:rPr>
                        </w:pPr>
                        <w:r w:rsidRPr="003A13CE">
                          <w:rPr>
                            <w:rFonts w:eastAsia="SimSun-ExtB"/>
                            <w:b/>
                            <w:color w:val="1F3864" w:themeColor="accent1" w:themeShade="80"/>
                            <w:kern w:val="24"/>
                            <w:sz w:val="22"/>
                            <w:szCs w:val="22"/>
                          </w:rPr>
                          <w:t>Technical Working Group</w:t>
                        </w:r>
                        <w:r>
                          <w:rPr>
                            <w:rFonts w:eastAsia="SimSun-ExtB"/>
                            <w:b/>
                            <w:color w:val="1F3864" w:themeColor="accent1" w:themeShade="80"/>
                            <w:kern w:val="24"/>
                            <w:sz w:val="22"/>
                            <w:szCs w:val="22"/>
                          </w:rPr>
                          <w:t>s</w:t>
                        </w:r>
                      </w:p>
                    </w:txbxContent>
                  </v:textbox>
                </v:roundrect>
                <v:shape id="Straight Arrow Connector 350" o:spid="_x0000_s1165" type="#_x0000_t32" style="position:absolute;left:18062;top:39125;width:622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" strokecolor="#1f3763 [1604]" strokeweight="2pt">
                  <v:stroke dashstyle="1 1" endarrow="block" joinstyle="miter"/>
                </v:shape>
                <w10:anchorlock/>
              </v:group>
            </w:pict>
          </mc:Fallback>
        </mc:AlternateContent>
      </w:r>
    </w:p>
    <w:p w14:paraId="19D54D98" w14:textId="77777777" w:rsidR="00885FBC" w:rsidRPr="00AA2617" w:rsidRDefault="0010018B" w:rsidP="00AA2617">
      <w:pPr>
        <w:pStyle w:val="Heading3"/>
        <w:rPr>
          <w:b/>
          <w:szCs w:val="22"/>
          <w:lang w:val="en-GB"/>
        </w:rPr>
      </w:pPr>
      <w:bookmarkStart w:id="128" w:name="_Toc9249198"/>
      <w:r w:rsidRPr="00AA2617">
        <w:rPr>
          <w:b/>
          <w:szCs w:val="22"/>
          <w:lang w:val="en-GB"/>
        </w:rPr>
        <w:t>FAO’s comparative advantages</w:t>
      </w:r>
      <w:bookmarkEnd w:id="128"/>
    </w:p>
    <w:p w14:paraId="270E732C" w14:textId="77777777" w:rsidR="00185910" w:rsidRPr="00AA2617" w:rsidRDefault="000B5681" w:rsidP="00AA2617">
      <w:pPr>
        <w:pStyle w:val="NumberedParagraph"/>
        <w:spacing w:before="120"/>
        <w:rPr>
          <w:rFonts w:eastAsia="SimSun"/>
          <w:sz w:val="22"/>
          <w:lang w:val="en-GB" w:eastAsia="zh-CN"/>
        </w:rPr>
      </w:pPr>
      <w:r w:rsidRPr="00AA2617">
        <w:rPr>
          <w:sz w:val="22"/>
          <w:lang w:val="en-GB"/>
        </w:rPr>
        <w:t xml:space="preserve">This project focuses primarily on the AFOLU sector. </w:t>
      </w:r>
      <w:r w:rsidR="00885FBC" w:rsidRPr="00AA2617">
        <w:rPr>
          <w:sz w:val="22"/>
          <w:lang w:val="en-GB"/>
        </w:rPr>
        <w:t>The GEF Council has formally recognized FAO’s comparative advantages in matters relating to fisheries, forestry, agriculture, and land management.</w:t>
      </w:r>
      <w:r w:rsidR="00885FBC" w:rsidRPr="00AA2617">
        <w:rPr>
          <w:rStyle w:val="FootnoteReference"/>
          <w:sz w:val="22"/>
          <w:lang w:val="en-GB"/>
        </w:rPr>
        <w:footnoteReference w:id="40"/>
      </w:r>
      <w:r w:rsidR="00885FBC" w:rsidRPr="00AA2617">
        <w:rPr>
          <w:sz w:val="22"/>
          <w:lang w:val="en-GB"/>
        </w:rPr>
        <w:t xml:space="preserve"> Among other areas, FAO has extensive expertise and experience </w:t>
      </w:r>
      <w:r w:rsidR="00C43CF1" w:rsidRPr="00AA2617">
        <w:rPr>
          <w:sz w:val="22"/>
          <w:lang w:val="en-GB"/>
        </w:rPr>
        <w:t xml:space="preserve">in technical areas that are highly relevant to this project, including: climate-change mitigation in agriculture and forestry, climate-change adaptation for agriculture, </w:t>
      </w:r>
      <w:r w:rsidR="00885FBC" w:rsidRPr="00AA2617">
        <w:rPr>
          <w:sz w:val="22"/>
          <w:lang w:val="en-GB"/>
        </w:rPr>
        <w:t xml:space="preserve">integrated production systems, grasslands production and maintenance, </w:t>
      </w:r>
      <w:r w:rsidR="00C43CF1" w:rsidRPr="00AA2617">
        <w:rPr>
          <w:sz w:val="22"/>
          <w:lang w:val="en-GB"/>
        </w:rPr>
        <w:t xml:space="preserve">pastoral management of rangelands, integrated ecosystem management, sustainable land use and land management, land degradation, land degradation assessment in drylands (LADA), </w:t>
      </w:r>
      <w:r w:rsidR="00885FBC" w:rsidRPr="00AA2617">
        <w:rPr>
          <w:sz w:val="22"/>
          <w:lang w:val="en-GB"/>
        </w:rPr>
        <w:t xml:space="preserve">indigenous agricultural heritage systems, </w:t>
      </w:r>
      <w:r w:rsidR="00C43CF1" w:rsidRPr="00AA2617">
        <w:rPr>
          <w:sz w:val="22"/>
          <w:lang w:val="en-GB"/>
        </w:rPr>
        <w:t xml:space="preserve">agricultural policies and practices, conservation agriculture, soil fertility, integrated land and water management, watershed management, </w:t>
      </w:r>
      <w:r w:rsidR="00885FBC" w:rsidRPr="00AA2617">
        <w:rPr>
          <w:sz w:val="22"/>
          <w:lang w:val="en-GB"/>
        </w:rPr>
        <w:t>global forest resources assessment, wild fire management and control</w:t>
      </w:r>
      <w:r w:rsidR="00C43CF1" w:rsidRPr="00AA2617">
        <w:rPr>
          <w:sz w:val="22"/>
          <w:lang w:val="en-GB"/>
        </w:rPr>
        <w:t>, and sustainable forest management</w:t>
      </w:r>
      <w:r w:rsidR="00885FBC" w:rsidRPr="00AA2617">
        <w:rPr>
          <w:sz w:val="22"/>
          <w:lang w:val="en-GB"/>
        </w:rPr>
        <w:t>.</w:t>
      </w:r>
    </w:p>
    <w:p w14:paraId="7065263D" w14:textId="77777777" w:rsidR="00413591" w:rsidRPr="00AA2617" w:rsidRDefault="00413591" w:rsidP="00AA2617">
      <w:pPr>
        <w:pStyle w:val="NumberedParagraph"/>
        <w:spacing w:before="120"/>
        <w:rPr>
          <w:rFonts w:eastAsia="SimSun"/>
          <w:sz w:val="22"/>
          <w:lang w:val="en-GB" w:eastAsia="zh-CN"/>
        </w:rPr>
      </w:pPr>
      <w:r w:rsidRPr="00AA2617">
        <w:rPr>
          <w:sz w:val="22"/>
          <w:lang w:val="en-GB"/>
        </w:rPr>
        <w:lastRenderedPageBreak/>
        <w:t xml:space="preserve">FAO has developed and maintains the FAOSTAT database, a global inventory of GHG emissions from the AFOLU sector. FAOSTAT provides Tier 1 default estimates in accordance with IPCC’s 2006 </w:t>
      </w:r>
      <w:r w:rsidRPr="00AA2617">
        <w:rPr>
          <w:i/>
          <w:sz w:val="22"/>
          <w:lang w:val="en-GB"/>
        </w:rPr>
        <w:t>Guidelines</w:t>
      </w:r>
      <w:r w:rsidRPr="00AA2617">
        <w:rPr>
          <w:sz w:val="22"/>
          <w:lang w:val="en-GB"/>
        </w:rPr>
        <w:t xml:space="preserve"> using data from the Global Forest Resource Assessment (FRA) and countries’ official reports on agriculture and land-use changes. </w:t>
      </w:r>
      <w:r w:rsidRPr="00AA2617">
        <w:rPr>
          <w:rFonts w:eastAsia="SimSun"/>
          <w:sz w:val="22"/>
          <w:lang w:val="en-GB" w:eastAsia="zh-CN"/>
        </w:rPr>
        <w:t xml:space="preserve">Additionally, </w:t>
      </w:r>
      <w:r w:rsidR="00BE2E70" w:rsidRPr="00AA2617">
        <w:rPr>
          <w:rFonts w:eastAsia="SimSun"/>
          <w:sz w:val="22"/>
          <w:lang w:val="en-GB" w:eastAsia="zh-CN"/>
        </w:rPr>
        <w:t xml:space="preserve">as a technical agency, </w:t>
      </w:r>
      <w:r w:rsidRPr="00AA2617">
        <w:rPr>
          <w:sz w:val="22"/>
          <w:lang w:val="en-GB"/>
        </w:rPr>
        <w:t>FAO has specific expertise</w:t>
      </w:r>
      <w:r w:rsidR="00BE2E70" w:rsidRPr="00AA2617">
        <w:rPr>
          <w:sz w:val="22"/>
          <w:lang w:val="en-GB"/>
        </w:rPr>
        <w:t>,</w:t>
      </w:r>
      <w:r w:rsidRPr="00AA2617">
        <w:rPr>
          <w:sz w:val="22"/>
          <w:lang w:val="en-GB"/>
        </w:rPr>
        <w:t xml:space="preserve"> tools, </w:t>
      </w:r>
      <w:r w:rsidR="00BE2E70" w:rsidRPr="00AA2617">
        <w:rPr>
          <w:sz w:val="22"/>
          <w:lang w:val="en-GB"/>
        </w:rPr>
        <w:t xml:space="preserve">and </w:t>
      </w:r>
      <w:r w:rsidRPr="00AA2617">
        <w:rPr>
          <w:sz w:val="22"/>
          <w:lang w:val="en-GB"/>
        </w:rPr>
        <w:t>training materials</w:t>
      </w:r>
      <w:r w:rsidR="00BE2E70" w:rsidRPr="00AA2617">
        <w:rPr>
          <w:sz w:val="22"/>
          <w:lang w:val="en-GB"/>
        </w:rPr>
        <w:t xml:space="preserve"> for</w:t>
      </w:r>
      <w:r w:rsidR="000B5681" w:rsidRPr="00AA2617">
        <w:rPr>
          <w:sz w:val="22"/>
          <w:lang w:val="en-GB"/>
        </w:rPr>
        <w:t xml:space="preserve"> CCM MRV and GHG-I</w:t>
      </w:r>
      <w:r w:rsidRPr="00AA2617">
        <w:rPr>
          <w:sz w:val="22"/>
          <w:lang w:val="en-GB"/>
        </w:rPr>
        <w:t xml:space="preserve">, such as: </w:t>
      </w:r>
    </w:p>
    <w:p w14:paraId="7378E865" w14:textId="77777777" w:rsidR="000B5681" w:rsidRPr="00AA2617" w:rsidRDefault="00BE2E70" w:rsidP="00AA2617">
      <w:pPr>
        <w:pStyle w:val="NumberedParagraph"/>
        <w:numPr>
          <w:ilvl w:val="0"/>
          <w:numId w:val="19"/>
        </w:numPr>
        <w:spacing w:before="120"/>
        <w:rPr>
          <w:sz w:val="22"/>
          <w:lang w:val="en-GB"/>
        </w:rPr>
      </w:pPr>
      <w:r w:rsidRPr="00AA2617">
        <w:rPr>
          <w:sz w:val="22"/>
          <w:lang w:val="en-GB"/>
        </w:rPr>
        <w:t>t</w:t>
      </w:r>
      <w:r w:rsidR="000B5681" w:rsidRPr="00AA2617">
        <w:rPr>
          <w:sz w:val="22"/>
          <w:lang w:val="en-GB"/>
        </w:rPr>
        <w:t>he suite of tools available through FAO’s program on Mitigation of Climate Change in Agriculture (MICCA)</w:t>
      </w:r>
      <w:r w:rsidR="000B5681" w:rsidRPr="00AA2617">
        <w:rPr>
          <w:rStyle w:val="FootnoteReference"/>
          <w:sz w:val="22"/>
          <w:lang w:val="en-GB"/>
        </w:rPr>
        <w:t xml:space="preserve"> </w:t>
      </w:r>
      <w:r w:rsidR="000B5681" w:rsidRPr="00AA2617">
        <w:rPr>
          <w:rStyle w:val="FootnoteReference"/>
          <w:sz w:val="22"/>
          <w:lang w:val="en-GB"/>
        </w:rPr>
        <w:footnoteReference w:id="41"/>
      </w:r>
      <w:r w:rsidR="000B5681" w:rsidRPr="00AA2617">
        <w:rPr>
          <w:sz w:val="22"/>
          <w:lang w:val="en-GB"/>
        </w:rPr>
        <w:t>;</w:t>
      </w:r>
    </w:p>
    <w:p w14:paraId="00785CD0" w14:textId="77777777" w:rsidR="000B5681" w:rsidRPr="00AA2617" w:rsidRDefault="000B5681" w:rsidP="00AA2617">
      <w:pPr>
        <w:pStyle w:val="NumberedParagraph"/>
        <w:numPr>
          <w:ilvl w:val="0"/>
          <w:numId w:val="19"/>
        </w:numPr>
        <w:spacing w:before="120"/>
        <w:rPr>
          <w:sz w:val="22"/>
          <w:lang w:val="en-GB"/>
        </w:rPr>
      </w:pPr>
      <w:r w:rsidRPr="00AA2617">
        <w:rPr>
          <w:sz w:val="22"/>
          <w:lang w:val="en-GB"/>
        </w:rPr>
        <w:t xml:space="preserve">FAO’s </w:t>
      </w:r>
      <w:r w:rsidRPr="00AA2617">
        <w:rPr>
          <w:i/>
          <w:sz w:val="22"/>
          <w:lang w:val="en-GB"/>
        </w:rPr>
        <w:t xml:space="preserve">Estimating Greenhouse Gas Emissions in Agriculture:  A Manual to Address Data Requirements for Developing Countries </w:t>
      </w:r>
      <w:r w:rsidRPr="00AA2617">
        <w:rPr>
          <w:sz w:val="22"/>
          <w:lang w:val="en-GB"/>
        </w:rPr>
        <w:t>(2015)</w:t>
      </w:r>
      <w:r w:rsidRPr="00AA2617">
        <w:rPr>
          <w:rStyle w:val="FootnoteReference"/>
          <w:sz w:val="22"/>
          <w:lang w:val="en-GB"/>
        </w:rPr>
        <w:footnoteReference w:id="42"/>
      </w:r>
      <w:r w:rsidRPr="00AA2617">
        <w:rPr>
          <w:sz w:val="22"/>
          <w:lang w:val="en-GB"/>
        </w:rPr>
        <w:t>;</w:t>
      </w:r>
    </w:p>
    <w:p w14:paraId="248D3D41" w14:textId="77777777" w:rsidR="00413591" w:rsidRPr="00AA2617" w:rsidRDefault="00BE2E70" w:rsidP="00AA2617">
      <w:pPr>
        <w:pStyle w:val="NumberedParagraph"/>
        <w:numPr>
          <w:ilvl w:val="0"/>
          <w:numId w:val="19"/>
        </w:numPr>
        <w:spacing w:before="120"/>
        <w:rPr>
          <w:sz w:val="22"/>
          <w:lang w:val="en-GB"/>
        </w:rPr>
      </w:pPr>
      <w:r w:rsidRPr="00AA2617">
        <w:rPr>
          <w:sz w:val="22"/>
          <w:lang w:val="en-GB"/>
        </w:rPr>
        <w:t xml:space="preserve">the </w:t>
      </w:r>
      <w:r w:rsidR="00413591" w:rsidRPr="00AA2617">
        <w:rPr>
          <w:sz w:val="22"/>
          <w:lang w:val="en-GB"/>
        </w:rPr>
        <w:t xml:space="preserve">OpenForis </w:t>
      </w:r>
      <w:r w:rsidRPr="00AA2617">
        <w:rPr>
          <w:sz w:val="22"/>
          <w:lang w:val="en-GB"/>
        </w:rPr>
        <w:t xml:space="preserve">suite of </w:t>
      </w:r>
      <w:r w:rsidR="00413591" w:rsidRPr="00AA2617">
        <w:rPr>
          <w:sz w:val="22"/>
          <w:lang w:val="en-GB"/>
        </w:rPr>
        <w:t>free and open-source software tools that facilitate flexible and efficient data collection, analysis</w:t>
      </w:r>
      <w:r w:rsidRPr="00AA2617">
        <w:rPr>
          <w:sz w:val="22"/>
          <w:lang w:val="en-GB"/>
        </w:rPr>
        <w:t>,</w:t>
      </w:r>
      <w:r w:rsidR="00413591" w:rsidRPr="00AA2617">
        <w:rPr>
          <w:sz w:val="22"/>
          <w:lang w:val="en-GB"/>
        </w:rPr>
        <w:t xml:space="preserve"> and reporting; </w:t>
      </w:r>
    </w:p>
    <w:p w14:paraId="5973A81A" w14:textId="77777777" w:rsidR="00413591" w:rsidRPr="00AA2617" w:rsidRDefault="00BE2E70" w:rsidP="00AA2617">
      <w:pPr>
        <w:pStyle w:val="NumberedParagraph"/>
        <w:numPr>
          <w:ilvl w:val="0"/>
          <w:numId w:val="19"/>
        </w:numPr>
        <w:spacing w:before="120"/>
        <w:rPr>
          <w:sz w:val="22"/>
          <w:lang w:val="en-GB"/>
        </w:rPr>
      </w:pPr>
      <w:r w:rsidRPr="00AA2617">
        <w:rPr>
          <w:sz w:val="22"/>
          <w:lang w:val="en-GB"/>
        </w:rPr>
        <w:t>OpenForis’s Collect</w:t>
      </w:r>
      <w:r w:rsidR="00413591" w:rsidRPr="00AA2617">
        <w:rPr>
          <w:sz w:val="22"/>
          <w:lang w:val="en-GB"/>
        </w:rPr>
        <w:t xml:space="preserve">Earth tool, developed initially in the context of REDD+ and </w:t>
      </w:r>
      <w:r w:rsidRPr="00AA2617">
        <w:rPr>
          <w:sz w:val="22"/>
          <w:lang w:val="en-GB"/>
        </w:rPr>
        <w:t>adapted</w:t>
      </w:r>
      <w:r w:rsidR="00413591" w:rsidRPr="00AA2617">
        <w:rPr>
          <w:sz w:val="22"/>
          <w:lang w:val="en-GB"/>
        </w:rPr>
        <w:t xml:space="preserve"> through experience und</w:t>
      </w:r>
      <w:r w:rsidRPr="00AA2617">
        <w:rPr>
          <w:sz w:val="22"/>
          <w:lang w:val="en-GB"/>
        </w:rPr>
        <w:t xml:space="preserve">er the UN-REDD Programme </w:t>
      </w:r>
      <w:r w:rsidR="00413591" w:rsidRPr="00AA2617">
        <w:rPr>
          <w:sz w:val="22"/>
          <w:lang w:val="en-GB"/>
        </w:rPr>
        <w:t>fo</w:t>
      </w:r>
      <w:r w:rsidRPr="00AA2617">
        <w:rPr>
          <w:sz w:val="22"/>
          <w:lang w:val="en-GB"/>
        </w:rPr>
        <w:t>r application in wider land-</w:t>
      </w:r>
      <w:r w:rsidR="00413591" w:rsidRPr="00AA2617">
        <w:rPr>
          <w:sz w:val="22"/>
          <w:lang w:val="en-GB"/>
        </w:rPr>
        <w:t>use context</w:t>
      </w:r>
      <w:r w:rsidRPr="00AA2617">
        <w:rPr>
          <w:sz w:val="22"/>
          <w:lang w:val="en-GB"/>
        </w:rPr>
        <w:t>s</w:t>
      </w:r>
      <w:r w:rsidR="00754006" w:rsidRPr="00AA2617">
        <w:rPr>
          <w:sz w:val="22"/>
          <w:lang w:val="en-GB"/>
        </w:rPr>
        <w:t>;</w:t>
      </w:r>
    </w:p>
    <w:p w14:paraId="4504C958" w14:textId="77777777" w:rsidR="00413591" w:rsidRPr="00AA2617" w:rsidRDefault="00BE2E70" w:rsidP="00AA2617">
      <w:pPr>
        <w:pStyle w:val="NumberedParagraph"/>
        <w:numPr>
          <w:ilvl w:val="0"/>
          <w:numId w:val="19"/>
        </w:numPr>
        <w:spacing w:before="120"/>
        <w:rPr>
          <w:sz w:val="22"/>
          <w:lang w:val="en-GB"/>
        </w:rPr>
      </w:pPr>
      <w:r w:rsidRPr="00AA2617">
        <w:rPr>
          <w:sz w:val="22"/>
          <w:lang w:val="en-GB"/>
        </w:rPr>
        <w:t>the s</w:t>
      </w:r>
      <w:r w:rsidR="00413591" w:rsidRPr="00AA2617">
        <w:rPr>
          <w:sz w:val="22"/>
          <w:lang w:val="en-GB"/>
        </w:rPr>
        <w:t>ystem for earth observa</w:t>
      </w:r>
      <w:r w:rsidRPr="00AA2617">
        <w:rPr>
          <w:sz w:val="22"/>
          <w:lang w:val="en-GB"/>
        </w:rPr>
        <w:t>tions, data access, processing, and analysis for land-</w:t>
      </w:r>
      <w:r w:rsidR="00413591" w:rsidRPr="00AA2617">
        <w:rPr>
          <w:sz w:val="22"/>
          <w:lang w:val="en-GB"/>
        </w:rPr>
        <w:t>monitoring (SEPAL)</w:t>
      </w:r>
      <w:r w:rsidRPr="00AA2617">
        <w:rPr>
          <w:sz w:val="22"/>
          <w:lang w:val="en-GB"/>
        </w:rPr>
        <w:t>, which</w:t>
      </w:r>
      <w:r w:rsidR="00413591" w:rsidRPr="00AA2617">
        <w:rPr>
          <w:sz w:val="22"/>
          <w:lang w:val="en-GB"/>
        </w:rPr>
        <w:t xml:space="preserve"> allows users to access powerful cloud-computing resources to query, access</w:t>
      </w:r>
      <w:r w:rsidRPr="00AA2617">
        <w:rPr>
          <w:sz w:val="22"/>
          <w:lang w:val="en-GB"/>
        </w:rPr>
        <w:t>,</w:t>
      </w:r>
      <w:r w:rsidR="00413591" w:rsidRPr="00AA2617">
        <w:rPr>
          <w:sz w:val="22"/>
          <w:lang w:val="en-GB"/>
        </w:rPr>
        <w:t xml:space="preserve"> and process satellite data quickly and efficiently for advanced analyses without heavy investment in informa</w:t>
      </w:r>
      <w:r w:rsidR="000B5681" w:rsidRPr="00AA2617">
        <w:rPr>
          <w:sz w:val="22"/>
          <w:lang w:val="en-GB"/>
        </w:rPr>
        <w:t>tion technology infrastructur</w:t>
      </w:r>
      <w:r w:rsidR="00754006" w:rsidRPr="00AA2617">
        <w:rPr>
          <w:sz w:val="22"/>
          <w:lang w:val="en-GB"/>
        </w:rPr>
        <w:t>e;</w:t>
      </w:r>
    </w:p>
    <w:p w14:paraId="63AD19AC" w14:textId="77777777" w:rsidR="00DA5E7F" w:rsidRPr="00AA2617" w:rsidRDefault="00DA5E7F" w:rsidP="00AA2617">
      <w:pPr>
        <w:pStyle w:val="NumberedParagraph"/>
        <w:numPr>
          <w:ilvl w:val="0"/>
          <w:numId w:val="19"/>
        </w:numPr>
        <w:spacing w:before="120"/>
        <w:rPr>
          <w:lang w:val="en-GB"/>
        </w:rPr>
      </w:pPr>
      <w:r w:rsidRPr="00AA2617">
        <w:rPr>
          <w:lang w:val="en-GB"/>
        </w:rPr>
        <w:t>“Building a sustainable national greenhouse gas inventory for Agriculture, Forestry and Other Land Use”</w:t>
      </w:r>
      <w:r w:rsidR="00754006" w:rsidRPr="00AA2617">
        <w:rPr>
          <w:lang w:val="en-GB"/>
        </w:rPr>
        <w:t>, which</w:t>
      </w:r>
      <w:r w:rsidRPr="00AA2617">
        <w:rPr>
          <w:lang w:val="en-GB"/>
        </w:rPr>
        <w:t xml:space="preserve"> is FAO’s new e-learning series to guide users in estimating AFOLU emissions following IPCC’s 2006 </w:t>
      </w:r>
      <w:r w:rsidRPr="00AA2617">
        <w:rPr>
          <w:i/>
          <w:lang w:val="en-GB"/>
        </w:rPr>
        <w:t>Guidelines</w:t>
      </w:r>
      <w:r w:rsidRPr="00AA2617">
        <w:rPr>
          <w:lang w:val="en-GB"/>
        </w:rPr>
        <w:t xml:space="preserve"> using Tier 1 methods, with practical exercises to apply the acquired knowledge and information in order to transition from the 1996 to the 2006 IPCC </w:t>
      </w:r>
      <w:r w:rsidRPr="00AA2617">
        <w:rPr>
          <w:i/>
          <w:lang w:val="en-GB"/>
        </w:rPr>
        <w:t>Guidelines</w:t>
      </w:r>
      <w:r w:rsidR="00754006" w:rsidRPr="00AA2617">
        <w:rPr>
          <w:lang w:val="en-GB"/>
        </w:rPr>
        <w:t>; and</w:t>
      </w:r>
    </w:p>
    <w:p w14:paraId="02BEBA1F" w14:textId="77777777" w:rsidR="00DA5E7F" w:rsidRPr="00AA2617" w:rsidRDefault="00DA5E7F" w:rsidP="00AA2617">
      <w:pPr>
        <w:pStyle w:val="ListParagraph"/>
        <w:numPr>
          <w:ilvl w:val="0"/>
          <w:numId w:val="19"/>
        </w:numPr>
        <w:textAlignment w:val="baseline"/>
        <w:rPr>
          <w:lang w:val="en-GB"/>
        </w:rPr>
      </w:pPr>
      <w:r w:rsidRPr="00AA2617">
        <w:rPr>
          <w:lang w:val="en-GB"/>
        </w:rPr>
        <w:t>FAO’s Ex-Ante Carbon-balance Tool (Ex-ACT)</w:t>
      </w:r>
      <w:r w:rsidR="00754006" w:rsidRPr="00AA2617">
        <w:rPr>
          <w:lang w:val="en-GB"/>
        </w:rPr>
        <w:t>,</w:t>
      </w:r>
      <w:r w:rsidRPr="00AA2617">
        <w:rPr>
          <w:rStyle w:val="FootnoteReference"/>
          <w:lang w:val="en-GB"/>
        </w:rPr>
        <w:footnoteReference w:id="43"/>
      </w:r>
      <w:r w:rsidRPr="00AA2617">
        <w:rPr>
          <w:rStyle w:val="Hyperlink"/>
          <w:color w:val="auto"/>
          <w:u w:val="none"/>
          <w:lang w:val="en-GB"/>
        </w:rPr>
        <w:t xml:space="preserve"> </w:t>
      </w:r>
      <w:r w:rsidR="00754006" w:rsidRPr="00AA2617">
        <w:rPr>
          <w:rStyle w:val="Hyperlink"/>
          <w:color w:val="auto"/>
          <w:u w:val="none"/>
          <w:lang w:val="en-GB"/>
        </w:rPr>
        <w:t xml:space="preserve">which </w:t>
      </w:r>
      <w:r w:rsidRPr="00AA2617">
        <w:rPr>
          <w:rStyle w:val="Hyperlink"/>
          <w:color w:val="auto"/>
          <w:u w:val="none"/>
          <w:lang w:val="en-GB"/>
        </w:rPr>
        <w:t>is a</w:t>
      </w:r>
      <w:r w:rsidRPr="00AA2617">
        <w:rPr>
          <w:lang w:val="en-GB"/>
        </w:rPr>
        <w:t>n appraisal system that provides estima</w:t>
      </w:r>
      <w:r w:rsidR="00754006" w:rsidRPr="00AA2617">
        <w:rPr>
          <w:lang w:val="en-GB"/>
        </w:rPr>
        <w:t>tes of the impact of AFOLU projects, program</w:t>
      </w:r>
      <w:r w:rsidRPr="00AA2617">
        <w:rPr>
          <w:lang w:val="en-GB"/>
        </w:rPr>
        <w:t>s</w:t>
      </w:r>
      <w:r w:rsidR="00754006" w:rsidRPr="00AA2617">
        <w:rPr>
          <w:lang w:val="en-GB"/>
        </w:rPr>
        <w:t>,</w:t>
      </w:r>
      <w:r w:rsidRPr="00AA2617">
        <w:rPr>
          <w:lang w:val="en-GB"/>
        </w:rPr>
        <w:t xml:space="preserve"> and </w:t>
      </w:r>
      <w:r w:rsidR="00754006" w:rsidRPr="00AA2617">
        <w:rPr>
          <w:lang w:val="en-GB"/>
        </w:rPr>
        <w:t>policies on the carbon-balance.</w:t>
      </w:r>
    </w:p>
    <w:p w14:paraId="69F6FA8C" w14:textId="77777777" w:rsidR="00413591" w:rsidRPr="00AA2617" w:rsidRDefault="00413591" w:rsidP="00AA2617">
      <w:pPr>
        <w:pStyle w:val="NumberedParagraph"/>
        <w:spacing w:before="120"/>
        <w:rPr>
          <w:sz w:val="22"/>
          <w:lang w:val="en-GB"/>
        </w:rPr>
      </w:pPr>
      <w:r w:rsidRPr="00AA2617">
        <w:rPr>
          <w:sz w:val="22"/>
          <w:lang w:val="en-GB"/>
        </w:rPr>
        <w:t>FAO’s overall capacity in this area is globally recognized, for example, as a service provider through the World Bank’s Forest Carbon Partnership Facility (FCPF). Technical contributions from the NFM/ REDD+ team within FAO will therefore comprise an important part of the implementation approach of this project not only to maintain consistency with progress made on Forest/REDD+ MRV, but also to expand that progress to a wider land-use context.</w:t>
      </w:r>
    </w:p>
    <w:p w14:paraId="42F6AB0C" w14:textId="16064697" w:rsidR="00413591" w:rsidRPr="00AA2617" w:rsidRDefault="00BE2E70" w:rsidP="00AA2617">
      <w:pPr>
        <w:pStyle w:val="NumberedParagraph"/>
        <w:spacing w:before="120"/>
        <w:rPr>
          <w:sz w:val="22"/>
          <w:lang w:val="en-GB"/>
        </w:rPr>
      </w:pPr>
      <w:r w:rsidRPr="00AA2617">
        <w:rPr>
          <w:sz w:val="22"/>
          <w:lang w:val="en-GB"/>
        </w:rPr>
        <w:t>Importantly, t</w:t>
      </w:r>
      <w:r w:rsidR="00413591" w:rsidRPr="00AA2617">
        <w:rPr>
          <w:sz w:val="22"/>
          <w:lang w:val="en-GB"/>
        </w:rPr>
        <w:t xml:space="preserve">he FAO representation in </w:t>
      </w:r>
      <w:r w:rsidR="0039560F" w:rsidRPr="00AA2617">
        <w:rPr>
          <w:sz w:val="22"/>
          <w:lang w:val="en-GB"/>
        </w:rPr>
        <w:t>Sri Lanka</w:t>
      </w:r>
      <w:r w:rsidR="00413591" w:rsidRPr="00AA2617">
        <w:rPr>
          <w:sz w:val="22"/>
          <w:lang w:val="en-GB"/>
        </w:rPr>
        <w:t xml:space="preserve"> is well equipped to:</w:t>
      </w:r>
    </w:p>
    <w:p w14:paraId="0C0CC234" w14:textId="5F018605" w:rsidR="00413591" w:rsidRPr="00AA2617" w:rsidRDefault="0039560F" w:rsidP="00AA2617">
      <w:pPr>
        <w:pStyle w:val="ListParagraph"/>
        <w:numPr>
          <w:ilvl w:val="0"/>
          <w:numId w:val="4"/>
        </w:numPr>
        <w:ind w:left="720"/>
        <w:rPr>
          <w:rFonts w:cs="Times New Roman"/>
          <w:sz w:val="22"/>
          <w:lang w:val="en-GB"/>
        </w:rPr>
      </w:pPr>
      <w:r w:rsidRPr="00AA2617">
        <w:rPr>
          <w:rFonts w:cs="Times New Roman"/>
          <w:sz w:val="22"/>
          <w:lang w:val="en-GB"/>
        </w:rPr>
        <w:t>fulfil</w:t>
      </w:r>
      <w:r w:rsidR="00413591" w:rsidRPr="00AA2617">
        <w:rPr>
          <w:rFonts w:cs="Times New Roman"/>
          <w:sz w:val="22"/>
          <w:lang w:val="en-GB"/>
        </w:rPr>
        <w:t xml:space="preserve"> its fiduciary obligations in the financial, administrative, and operational aspects of the project</w:t>
      </w:r>
      <w:r w:rsidR="00BE2E70" w:rsidRPr="00AA2617">
        <w:rPr>
          <w:rFonts w:cs="Times New Roman"/>
          <w:sz w:val="22"/>
          <w:lang w:val="en-GB"/>
        </w:rPr>
        <w:t>’s implementation and execution;</w:t>
      </w:r>
    </w:p>
    <w:p w14:paraId="60830C5F" w14:textId="77777777" w:rsidR="00413591" w:rsidRPr="00AA2617" w:rsidRDefault="00BE2E70" w:rsidP="00AA2617">
      <w:pPr>
        <w:pStyle w:val="ListParagraph"/>
        <w:numPr>
          <w:ilvl w:val="0"/>
          <w:numId w:val="4"/>
        </w:numPr>
        <w:ind w:left="720"/>
        <w:rPr>
          <w:rFonts w:cs="Times New Roman"/>
          <w:sz w:val="22"/>
          <w:lang w:val="en-GB"/>
        </w:rPr>
      </w:pPr>
      <w:r w:rsidRPr="00AA2617">
        <w:rPr>
          <w:rFonts w:cs="Times New Roman"/>
          <w:sz w:val="22"/>
          <w:lang w:val="en-GB"/>
        </w:rPr>
        <w:t>act</w:t>
      </w:r>
      <w:r w:rsidR="00413591" w:rsidRPr="00AA2617">
        <w:rPr>
          <w:rFonts w:cs="Times New Roman"/>
          <w:sz w:val="22"/>
          <w:lang w:val="en-GB"/>
        </w:rPr>
        <w:t xml:space="preserve"> as a neutral platform and honest knowledge broker for national partners to share, discuss, and evaluate viewpoints, helping to find common ground based on </w:t>
      </w:r>
      <w:r w:rsidRPr="00AA2617">
        <w:rPr>
          <w:rFonts w:cs="Times New Roman"/>
          <w:sz w:val="22"/>
          <w:lang w:val="en-GB"/>
        </w:rPr>
        <w:t>evidence, common goals, and shared principles;</w:t>
      </w:r>
      <w:r w:rsidR="00413591" w:rsidRPr="00AA2617">
        <w:rPr>
          <w:rFonts w:cs="Times New Roman"/>
          <w:sz w:val="22"/>
          <w:lang w:val="en-GB"/>
        </w:rPr>
        <w:t xml:space="preserve"> and</w:t>
      </w:r>
    </w:p>
    <w:p w14:paraId="1E7E7D4B" w14:textId="77777777" w:rsidR="008777C2" w:rsidRPr="00AA2617" w:rsidRDefault="00413591" w:rsidP="00AA2617">
      <w:pPr>
        <w:pStyle w:val="ListParagraph"/>
        <w:numPr>
          <w:ilvl w:val="0"/>
          <w:numId w:val="4"/>
        </w:numPr>
        <w:ind w:left="720"/>
        <w:rPr>
          <w:rFonts w:cs="Times New Roman"/>
          <w:sz w:val="22"/>
          <w:lang w:val="en-GB"/>
        </w:rPr>
      </w:pPr>
      <w:r w:rsidRPr="00AA2617">
        <w:rPr>
          <w:rFonts w:cs="Times New Roman"/>
          <w:sz w:val="22"/>
          <w:lang w:val="en-GB"/>
        </w:rPr>
        <w:t xml:space="preserve">deploy its networking capacity within FAO, the executive partners, and other stakeholders nationally and locally </w:t>
      </w:r>
      <w:r w:rsidR="00BE2E70" w:rsidRPr="00AA2617">
        <w:rPr>
          <w:rFonts w:cs="Times New Roman"/>
          <w:sz w:val="22"/>
          <w:lang w:val="en-GB"/>
        </w:rPr>
        <w:t xml:space="preserve">in order </w:t>
      </w:r>
      <w:r w:rsidRPr="00AA2617">
        <w:rPr>
          <w:rFonts w:cs="Times New Roman"/>
          <w:sz w:val="22"/>
          <w:lang w:val="en-GB"/>
        </w:rPr>
        <w:t xml:space="preserve">to </w:t>
      </w:r>
      <w:r w:rsidR="00BE2E70" w:rsidRPr="00AA2617">
        <w:rPr>
          <w:rFonts w:cs="Times New Roman"/>
          <w:sz w:val="22"/>
          <w:lang w:val="en-GB"/>
        </w:rPr>
        <w:t>ensure the project’s success and sustainability</w:t>
      </w:r>
      <w:r w:rsidRPr="00AA2617">
        <w:rPr>
          <w:rFonts w:cs="Times New Roman"/>
          <w:sz w:val="22"/>
          <w:lang w:val="en-GB"/>
        </w:rPr>
        <w:t>.</w:t>
      </w:r>
    </w:p>
    <w:p w14:paraId="7599657C" w14:textId="77777777" w:rsidR="000F7633" w:rsidRPr="00AA2617" w:rsidRDefault="000F7633" w:rsidP="00AA2617">
      <w:pPr>
        <w:pStyle w:val="Heading3"/>
        <w:rPr>
          <w:b/>
          <w:szCs w:val="22"/>
          <w:lang w:val="en-GB"/>
        </w:rPr>
      </w:pPr>
      <w:bookmarkStart w:id="129" w:name="_Toc9249199"/>
      <w:r w:rsidRPr="00AA2617">
        <w:rPr>
          <w:b/>
          <w:szCs w:val="22"/>
          <w:lang w:val="en-GB"/>
        </w:rPr>
        <w:t>Priorities for the inception phase</w:t>
      </w:r>
      <w:bookmarkEnd w:id="129"/>
    </w:p>
    <w:p w14:paraId="18D72B94" w14:textId="77777777" w:rsidR="000F7633" w:rsidRPr="00AA2617" w:rsidRDefault="000F7633" w:rsidP="00AA2617">
      <w:pPr>
        <w:pStyle w:val="NumberedParagraph"/>
        <w:spacing w:before="120"/>
        <w:rPr>
          <w:sz w:val="22"/>
          <w:lang w:val="en-GB"/>
        </w:rPr>
      </w:pPr>
      <w:r w:rsidRPr="00AA2617">
        <w:rPr>
          <w:sz w:val="22"/>
          <w:lang w:val="en-GB"/>
        </w:rPr>
        <w:t>During the inception phase of the project (i.e., the first six months after the project has become operationally active) the PMU will focus on the following operational activities.</w:t>
      </w:r>
    </w:p>
    <w:p w14:paraId="11AF850A" w14:textId="77777777"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Recruit the PMU staff.</w:t>
      </w:r>
    </w:p>
    <w:p w14:paraId="158F93EC" w14:textId="77777777"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lastRenderedPageBreak/>
        <w:t>Establish the PSC.</w:t>
      </w:r>
    </w:p>
    <w:p w14:paraId="402A7C8E" w14:textId="77777777"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Establish the TWG, including the PSC’s formal endorsement of the TWG’s ToR and membership.</w:t>
      </w:r>
    </w:p>
    <w:p w14:paraId="38F939CA" w14:textId="77777777"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Review and, as needed, refine the stakeholder-coordination mapping and the MRV assessments from the PPG phase.</w:t>
      </w:r>
    </w:p>
    <w:p w14:paraId="4C2ACAEE" w14:textId="77777777"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Review of the project’s logical framework and results matrix (e.g., baselines) and draft any refinements for the PSC’s review and endorsement in order to reflect any circumstantial changes since the GEF CEO’s endorsement.</w:t>
      </w:r>
    </w:p>
    <w:p w14:paraId="20B7F06B" w14:textId="13E30E93"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 xml:space="preserve">Draft  </w:t>
      </w:r>
      <w:r w:rsidR="00991F17" w:rsidRPr="00AA2617">
        <w:rPr>
          <w:rFonts w:cs="Times New Roman"/>
          <w:sz w:val="22"/>
          <w:lang w:val="en-GB"/>
        </w:rPr>
        <w:t xml:space="preserve">Year1 </w:t>
      </w:r>
      <w:r w:rsidRPr="00AA2617">
        <w:rPr>
          <w:rFonts w:cs="Times New Roman"/>
          <w:sz w:val="22"/>
          <w:lang w:val="en-GB"/>
        </w:rPr>
        <w:t xml:space="preserve">annual work-plan and budget </w:t>
      </w:r>
      <w:r w:rsidR="00991F17" w:rsidRPr="00AA2617">
        <w:rPr>
          <w:rFonts w:cs="Times New Roman"/>
          <w:sz w:val="22"/>
          <w:lang w:val="en-GB"/>
        </w:rPr>
        <w:t xml:space="preserve">for </w:t>
      </w:r>
      <w:r w:rsidR="00534C13" w:rsidRPr="00AA2617">
        <w:rPr>
          <w:rFonts w:cs="Times New Roman"/>
          <w:sz w:val="22"/>
          <w:lang w:val="en-GB"/>
        </w:rPr>
        <w:t>PTF</w:t>
      </w:r>
      <w:r w:rsidR="00991F17" w:rsidRPr="00AA2617">
        <w:rPr>
          <w:rFonts w:cs="Times New Roman"/>
          <w:sz w:val="22"/>
          <w:lang w:val="en-GB"/>
        </w:rPr>
        <w:t xml:space="preserve"> clearance and further </w:t>
      </w:r>
      <w:r w:rsidRPr="00AA2617">
        <w:rPr>
          <w:rFonts w:cs="Times New Roman"/>
          <w:sz w:val="22"/>
          <w:lang w:val="en-GB"/>
        </w:rPr>
        <w:t xml:space="preserve"> approv</w:t>
      </w:r>
      <w:r w:rsidR="00991F17" w:rsidRPr="00AA2617">
        <w:rPr>
          <w:rFonts w:cs="Times New Roman"/>
          <w:sz w:val="22"/>
          <w:lang w:val="en-GB"/>
        </w:rPr>
        <w:t xml:space="preserve">al </w:t>
      </w:r>
      <w:r w:rsidRPr="00AA2617">
        <w:rPr>
          <w:rFonts w:cs="Times New Roman"/>
          <w:sz w:val="22"/>
          <w:lang w:val="en-GB"/>
        </w:rPr>
        <w:t xml:space="preserve"> by the PSC.</w:t>
      </w:r>
    </w:p>
    <w:p w14:paraId="4B8EF82F" w14:textId="4E3522B9"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 xml:space="preserve">Consolidate activities for the first proposed batch of LOAs and contracts </w:t>
      </w:r>
    </w:p>
    <w:p w14:paraId="46D40F92" w14:textId="77777777"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Conduct an inception workshop.</w:t>
      </w:r>
    </w:p>
    <w:p w14:paraId="50662E7A" w14:textId="77777777"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Hold the first PSC meeting.</w:t>
      </w:r>
    </w:p>
    <w:p w14:paraId="7B11E15F" w14:textId="77777777"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In particular, indicators (and related basel</w:t>
      </w:r>
      <w:r w:rsidR="00342683" w:rsidRPr="00AA2617">
        <w:rPr>
          <w:rFonts w:cs="Times New Roman"/>
          <w:sz w:val="22"/>
          <w:lang w:val="en-GB"/>
        </w:rPr>
        <w:t>ine and targets) will be finaliz</w:t>
      </w:r>
      <w:r w:rsidRPr="00AA2617">
        <w:rPr>
          <w:rFonts w:cs="Times New Roman"/>
          <w:sz w:val="22"/>
          <w:lang w:val="en-GB"/>
        </w:rPr>
        <w:t>ed;</w:t>
      </w:r>
    </w:p>
    <w:p w14:paraId="77FFFEA8" w14:textId="77777777"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Refine the M&amp;E plan as needed to reflect specific requirements for each indicator (e.g., data collection methods, frequency, responsibilities for data collection and analysis and budget).  Any missing baseline data will also be collected during this time.</w:t>
      </w:r>
    </w:p>
    <w:p w14:paraId="32D96AB1" w14:textId="6781E267" w:rsidR="000F7633" w:rsidRPr="00AA2617" w:rsidRDefault="000F7633" w:rsidP="00AA2617">
      <w:pPr>
        <w:pStyle w:val="ListParagraph"/>
        <w:numPr>
          <w:ilvl w:val="0"/>
          <w:numId w:val="3"/>
        </w:numPr>
        <w:rPr>
          <w:rFonts w:cs="Times New Roman"/>
          <w:sz w:val="22"/>
          <w:lang w:val="en-GB"/>
        </w:rPr>
      </w:pPr>
      <w:r w:rsidRPr="00AA2617">
        <w:rPr>
          <w:rFonts w:cs="Times New Roman"/>
          <w:sz w:val="22"/>
          <w:lang w:val="en-GB"/>
        </w:rPr>
        <w:t xml:space="preserve">Prepare an inception report and </w:t>
      </w:r>
      <w:r w:rsidR="00991F17" w:rsidRPr="00AA2617">
        <w:rPr>
          <w:rFonts w:cs="Times New Roman"/>
          <w:sz w:val="22"/>
          <w:lang w:val="en-GB"/>
        </w:rPr>
        <w:t xml:space="preserve">submit its outcome </w:t>
      </w:r>
      <w:r w:rsidRPr="00AA2617">
        <w:rPr>
          <w:rFonts w:cs="Times New Roman"/>
          <w:sz w:val="22"/>
          <w:lang w:val="en-GB"/>
        </w:rPr>
        <w:t>to the PSC (which includes the FAOR).</w:t>
      </w:r>
    </w:p>
    <w:p w14:paraId="59DEE549" w14:textId="77777777" w:rsidR="00692C7C" w:rsidRPr="00AA2617" w:rsidRDefault="0010018B" w:rsidP="00AA2617">
      <w:pPr>
        <w:pStyle w:val="Heading3"/>
        <w:rPr>
          <w:b/>
          <w:szCs w:val="22"/>
          <w:lang w:val="en-GB"/>
        </w:rPr>
      </w:pPr>
      <w:bookmarkStart w:id="130" w:name="_Toc9249200"/>
      <w:r w:rsidRPr="00AA2617">
        <w:rPr>
          <w:b/>
          <w:szCs w:val="22"/>
          <w:lang w:val="en-GB"/>
        </w:rPr>
        <w:t>Grievance mechanism</w:t>
      </w:r>
      <w:bookmarkEnd w:id="130"/>
    </w:p>
    <w:p w14:paraId="570F0B51" w14:textId="77777777" w:rsidR="0010018B" w:rsidRPr="00AA2617" w:rsidRDefault="0091528A" w:rsidP="00AA2617">
      <w:pPr>
        <w:pStyle w:val="NumberedParagraph"/>
        <w:spacing w:before="120"/>
        <w:rPr>
          <w:sz w:val="22"/>
          <w:lang w:val="en-GB"/>
        </w:rPr>
      </w:pPr>
      <w:r w:rsidRPr="00AA2617">
        <w:rPr>
          <w:sz w:val="22"/>
          <w:lang w:val="en-GB"/>
        </w:rPr>
        <w:t>FAO facilitates the resolution of concerns of beneficiaries/stakeholders of FAO projects and programmes regarding alleged or potential violations of FAO’s social and environmental commitments and safeguards. For this purpose, concerns may be communicated in accordance with the eligibility criteria, which apply to all FAO programmes and projects. Furthermore, these programmes and projects are required to publicise the mechanism for the receipt and handling of</w:t>
      </w:r>
      <w:r w:rsidR="003208A8" w:rsidRPr="00AA2617">
        <w:rPr>
          <w:sz w:val="22"/>
          <w:lang w:val="en-GB"/>
        </w:rPr>
        <w:t xml:space="preserve"> grievances at the local level.</w:t>
      </w:r>
    </w:p>
    <w:p w14:paraId="77320E8B" w14:textId="77777777" w:rsidR="00692C7C" w:rsidRPr="00AA2617" w:rsidRDefault="00692C7C" w:rsidP="00AA2617">
      <w:pPr>
        <w:pStyle w:val="Heading3"/>
        <w:rPr>
          <w:b/>
          <w:lang w:val="en-GB"/>
        </w:rPr>
      </w:pPr>
      <w:bookmarkStart w:id="131" w:name="_Toc9249201"/>
      <w:r w:rsidRPr="00AA2617">
        <w:rPr>
          <w:b/>
          <w:lang w:val="en-GB"/>
        </w:rPr>
        <w:t>Disclosure</w:t>
      </w:r>
      <w:bookmarkEnd w:id="131"/>
    </w:p>
    <w:p w14:paraId="5664EED2" w14:textId="77777777" w:rsidR="00692C7C" w:rsidRPr="00AA2617" w:rsidRDefault="00692C7C" w:rsidP="00AA2617">
      <w:pPr>
        <w:pStyle w:val="NumberedParagraph"/>
        <w:spacing w:before="120"/>
        <w:rPr>
          <w:sz w:val="22"/>
          <w:lang w:val="en-GB"/>
        </w:rPr>
      </w:pPr>
      <w:r w:rsidRPr="00AA2617">
        <w:rPr>
          <w:sz w:val="22"/>
          <w:lang w:val="en-GB"/>
        </w:rPr>
        <w:t>The disclosure of relevant project information helps stakeholders participate effectively and ensures transparency, which enables the project to remain responsive and relevant.  FAO will disclose information in a timely manner, before appraisal formally begins. The information disclosed will be accessible and culturally appropriate, placing due attention to the specific needs of community groups that may be affected by project implementation, such as literacy, gender, differences in language, and accessibility of technical information or connectivity.</w:t>
      </w:r>
    </w:p>
    <w:p w14:paraId="442E2862" w14:textId="77777777" w:rsidR="0025065D" w:rsidRPr="00AA2617" w:rsidRDefault="0025065D" w:rsidP="00AA2617">
      <w:pPr>
        <w:pStyle w:val="NumberedParagraph"/>
        <w:spacing w:before="120"/>
        <w:rPr>
          <w:sz w:val="22"/>
          <w:lang w:val="en-GB"/>
        </w:rPr>
      </w:pPr>
      <w:bookmarkStart w:id="132" w:name="_Toc510013443"/>
      <w:bookmarkStart w:id="133" w:name="_Toc514789062"/>
      <w:r w:rsidRPr="00AA2617">
        <w:rPr>
          <w:sz w:val="22"/>
          <w:lang w:val="en-GB"/>
        </w:rPr>
        <w:t>An inception workshop for the project’s design phase was held on 21st Feb 2019 in Colombo Governmental and non-governmental representatives contributed extensively to the project’s design, including via the inception workshops and one to one meetings.  Throughout the project’s design phase, the project’s formulation team consulted extensively with potentially relevant stakeholders.</w:t>
      </w:r>
    </w:p>
    <w:p w14:paraId="780A7A24" w14:textId="77777777" w:rsidR="001A6237" w:rsidRPr="00AA2617" w:rsidRDefault="001A6237" w:rsidP="00AA2617">
      <w:pPr>
        <w:pStyle w:val="Heading3"/>
        <w:rPr>
          <w:b/>
          <w:bCs/>
          <w:szCs w:val="22"/>
          <w:lang w:val="en-GB"/>
        </w:rPr>
      </w:pPr>
      <w:bookmarkStart w:id="134" w:name="_Toc9249202"/>
      <w:r w:rsidRPr="00AA2617">
        <w:rPr>
          <w:b/>
          <w:bCs/>
          <w:szCs w:val="22"/>
          <w:lang w:val="en-GB"/>
        </w:rPr>
        <w:t>Planning and financial management</w:t>
      </w:r>
      <w:bookmarkEnd w:id="132"/>
      <w:bookmarkEnd w:id="133"/>
      <w:bookmarkEnd w:id="134"/>
    </w:p>
    <w:p w14:paraId="44FCB82E" w14:textId="4E92A257" w:rsidR="001A6237" w:rsidRPr="00AA2617" w:rsidRDefault="001A6237" w:rsidP="003121CF">
      <w:pPr>
        <w:pStyle w:val="NumberedParagraph"/>
        <w:spacing w:before="120"/>
        <w:rPr>
          <w:sz w:val="22"/>
          <w:lang w:val="en-GB"/>
        </w:rPr>
      </w:pPr>
      <w:r w:rsidRPr="00AA2617">
        <w:rPr>
          <w:sz w:val="22"/>
          <w:lang w:val="en-GB"/>
        </w:rPr>
        <w:t xml:space="preserve">The total cost of the project is USD </w:t>
      </w:r>
      <w:r w:rsidR="003121CF">
        <w:rPr>
          <w:sz w:val="22"/>
          <w:lang w:val="en-GB"/>
        </w:rPr>
        <w:t>2,659,24</w:t>
      </w:r>
      <w:r w:rsidR="00A241F1">
        <w:rPr>
          <w:sz w:val="22"/>
          <w:lang w:val="en-GB"/>
        </w:rPr>
        <w:t>2</w:t>
      </w:r>
      <w:r w:rsidRPr="00AA2617">
        <w:rPr>
          <w:sz w:val="22"/>
          <w:lang w:val="en-GB"/>
        </w:rPr>
        <w:t xml:space="preserve"> of which USD </w:t>
      </w:r>
      <w:r w:rsidR="005430E7" w:rsidRPr="00AA2617">
        <w:rPr>
          <w:sz w:val="22"/>
          <w:lang w:val="en-GB"/>
        </w:rPr>
        <w:t>863,242</w:t>
      </w:r>
      <w:r w:rsidRPr="00AA2617">
        <w:rPr>
          <w:sz w:val="22"/>
          <w:lang w:val="en-GB"/>
        </w:rPr>
        <w:t xml:space="preserve"> will be financed with a grant from the GEF.</w:t>
      </w:r>
    </w:p>
    <w:p w14:paraId="2E32955A" w14:textId="77777777" w:rsidR="001A6237" w:rsidRPr="00AA2617" w:rsidRDefault="001A6237" w:rsidP="00AA2617">
      <w:pPr>
        <w:pStyle w:val="Heading3"/>
        <w:spacing w:before="40" w:after="0"/>
        <w:rPr>
          <w:b/>
          <w:bCs/>
          <w:szCs w:val="22"/>
          <w:lang w:val="en-GB"/>
        </w:rPr>
      </w:pPr>
      <w:bookmarkStart w:id="135" w:name="_Toc510013444"/>
      <w:bookmarkStart w:id="136" w:name="_Toc514789063"/>
      <w:bookmarkStart w:id="137" w:name="_Toc9249203"/>
      <w:r w:rsidRPr="00AA2617">
        <w:rPr>
          <w:b/>
          <w:bCs/>
          <w:szCs w:val="22"/>
          <w:lang w:val="en-GB"/>
        </w:rPr>
        <w:t>Financial plan (by components, outcome and co-financiers)</w:t>
      </w:r>
      <w:bookmarkEnd w:id="135"/>
      <w:bookmarkEnd w:id="136"/>
      <w:bookmarkEnd w:id="137"/>
    </w:p>
    <w:p w14:paraId="659872F6" w14:textId="4BACAF24" w:rsidR="001A6237" w:rsidRPr="00AA2617" w:rsidRDefault="001A6237" w:rsidP="00AA2617">
      <w:pPr>
        <w:pStyle w:val="NumberedParagraph"/>
        <w:spacing w:before="120"/>
        <w:rPr>
          <w:sz w:val="22"/>
          <w:lang w:val="en-GB"/>
        </w:rPr>
      </w:pPr>
      <w:r w:rsidRPr="00AA2617">
        <w:rPr>
          <w:sz w:val="22"/>
          <w:lang w:val="en-GB"/>
        </w:rPr>
        <w:fldChar w:fldCharType="begin"/>
      </w:r>
      <w:r w:rsidRPr="00AA2617">
        <w:rPr>
          <w:sz w:val="22"/>
          <w:lang w:val="en-GB"/>
        </w:rPr>
        <w:instrText xml:space="preserve"> REF _Ref510175522 \h  \* MERGEFORMAT </w:instrText>
      </w:r>
      <w:r w:rsidRPr="00AA2617">
        <w:rPr>
          <w:sz w:val="22"/>
          <w:lang w:val="en-GB"/>
        </w:rPr>
      </w:r>
      <w:r w:rsidRPr="00AA2617">
        <w:rPr>
          <w:sz w:val="22"/>
          <w:lang w:val="en-GB"/>
        </w:rPr>
        <w:fldChar w:fldCharType="separate"/>
      </w:r>
      <w:r w:rsidR="00877B3A" w:rsidRPr="00AA2617">
        <w:rPr>
          <w:b/>
          <w:bCs/>
          <w:sz w:val="22"/>
        </w:rPr>
        <w:t>Error! Reference source not found.</w:t>
      </w:r>
      <w:r w:rsidRPr="00AA2617">
        <w:rPr>
          <w:sz w:val="22"/>
          <w:lang w:val="en-GB"/>
        </w:rPr>
        <w:fldChar w:fldCharType="end"/>
      </w:r>
      <w:r w:rsidR="00685CC4" w:rsidRPr="00AA2617">
        <w:rPr>
          <w:sz w:val="22"/>
          <w:lang w:val="en-GB"/>
        </w:rPr>
        <w:t>9</w:t>
      </w:r>
      <w:r w:rsidRPr="00AA2617">
        <w:rPr>
          <w:sz w:val="22"/>
          <w:lang w:val="en-GB"/>
        </w:rPr>
        <w:t xml:space="preserve"> presents the cost per component, outcomes and source of funding based on the confirmed co-financing. All co-financing letters are found in </w:t>
      </w:r>
      <w:r w:rsidR="00C04DF3" w:rsidRPr="00AA2617">
        <w:rPr>
          <w:bCs/>
          <w:sz w:val="22"/>
          <w:lang w:val="en-GB"/>
        </w:rPr>
        <w:t>Appendix</w:t>
      </w:r>
      <w:r w:rsidRPr="00AA2617">
        <w:rPr>
          <w:b/>
          <w:sz w:val="22"/>
          <w:lang w:val="en-GB"/>
        </w:rPr>
        <w:t xml:space="preserve"> </w:t>
      </w:r>
      <w:r w:rsidR="00845465" w:rsidRPr="00AA2617">
        <w:rPr>
          <w:b/>
          <w:sz w:val="22"/>
          <w:lang w:val="en-GB"/>
        </w:rPr>
        <w:t>7</w:t>
      </w:r>
      <w:r w:rsidRPr="00AA2617">
        <w:rPr>
          <w:sz w:val="22"/>
          <w:lang w:val="en-GB"/>
        </w:rPr>
        <w:t>. FAO, as a GEF agency, will be responsible only for the execution of GEF resources and FAO co-financing.</w:t>
      </w:r>
    </w:p>
    <w:p w14:paraId="18467CE9" w14:textId="5DB101C1" w:rsidR="001A6237" w:rsidRPr="00AA2617" w:rsidRDefault="001A6237" w:rsidP="00AA2617">
      <w:pPr>
        <w:pStyle w:val="Caption"/>
        <w:jc w:val="center"/>
        <w:rPr>
          <w:i w:val="0"/>
          <w:color w:val="auto"/>
          <w:sz w:val="22"/>
          <w:szCs w:val="22"/>
          <w:lang w:val="en-GB"/>
        </w:rPr>
      </w:pPr>
      <w:bookmarkStart w:id="138" w:name="_Toc510013445"/>
      <w:r w:rsidRPr="00AA2617">
        <w:rPr>
          <w:i w:val="0"/>
          <w:color w:val="auto"/>
          <w:sz w:val="22"/>
          <w:szCs w:val="22"/>
          <w:lang w:val="en-GB"/>
        </w:rPr>
        <w:t>Table</w:t>
      </w:r>
      <w:r w:rsidR="006D5B4E" w:rsidRPr="00AA2617">
        <w:rPr>
          <w:i w:val="0"/>
          <w:color w:val="auto"/>
          <w:sz w:val="22"/>
          <w:szCs w:val="22"/>
          <w:lang w:val="en-GB"/>
        </w:rPr>
        <w:t xml:space="preserve"> </w:t>
      </w:r>
      <w:r w:rsidR="00685CC4" w:rsidRPr="00AA2617">
        <w:rPr>
          <w:i w:val="0"/>
          <w:color w:val="auto"/>
          <w:sz w:val="22"/>
          <w:szCs w:val="22"/>
          <w:lang w:val="en-GB"/>
        </w:rPr>
        <w:t>9</w:t>
      </w:r>
      <w:r w:rsidR="006D5B4E" w:rsidRPr="00AA2617">
        <w:rPr>
          <w:i w:val="0"/>
          <w:color w:val="auto"/>
          <w:sz w:val="22"/>
          <w:szCs w:val="22"/>
          <w:lang w:val="en-GB"/>
        </w:rPr>
        <w:t xml:space="preserve">. </w:t>
      </w:r>
      <w:r w:rsidRPr="00AA2617">
        <w:rPr>
          <w:i w:val="0"/>
          <w:color w:val="auto"/>
          <w:sz w:val="22"/>
          <w:szCs w:val="22"/>
          <w:lang w:val="en-GB"/>
        </w:rPr>
        <w:t xml:space="preserve"> Financial </w:t>
      </w:r>
      <w:r w:rsidR="006D5B4E" w:rsidRPr="00AA2617">
        <w:rPr>
          <w:i w:val="0"/>
          <w:color w:val="auto"/>
          <w:sz w:val="22"/>
          <w:szCs w:val="22"/>
          <w:lang w:val="en-GB"/>
        </w:rPr>
        <w:t>P</w:t>
      </w:r>
      <w:r w:rsidRPr="00AA2617">
        <w:rPr>
          <w:i w:val="0"/>
          <w:color w:val="auto"/>
          <w:sz w:val="22"/>
          <w:szCs w:val="22"/>
          <w:lang w:val="en-GB"/>
        </w:rPr>
        <w:t xml:space="preserve">lan by </w:t>
      </w:r>
      <w:r w:rsidR="006D5B4E" w:rsidRPr="00AA2617">
        <w:rPr>
          <w:i w:val="0"/>
          <w:color w:val="auto"/>
          <w:sz w:val="22"/>
          <w:szCs w:val="22"/>
          <w:lang w:val="en-GB"/>
        </w:rPr>
        <w:t>C</w:t>
      </w:r>
      <w:r w:rsidRPr="00AA2617">
        <w:rPr>
          <w:i w:val="0"/>
          <w:color w:val="auto"/>
          <w:sz w:val="22"/>
          <w:szCs w:val="22"/>
          <w:lang w:val="en-GB"/>
        </w:rPr>
        <w:t xml:space="preserve">omponent, </w:t>
      </w:r>
      <w:r w:rsidR="006D5B4E" w:rsidRPr="00AA2617">
        <w:rPr>
          <w:i w:val="0"/>
          <w:color w:val="auto"/>
          <w:sz w:val="22"/>
          <w:szCs w:val="22"/>
          <w:lang w:val="en-GB"/>
        </w:rPr>
        <w:t>O</w:t>
      </w:r>
      <w:r w:rsidRPr="00AA2617">
        <w:rPr>
          <w:i w:val="0"/>
          <w:color w:val="auto"/>
          <w:sz w:val="22"/>
          <w:szCs w:val="22"/>
          <w:lang w:val="en-GB"/>
        </w:rPr>
        <w:t>utcome</w:t>
      </w:r>
      <w:r w:rsidR="006D5B4E" w:rsidRPr="00AA2617">
        <w:rPr>
          <w:i w:val="0"/>
          <w:color w:val="auto"/>
          <w:sz w:val="22"/>
          <w:szCs w:val="22"/>
          <w:lang w:val="en-GB"/>
        </w:rPr>
        <w:t>,</w:t>
      </w:r>
      <w:r w:rsidRPr="00AA2617">
        <w:rPr>
          <w:i w:val="0"/>
          <w:color w:val="auto"/>
          <w:sz w:val="22"/>
          <w:szCs w:val="22"/>
          <w:lang w:val="en-GB"/>
        </w:rPr>
        <w:t xml:space="preserve"> and </w:t>
      </w:r>
      <w:r w:rsidR="006D5B4E" w:rsidRPr="00AA2617">
        <w:rPr>
          <w:i w:val="0"/>
          <w:color w:val="auto"/>
          <w:sz w:val="22"/>
          <w:szCs w:val="22"/>
          <w:lang w:val="en-GB"/>
        </w:rPr>
        <w:t>C</w:t>
      </w:r>
      <w:r w:rsidRPr="00AA2617">
        <w:rPr>
          <w:i w:val="0"/>
          <w:color w:val="auto"/>
          <w:sz w:val="22"/>
          <w:szCs w:val="22"/>
          <w:lang w:val="en-GB"/>
        </w:rPr>
        <w:t>o-financier</w:t>
      </w:r>
    </w:p>
    <w:tbl>
      <w:tblPr>
        <w:tblW w:w="8760" w:type="dxa"/>
        <w:tblLook w:val="04A0" w:firstRow="1" w:lastRow="0" w:firstColumn="1" w:lastColumn="0" w:noHBand="0" w:noVBand="1"/>
      </w:tblPr>
      <w:tblGrid>
        <w:gridCol w:w="1823"/>
        <w:gridCol w:w="1149"/>
        <w:gridCol w:w="2017"/>
        <w:gridCol w:w="1228"/>
        <w:gridCol w:w="1140"/>
        <w:gridCol w:w="1403"/>
      </w:tblGrid>
      <w:tr w:rsidR="00694683" w:rsidRPr="00AA2617" w14:paraId="3AE6684E" w14:textId="77777777" w:rsidTr="008D16FB">
        <w:trPr>
          <w:trHeight w:val="1007"/>
        </w:trPr>
        <w:tc>
          <w:tcPr>
            <w:tcW w:w="1823" w:type="dxa"/>
            <w:tcBorders>
              <w:top w:val="single" w:sz="8" w:space="0" w:color="auto"/>
              <w:left w:val="single" w:sz="8" w:space="0" w:color="auto"/>
              <w:bottom w:val="single" w:sz="8" w:space="0" w:color="auto"/>
              <w:right w:val="single" w:sz="8" w:space="0" w:color="auto"/>
            </w:tcBorders>
            <w:shd w:val="clear" w:color="000000" w:fill="B4C6E7"/>
            <w:vAlign w:val="center"/>
            <w:hideMark/>
          </w:tcPr>
          <w:p w14:paraId="4F3B80F0" w14:textId="77777777"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lastRenderedPageBreak/>
              <w:t>Institution</w:t>
            </w:r>
          </w:p>
        </w:tc>
        <w:tc>
          <w:tcPr>
            <w:tcW w:w="1149" w:type="dxa"/>
            <w:tcBorders>
              <w:top w:val="single" w:sz="8" w:space="0" w:color="auto"/>
              <w:left w:val="nil"/>
              <w:bottom w:val="single" w:sz="8" w:space="0" w:color="000000"/>
              <w:right w:val="single" w:sz="8" w:space="0" w:color="auto"/>
            </w:tcBorders>
            <w:shd w:val="clear" w:color="000000" w:fill="B4C6E7"/>
            <w:vAlign w:val="center"/>
            <w:hideMark/>
          </w:tcPr>
          <w:p w14:paraId="42F6CFD7" w14:textId="77777777" w:rsidR="00694683" w:rsidRPr="00AA2617" w:rsidRDefault="00694683" w:rsidP="00AA2617">
            <w:pPr>
              <w:spacing w:after="0"/>
              <w:jc w:val="center"/>
              <w:rPr>
                <w:rFonts w:eastAsia="Times New Roman" w:cs="Times New Roman"/>
                <w:b/>
                <w:bCs/>
                <w:color w:val="000000"/>
                <w:sz w:val="20"/>
                <w:szCs w:val="20"/>
                <w:lang w:val="en-GB" w:bidi="hi-IN"/>
              </w:rPr>
            </w:pPr>
            <w:r w:rsidRPr="00AA2617">
              <w:rPr>
                <w:rFonts w:eastAsia="Times New Roman" w:cs="Times New Roman"/>
                <w:b/>
                <w:bCs/>
                <w:color w:val="000000"/>
                <w:sz w:val="20"/>
                <w:szCs w:val="20"/>
                <w:lang w:val="en-GB" w:bidi="hi-IN"/>
              </w:rPr>
              <w:t>FAO</w:t>
            </w:r>
          </w:p>
          <w:p w14:paraId="38CE4843" w14:textId="1BDF078F"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bidi="hi-IN"/>
              </w:rPr>
              <w:t>Sri Lanka</w:t>
            </w:r>
          </w:p>
        </w:tc>
        <w:tc>
          <w:tcPr>
            <w:tcW w:w="2017" w:type="dxa"/>
            <w:tcBorders>
              <w:top w:val="single" w:sz="8" w:space="0" w:color="auto"/>
              <w:left w:val="nil"/>
              <w:bottom w:val="single" w:sz="8" w:space="0" w:color="auto"/>
              <w:right w:val="single" w:sz="8" w:space="0" w:color="auto"/>
            </w:tcBorders>
            <w:shd w:val="clear" w:color="000000" w:fill="B4C6E7"/>
            <w:vAlign w:val="center"/>
            <w:hideMark/>
          </w:tcPr>
          <w:p w14:paraId="5CB6FA58" w14:textId="77777777"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Government of Sri Lanka Co-Financing</w:t>
            </w:r>
          </w:p>
        </w:tc>
        <w:tc>
          <w:tcPr>
            <w:tcW w:w="1228" w:type="dxa"/>
            <w:tcBorders>
              <w:top w:val="single" w:sz="8" w:space="0" w:color="auto"/>
              <w:left w:val="nil"/>
              <w:bottom w:val="single" w:sz="8" w:space="0" w:color="000000"/>
              <w:right w:val="single" w:sz="8" w:space="0" w:color="auto"/>
            </w:tcBorders>
            <w:shd w:val="clear" w:color="000000" w:fill="B4C6E7"/>
            <w:vAlign w:val="center"/>
            <w:hideMark/>
          </w:tcPr>
          <w:p w14:paraId="72AEF129" w14:textId="77777777"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Total Co-financing</w:t>
            </w:r>
          </w:p>
        </w:tc>
        <w:tc>
          <w:tcPr>
            <w:tcW w:w="1140" w:type="dxa"/>
            <w:tcBorders>
              <w:top w:val="single" w:sz="8" w:space="0" w:color="auto"/>
              <w:left w:val="nil"/>
              <w:bottom w:val="single" w:sz="8" w:space="0" w:color="000000"/>
              <w:right w:val="single" w:sz="8" w:space="0" w:color="auto"/>
            </w:tcBorders>
            <w:shd w:val="clear" w:color="000000" w:fill="B4C6E7"/>
            <w:vAlign w:val="center"/>
            <w:hideMark/>
          </w:tcPr>
          <w:p w14:paraId="3C66A104" w14:textId="77777777"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 xml:space="preserve"> GEF </w:t>
            </w:r>
          </w:p>
        </w:tc>
        <w:tc>
          <w:tcPr>
            <w:tcW w:w="1403" w:type="dxa"/>
            <w:tcBorders>
              <w:top w:val="single" w:sz="8" w:space="0" w:color="auto"/>
              <w:left w:val="nil"/>
              <w:bottom w:val="single" w:sz="8" w:space="0" w:color="000000"/>
              <w:right w:val="single" w:sz="8" w:space="0" w:color="auto"/>
            </w:tcBorders>
            <w:shd w:val="clear" w:color="000000" w:fill="B4C6E7"/>
            <w:vAlign w:val="center"/>
            <w:hideMark/>
          </w:tcPr>
          <w:p w14:paraId="483BD851" w14:textId="77777777"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Total Project financing</w:t>
            </w:r>
          </w:p>
        </w:tc>
      </w:tr>
      <w:tr w:rsidR="00ED373D" w:rsidRPr="00AA2617" w14:paraId="196FEC4A" w14:textId="77777777" w:rsidTr="005A6AD8">
        <w:trPr>
          <w:trHeight w:val="227"/>
        </w:trPr>
        <w:tc>
          <w:tcPr>
            <w:tcW w:w="1823" w:type="dxa"/>
            <w:tcBorders>
              <w:top w:val="nil"/>
              <w:left w:val="single" w:sz="8" w:space="0" w:color="auto"/>
              <w:bottom w:val="single" w:sz="8" w:space="0" w:color="auto"/>
              <w:right w:val="single" w:sz="8" w:space="0" w:color="auto"/>
            </w:tcBorders>
            <w:shd w:val="clear" w:color="auto" w:fill="auto"/>
            <w:noWrap/>
            <w:vAlign w:val="center"/>
            <w:hideMark/>
          </w:tcPr>
          <w:p w14:paraId="343C39C0" w14:textId="77777777" w:rsidR="00ED373D" w:rsidRPr="00AA2617" w:rsidRDefault="00ED373D" w:rsidP="00ED373D">
            <w:pPr>
              <w:spacing w:after="0"/>
              <w:jc w:val="left"/>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 xml:space="preserve">Component 1: </w:t>
            </w:r>
          </w:p>
        </w:tc>
        <w:tc>
          <w:tcPr>
            <w:tcW w:w="1149" w:type="dxa"/>
            <w:tcBorders>
              <w:top w:val="nil"/>
              <w:left w:val="nil"/>
              <w:bottom w:val="single" w:sz="8" w:space="0" w:color="auto"/>
              <w:right w:val="single" w:sz="8" w:space="0" w:color="auto"/>
            </w:tcBorders>
            <w:shd w:val="clear" w:color="auto" w:fill="auto"/>
            <w:noWrap/>
            <w:vAlign w:val="center"/>
            <w:hideMark/>
          </w:tcPr>
          <w:p w14:paraId="0580442F" w14:textId="6601E1DA" w:rsidR="00ED373D" w:rsidRPr="00AA2617" w:rsidRDefault="00ED373D" w:rsidP="00ED373D">
            <w:pPr>
              <w:spacing w:after="0"/>
              <w:jc w:val="center"/>
              <w:rPr>
                <w:rFonts w:eastAsia="Times New Roman" w:cs="Times New Roman"/>
                <w:color w:val="000000"/>
                <w:sz w:val="20"/>
                <w:szCs w:val="20"/>
                <w:lang w:bidi="hi-IN"/>
              </w:rPr>
            </w:pPr>
            <w:r w:rsidRPr="00AA2617">
              <w:rPr>
                <w:rFonts w:eastAsia="Times New Roman" w:cs="Times New Roman"/>
                <w:color w:val="000000"/>
                <w:sz w:val="20"/>
                <w:szCs w:val="20"/>
                <w:lang w:val="en-GB" w:bidi="hi-IN"/>
              </w:rPr>
              <w:t>75</w:t>
            </w:r>
            <w:r>
              <w:rPr>
                <w:rFonts w:eastAsia="Times New Roman" w:cs="Times New Roman"/>
                <w:color w:val="000000"/>
                <w:sz w:val="20"/>
                <w:szCs w:val="20"/>
                <w:lang w:val="en-GB" w:bidi="hi-IN"/>
              </w:rPr>
              <w:t>,</w:t>
            </w:r>
            <w:r w:rsidRPr="00AA2617">
              <w:rPr>
                <w:rFonts w:eastAsia="Times New Roman" w:cs="Times New Roman"/>
                <w:color w:val="000000"/>
                <w:sz w:val="20"/>
                <w:szCs w:val="20"/>
                <w:lang w:val="en-GB" w:bidi="hi-IN"/>
              </w:rPr>
              <w:t>000</w:t>
            </w:r>
          </w:p>
        </w:tc>
        <w:tc>
          <w:tcPr>
            <w:tcW w:w="2017" w:type="dxa"/>
            <w:tcBorders>
              <w:top w:val="nil"/>
              <w:left w:val="nil"/>
              <w:bottom w:val="single" w:sz="8" w:space="0" w:color="auto"/>
              <w:right w:val="single" w:sz="8" w:space="0" w:color="auto"/>
            </w:tcBorders>
            <w:shd w:val="clear" w:color="auto" w:fill="auto"/>
            <w:vAlign w:val="center"/>
            <w:hideMark/>
          </w:tcPr>
          <w:p w14:paraId="24C472DA" w14:textId="06B7F966" w:rsidR="00ED373D" w:rsidRPr="00AA2617" w:rsidRDefault="00ED373D" w:rsidP="00ED373D">
            <w:pPr>
              <w:spacing w:after="0"/>
              <w:jc w:val="center"/>
              <w:rPr>
                <w:rFonts w:eastAsia="Times New Roman" w:cs="Times New Roman"/>
                <w:color w:val="000000"/>
                <w:sz w:val="20"/>
                <w:szCs w:val="20"/>
                <w:lang w:bidi="hi-IN"/>
              </w:rPr>
            </w:pPr>
            <w:r>
              <w:rPr>
                <w:rFonts w:eastAsia="Times New Roman" w:cs="Times New Roman"/>
                <w:color w:val="000000"/>
                <w:sz w:val="20"/>
                <w:szCs w:val="20"/>
                <w:lang w:val="en-GB" w:bidi="hi-IN"/>
              </w:rPr>
              <w:t>625,000</w:t>
            </w:r>
          </w:p>
        </w:tc>
        <w:tc>
          <w:tcPr>
            <w:tcW w:w="1228" w:type="dxa"/>
            <w:tcBorders>
              <w:top w:val="nil"/>
              <w:left w:val="nil"/>
              <w:bottom w:val="single" w:sz="8" w:space="0" w:color="auto"/>
              <w:right w:val="single" w:sz="8" w:space="0" w:color="auto"/>
            </w:tcBorders>
            <w:shd w:val="clear" w:color="auto" w:fill="auto"/>
            <w:noWrap/>
            <w:vAlign w:val="center"/>
          </w:tcPr>
          <w:p w14:paraId="1F76DC61" w14:textId="3A8F6D11" w:rsidR="00ED373D" w:rsidRPr="00AA2617" w:rsidRDefault="00ED373D" w:rsidP="00ED373D">
            <w:pPr>
              <w:spacing w:after="0"/>
              <w:jc w:val="center"/>
              <w:rPr>
                <w:rFonts w:eastAsia="Times New Roman" w:cs="Times New Roman"/>
                <w:color w:val="000000"/>
                <w:sz w:val="20"/>
                <w:szCs w:val="20"/>
                <w:lang w:bidi="hi-IN"/>
              </w:rPr>
            </w:pPr>
            <w:r w:rsidRPr="00AA2617">
              <w:rPr>
                <w:rFonts w:eastAsia="Times New Roman" w:cs="Times New Roman"/>
                <w:color w:val="000000"/>
                <w:sz w:val="20"/>
                <w:szCs w:val="20"/>
                <w:lang w:val="en-GB" w:bidi="hi-IN"/>
              </w:rPr>
              <w:t>700,000</w:t>
            </w:r>
          </w:p>
        </w:tc>
        <w:tc>
          <w:tcPr>
            <w:tcW w:w="1140" w:type="dxa"/>
            <w:tcBorders>
              <w:top w:val="nil"/>
              <w:left w:val="nil"/>
              <w:bottom w:val="single" w:sz="8" w:space="0" w:color="auto"/>
              <w:right w:val="single" w:sz="8" w:space="0" w:color="auto"/>
            </w:tcBorders>
            <w:shd w:val="clear" w:color="auto" w:fill="auto"/>
            <w:noWrap/>
            <w:vAlign w:val="center"/>
            <w:hideMark/>
          </w:tcPr>
          <w:p w14:paraId="2DF13E25" w14:textId="5F361E56" w:rsidR="00ED373D" w:rsidRPr="00AA2617" w:rsidRDefault="00A241F1" w:rsidP="00ED373D">
            <w:pPr>
              <w:spacing w:after="0"/>
              <w:jc w:val="center"/>
              <w:rPr>
                <w:rFonts w:eastAsia="Times New Roman" w:cs="Times New Roman"/>
                <w:color w:val="000000"/>
                <w:sz w:val="20"/>
                <w:szCs w:val="20"/>
                <w:lang w:bidi="hi-IN"/>
              </w:rPr>
            </w:pPr>
            <w:r>
              <w:rPr>
                <w:color w:val="000000"/>
                <w:sz w:val="20"/>
                <w:szCs w:val="20"/>
              </w:rPr>
              <w:t>309,428</w:t>
            </w:r>
          </w:p>
        </w:tc>
        <w:tc>
          <w:tcPr>
            <w:tcW w:w="1403" w:type="dxa"/>
            <w:tcBorders>
              <w:top w:val="nil"/>
              <w:left w:val="nil"/>
              <w:bottom w:val="single" w:sz="8" w:space="0" w:color="auto"/>
              <w:right w:val="single" w:sz="8" w:space="0" w:color="auto"/>
            </w:tcBorders>
            <w:shd w:val="clear" w:color="auto" w:fill="auto"/>
            <w:noWrap/>
            <w:vAlign w:val="center"/>
          </w:tcPr>
          <w:p w14:paraId="1AE9E12B" w14:textId="0BCB65B7" w:rsidR="00ED373D" w:rsidRPr="00AA2617" w:rsidRDefault="00A241F1" w:rsidP="00ED373D">
            <w:pPr>
              <w:spacing w:after="0"/>
              <w:jc w:val="center"/>
              <w:rPr>
                <w:rFonts w:eastAsia="Times New Roman" w:cs="Times New Roman"/>
                <w:color w:val="000000"/>
                <w:sz w:val="20"/>
                <w:szCs w:val="20"/>
                <w:lang w:bidi="hi-IN"/>
              </w:rPr>
            </w:pPr>
            <w:r>
              <w:rPr>
                <w:rFonts w:eastAsia="Times New Roman" w:cs="Times New Roman"/>
                <w:color w:val="000000"/>
                <w:sz w:val="20"/>
                <w:szCs w:val="20"/>
                <w:lang w:bidi="hi-IN"/>
              </w:rPr>
              <w:t>1,009,428</w:t>
            </w:r>
          </w:p>
        </w:tc>
      </w:tr>
      <w:tr w:rsidR="00ED373D" w:rsidRPr="00AA2617" w14:paraId="6B582584" w14:textId="77777777" w:rsidTr="00A241F1">
        <w:trPr>
          <w:trHeight w:val="227"/>
        </w:trPr>
        <w:tc>
          <w:tcPr>
            <w:tcW w:w="1823" w:type="dxa"/>
            <w:tcBorders>
              <w:top w:val="nil"/>
              <w:left w:val="single" w:sz="8" w:space="0" w:color="auto"/>
              <w:bottom w:val="single" w:sz="8" w:space="0" w:color="auto"/>
              <w:right w:val="single" w:sz="8" w:space="0" w:color="auto"/>
            </w:tcBorders>
            <w:shd w:val="clear" w:color="auto" w:fill="auto"/>
            <w:noWrap/>
            <w:vAlign w:val="center"/>
            <w:hideMark/>
          </w:tcPr>
          <w:p w14:paraId="75C8992A" w14:textId="77777777" w:rsidR="00ED373D" w:rsidRPr="00AA2617" w:rsidRDefault="00ED373D" w:rsidP="00ED373D">
            <w:pPr>
              <w:spacing w:after="0"/>
              <w:jc w:val="left"/>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 xml:space="preserve">Component 2: </w:t>
            </w:r>
          </w:p>
        </w:tc>
        <w:tc>
          <w:tcPr>
            <w:tcW w:w="1149" w:type="dxa"/>
            <w:tcBorders>
              <w:top w:val="nil"/>
              <w:left w:val="nil"/>
              <w:bottom w:val="single" w:sz="8" w:space="0" w:color="auto"/>
              <w:right w:val="single" w:sz="8" w:space="0" w:color="auto"/>
            </w:tcBorders>
            <w:shd w:val="clear" w:color="auto" w:fill="auto"/>
            <w:noWrap/>
            <w:vAlign w:val="center"/>
            <w:hideMark/>
          </w:tcPr>
          <w:p w14:paraId="2BA8C8A2" w14:textId="3135C28D" w:rsidR="00ED373D" w:rsidRPr="00AA2617" w:rsidRDefault="00ED373D" w:rsidP="00ED373D">
            <w:pPr>
              <w:spacing w:after="0"/>
              <w:jc w:val="center"/>
              <w:rPr>
                <w:rFonts w:eastAsia="Times New Roman" w:cs="Times New Roman"/>
                <w:color w:val="000000"/>
                <w:sz w:val="20"/>
                <w:szCs w:val="20"/>
                <w:lang w:bidi="hi-IN"/>
              </w:rPr>
            </w:pPr>
            <w:r w:rsidRPr="00AA2617">
              <w:rPr>
                <w:rFonts w:eastAsia="Times New Roman" w:cs="Times New Roman"/>
                <w:color w:val="000000"/>
                <w:sz w:val="20"/>
                <w:szCs w:val="20"/>
                <w:lang w:val="en-GB" w:bidi="hi-IN"/>
              </w:rPr>
              <w:t>70</w:t>
            </w:r>
            <w:r>
              <w:rPr>
                <w:rFonts w:eastAsia="Times New Roman" w:cs="Times New Roman"/>
                <w:color w:val="000000"/>
                <w:sz w:val="20"/>
                <w:szCs w:val="20"/>
                <w:lang w:val="en-GB" w:bidi="hi-IN"/>
              </w:rPr>
              <w:t>,</w:t>
            </w:r>
            <w:r w:rsidRPr="00AA2617">
              <w:rPr>
                <w:rFonts w:eastAsia="Times New Roman" w:cs="Times New Roman"/>
                <w:color w:val="000000"/>
                <w:sz w:val="20"/>
                <w:szCs w:val="20"/>
                <w:lang w:val="en-GB" w:bidi="hi-IN"/>
              </w:rPr>
              <w:t>000</w:t>
            </w:r>
          </w:p>
        </w:tc>
        <w:tc>
          <w:tcPr>
            <w:tcW w:w="2017" w:type="dxa"/>
            <w:tcBorders>
              <w:top w:val="nil"/>
              <w:left w:val="nil"/>
              <w:bottom w:val="single" w:sz="8" w:space="0" w:color="auto"/>
              <w:right w:val="single" w:sz="8" w:space="0" w:color="auto"/>
            </w:tcBorders>
            <w:shd w:val="clear" w:color="auto" w:fill="auto"/>
            <w:vAlign w:val="center"/>
            <w:hideMark/>
          </w:tcPr>
          <w:p w14:paraId="0525C9BE" w14:textId="0A344432" w:rsidR="00ED373D" w:rsidRPr="00AA2617" w:rsidRDefault="00ED373D" w:rsidP="00ED373D">
            <w:pPr>
              <w:spacing w:after="0"/>
              <w:jc w:val="center"/>
              <w:rPr>
                <w:rFonts w:eastAsia="Times New Roman" w:cs="Times New Roman"/>
                <w:color w:val="000000"/>
                <w:sz w:val="20"/>
                <w:szCs w:val="20"/>
                <w:lang w:bidi="hi-IN"/>
              </w:rPr>
            </w:pPr>
            <w:r>
              <w:rPr>
                <w:rFonts w:eastAsia="Times New Roman" w:cs="Times New Roman"/>
                <w:color w:val="000000"/>
                <w:sz w:val="20"/>
                <w:szCs w:val="20"/>
                <w:lang w:val="en-GB" w:bidi="hi-IN"/>
              </w:rPr>
              <w:t>440,000</w:t>
            </w:r>
          </w:p>
        </w:tc>
        <w:tc>
          <w:tcPr>
            <w:tcW w:w="1228" w:type="dxa"/>
            <w:tcBorders>
              <w:top w:val="nil"/>
              <w:left w:val="nil"/>
              <w:bottom w:val="single" w:sz="8" w:space="0" w:color="auto"/>
              <w:right w:val="single" w:sz="8" w:space="0" w:color="auto"/>
            </w:tcBorders>
            <w:shd w:val="clear" w:color="auto" w:fill="auto"/>
            <w:noWrap/>
            <w:vAlign w:val="center"/>
          </w:tcPr>
          <w:p w14:paraId="15B93E2A" w14:textId="68E4F960" w:rsidR="00ED373D" w:rsidRPr="00AA2617" w:rsidRDefault="00ED373D" w:rsidP="00ED373D">
            <w:pPr>
              <w:spacing w:after="0"/>
              <w:jc w:val="center"/>
              <w:rPr>
                <w:rFonts w:eastAsia="Times New Roman" w:cs="Times New Roman"/>
                <w:color w:val="000000"/>
                <w:sz w:val="20"/>
                <w:szCs w:val="20"/>
                <w:lang w:bidi="hi-IN"/>
              </w:rPr>
            </w:pPr>
            <w:r>
              <w:rPr>
                <w:rFonts w:eastAsia="Times New Roman" w:cs="Times New Roman"/>
                <w:color w:val="000000"/>
                <w:sz w:val="20"/>
                <w:szCs w:val="20"/>
                <w:lang w:val="en-GB" w:bidi="hi-IN"/>
              </w:rPr>
              <w:t>5</w:t>
            </w:r>
            <w:r w:rsidRPr="00AA2617">
              <w:rPr>
                <w:rFonts w:eastAsia="Times New Roman" w:cs="Times New Roman"/>
                <w:color w:val="000000"/>
                <w:sz w:val="20"/>
                <w:szCs w:val="20"/>
                <w:lang w:val="en-GB" w:bidi="hi-IN"/>
              </w:rPr>
              <w:t>10,000</w:t>
            </w:r>
          </w:p>
        </w:tc>
        <w:tc>
          <w:tcPr>
            <w:tcW w:w="1140" w:type="dxa"/>
            <w:tcBorders>
              <w:top w:val="nil"/>
              <w:left w:val="nil"/>
              <w:bottom w:val="single" w:sz="8" w:space="0" w:color="auto"/>
              <w:right w:val="single" w:sz="8" w:space="0" w:color="auto"/>
            </w:tcBorders>
            <w:shd w:val="clear" w:color="auto" w:fill="auto"/>
            <w:noWrap/>
            <w:vAlign w:val="center"/>
          </w:tcPr>
          <w:p w14:paraId="7E929750" w14:textId="094FD6DF" w:rsidR="00ED373D" w:rsidRPr="00AA2617" w:rsidRDefault="00A241F1" w:rsidP="00ED373D">
            <w:pPr>
              <w:spacing w:after="0"/>
              <w:jc w:val="center"/>
              <w:rPr>
                <w:rFonts w:eastAsia="Times New Roman" w:cs="Times New Roman"/>
                <w:color w:val="000000"/>
                <w:sz w:val="20"/>
                <w:szCs w:val="20"/>
                <w:lang w:bidi="hi-IN"/>
              </w:rPr>
            </w:pPr>
            <w:r>
              <w:rPr>
                <w:rFonts w:eastAsia="Times New Roman" w:cs="Times New Roman"/>
                <w:color w:val="000000"/>
                <w:sz w:val="20"/>
                <w:szCs w:val="20"/>
                <w:lang w:bidi="hi-IN"/>
              </w:rPr>
              <w:t>232,598</w:t>
            </w:r>
          </w:p>
        </w:tc>
        <w:tc>
          <w:tcPr>
            <w:tcW w:w="1403" w:type="dxa"/>
            <w:tcBorders>
              <w:top w:val="nil"/>
              <w:left w:val="nil"/>
              <w:bottom w:val="single" w:sz="8" w:space="0" w:color="auto"/>
              <w:right w:val="single" w:sz="8" w:space="0" w:color="auto"/>
            </w:tcBorders>
            <w:shd w:val="clear" w:color="auto" w:fill="auto"/>
            <w:noWrap/>
            <w:vAlign w:val="center"/>
          </w:tcPr>
          <w:p w14:paraId="58C3D1E5" w14:textId="3D6EF427" w:rsidR="00ED373D" w:rsidRPr="00AA2617" w:rsidRDefault="00A241F1" w:rsidP="00ED373D">
            <w:pPr>
              <w:spacing w:after="0"/>
              <w:jc w:val="center"/>
              <w:rPr>
                <w:rFonts w:eastAsia="Times New Roman" w:cs="Times New Roman"/>
                <w:color w:val="000000"/>
                <w:sz w:val="20"/>
                <w:szCs w:val="20"/>
                <w:lang w:bidi="hi-IN"/>
              </w:rPr>
            </w:pPr>
            <w:r>
              <w:rPr>
                <w:rFonts w:eastAsia="Times New Roman" w:cs="Times New Roman"/>
                <w:color w:val="000000"/>
                <w:sz w:val="20"/>
                <w:szCs w:val="20"/>
                <w:lang w:bidi="hi-IN"/>
              </w:rPr>
              <w:t>742,598</w:t>
            </w:r>
          </w:p>
        </w:tc>
      </w:tr>
      <w:tr w:rsidR="00ED373D" w:rsidRPr="00AA2617" w14:paraId="7B66BA08" w14:textId="77777777" w:rsidTr="00A241F1">
        <w:trPr>
          <w:trHeight w:val="227"/>
        </w:trPr>
        <w:tc>
          <w:tcPr>
            <w:tcW w:w="1823" w:type="dxa"/>
            <w:tcBorders>
              <w:top w:val="nil"/>
              <w:left w:val="single" w:sz="8" w:space="0" w:color="auto"/>
              <w:bottom w:val="single" w:sz="8" w:space="0" w:color="auto"/>
              <w:right w:val="single" w:sz="8" w:space="0" w:color="auto"/>
            </w:tcBorders>
            <w:shd w:val="clear" w:color="auto" w:fill="auto"/>
            <w:noWrap/>
            <w:vAlign w:val="center"/>
            <w:hideMark/>
          </w:tcPr>
          <w:p w14:paraId="2FA4254D" w14:textId="77777777" w:rsidR="00ED373D" w:rsidRPr="00AA2617" w:rsidRDefault="00ED373D" w:rsidP="00ED373D">
            <w:pPr>
              <w:spacing w:after="0"/>
              <w:jc w:val="left"/>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 xml:space="preserve">Component 3: </w:t>
            </w:r>
          </w:p>
        </w:tc>
        <w:tc>
          <w:tcPr>
            <w:tcW w:w="1149" w:type="dxa"/>
            <w:tcBorders>
              <w:top w:val="nil"/>
              <w:left w:val="nil"/>
              <w:bottom w:val="single" w:sz="8" w:space="0" w:color="auto"/>
              <w:right w:val="single" w:sz="8" w:space="0" w:color="auto"/>
            </w:tcBorders>
            <w:shd w:val="clear" w:color="auto" w:fill="auto"/>
            <w:noWrap/>
            <w:vAlign w:val="center"/>
            <w:hideMark/>
          </w:tcPr>
          <w:p w14:paraId="4737C7A0" w14:textId="23F2A103" w:rsidR="00ED373D" w:rsidRPr="00AA2617" w:rsidRDefault="00ED373D" w:rsidP="00ED373D">
            <w:pPr>
              <w:spacing w:after="0"/>
              <w:jc w:val="center"/>
              <w:rPr>
                <w:rFonts w:eastAsia="Times New Roman" w:cs="Times New Roman"/>
                <w:color w:val="000000"/>
                <w:sz w:val="20"/>
                <w:szCs w:val="20"/>
                <w:lang w:bidi="hi-IN"/>
              </w:rPr>
            </w:pPr>
            <w:r w:rsidRPr="00AA2617">
              <w:rPr>
                <w:rFonts w:eastAsia="Times New Roman" w:cs="Times New Roman"/>
                <w:color w:val="000000"/>
                <w:sz w:val="20"/>
                <w:szCs w:val="20"/>
                <w:lang w:val="en-GB" w:bidi="hi-IN"/>
              </w:rPr>
              <w:t xml:space="preserve"> 55</w:t>
            </w:r>
            <w:r>
              <w:rPr>
                <w:rFonts w:eastAsia="Times New Roman" w:cs="Times New Roman"/>
                <w:color w:val="000000"/>
                <w:sz w:val="20"/>
                <w:szCs w:val="20"/>
                <w:lang w:val="en-GB" w:bidi="hi-IN"/>
              </w:rPr>
              <w:t>,</w:t>
            </w:r>
            <w:r w:rsidRPr="00AA2617">
              <w:rPr>
                <w:rFonts w:eastAsia="Times New Roman" w:cs="Times New Roman"/>
                <w:color w:val="000000"/>
                <w:sz w:val="20"/>
                <w:szCs w:val="20"/>
                <w:lang w:val="en-GB" w:bidi="hi-IN"/>
              </w:rPr>
              <w:t>000</w:t>
            </w:r>
          </w:p>
        </w:tc>
        <w:tc>
          <w:tcPr>
            <w:tcW w:w="2017" w:type="dxa"/>
            <w:tcBorders>
              <w:top w:val="nil"/>
              <w:left w:val="nil"/>
              <w:bottom w:val="single" w:sz="8" w:space="0" w:color="auto"/>
              <w:right w:val="single" w:sz="8" w:space="0" w:color="auto"/>
            </w:tcBorders>
            <w:shd w:val="clear" w:color="auto" w:fill="auto"/>
            <w:vAlign w:val="center"/>
            <w:hideMark/>
          </w:tcPr>
          <w:p w14:paraId="41F217FF" w14:textId="2BF5D7E5" w:rsidR="00ED373D" w:rsidRPr="00AA2617" w:rsidRDefault="00ED373D" w:rsidP="00ED373D">
            <w:pPr>
              <w:spacing w:after="0"/>
              <w:jc w:val="center"/>
              <w:rPr>
                <w:rFonts w:eastAsia="Times New Roman" w:cs="Times New Roman"/>
                <w:color w:val="000000"/>
                <w:sz w:val="20"/>
                <w:szCs w:val="20"/>
                <w:lang w:bidi="hi-IN"/>
              </w:rPr>
            </w:pPr>
            <w:r>
              <w:rPr>
                <w:rFonts w:eastAsia="Times New Roman" w:cs="Times New Roman"/>
                <w:color w:val="000000"/>
                <w:sz w:val="20"/>
                <w:szCs w:val="20"/>
                <w:lang w:val="en-GB" w:bidi="hi-IN"/>
              </w:rPr>
              <w:t>531,000</w:t>
            </w:r>
          </w:p>
        </w:tc>
        <w:tc>
          <w:tcPr>
            <w:tcW w:w="1228" w:type="dxa"/>
            <w:tcBorders>
              <w:top w:val="nil"/>
              <w:left w:val="nil"/>
              <w:bottom w:val="single" w:sz="8" w:space="0" w:color="auto"/>
              <w:right w:val="single" w:sz="8" w:space="0" w:color="auto"/>
            </w:tcBorders>
            <w:shd w:val="clear" w:color="auto" w:fill="auto"/>
            <w:noWrap/>
            <w:vAlign w:val="center"/>
          </w:tcPr>
          <w:p w14:paraId="7F8F676D" w14:textId="2F7D150A" w:rsidR="00ED373D" w:rsidRPr="00AA2617" w:rsidRDefault="00ED373D" w:rsidP="00ED373D">
            <w:pPr>
              <w:spacing w:after="0"/>
              <w:jc w:val="center"/>
              <w:rPr>
                <w:rFonts w:eastAsia="Times New Roman" w:cs="Times New Roman"/>
                <w:color w:val="000000"/>
                <w:sz w:val="20"/>
                <w:szCs w:val="20"/>
                <w:lang w:bidi="hi-IN"/>
              </w:rPr>
            </w:pPr>
            <w:r w:rsidRPr="00AA2617">
              <w:rPr>
                <w:rFonts w:eastAsia="Times New Roman" w:cs="Times New Roman"/>
                <w:color w:val="000000"/>
                <w:sz w:val="20"/>
                <w:szCs w:val="20"/>
                <w:lang w:val="en-GB" w:bidi="hi-IN"/>
              </w:rPr>
              <w:t>586,000</w:t>
            </w:r>
          </w:p>
        </w:tc>
        <w:tc>
          <w:tcPr>
            <w:tcW w:w="1140" w:type="dxa"/>
            <w:tcBorders>
              <w:top w:val="nil"/>
              <w:left w:val="nil"/>
              <w:bottom w:val="single" w:sz="8" w:space="0" w:color="auto"/>
              <w:right w:val="single" w:sz="8" w:space="0" w:color="auto"/>
            </w:tcBorders>
            <w:shd w:val="clear" w:color="auto" w:fill="auto"/>
            <w:noWrap/>
            <w:vAlign w:val="center"/>
          </w:tcPr>
          <w:p w14:paraId="3B7FBFFA" w14:textId="504F9EB5" w:rsidR="00ED373D" w:rsidRPr="00AA2617" w:rsidRDefault="00A241F1" w:rsidP="00ED373D">
            <w:pPr>
              <w:spacing w:after="0"/>
              <w:jc w:val="center"/>
              <w:rPr>
                <w:rFonts w:eastAsia="Times New Roman" w:cs="Times New Roman"/>
                <w:color w:val="000000"/>
                <w:sz w:val="20"/>
                <w:szCs w:val="20"/>
                <w:lang w:bidi="hi-IN"/>
              </w:rPr>
            </w:pPr>
            <w:r>
              <w:rPr>
                <w:rFonts w:eastAsia="Times New Roman" w:cs="Times New Roman"/>
                <w:color w:val="000000"/>
                <w:sz w:val="20"/>
                <w:szCs w:val="20"/>
                <w:lang w:bidi="hi-IN"/>
              </w:rPr>
              <w:t>242,739</w:t>
            </w:r>
          </w:p>
        </w:tc>
        <w:tc>
          <w:tcPr>
            <w:tcW w:w="1403" w:type="dxa"/>
            <w:tcBorders>
              <w:top w:val="nil"/>
              <w:left w:val="nil"/>
              <w:bottom w:val="single" w:sz="8" w:space="0" w:color="auto"/>
              <w:right w:val="single" w:sz="8" w:space="0" w:color="auto"/>
            </w:tcBorders>
            <w:shd w:val="clear" w:color="auto" w:fill="auto"/>
            <w:noWrap/>
            <w:vAlign w:val="center"/>
          </w:tcPr>
          <w:p w14:paraId="2EF4AB92" w14:textId="1129C774" w:rsidR="00ED373D" w:rsidRPr="00AA2617" w:rsidRDefault="00A241F1" w:rsidP="00ED373D">
            <w:pPr>
              <w:spacing w:after="0"/>
              <w:jc w:val="center"/>
              <w:rPr>
                <w:rFonts w:eastAsia="Times New Roman" w:cs="Times New Roman"/>
                <w:color w:val="000000"/>
                <w:sz w:val="20"/>
                <w:szCs w:val="20"/>
                <w:lang w:bidi="hi-IN"/>
              </w:rPr>
            </w:pPr>
            <w:r>
              <w:rPr>
                <w:rFonts w:eastAsia="Times New Roman" w:cs="Times New Roman"/>
                <w:color w:val="000000"/>
                <w:sz w:val="20"/>
                <w:szCs w:val="20"/>
                <w:lang w:bidi="hi-IN"/>
              </w:rPr>
              <w:t>828,739</w:t>
            </w:r>
            <w:bookmarkStart w:id="139" w:name="_GoBack"/>
            <w:bookmarkEnd w:id="139"/>
          </w:p>
        </w:tc>
      </w:tr>
      <w:tr w:rsidR="008D16FB" w:rsidRPr="00AA2617" w14:paraId="5903EE14" w14:textId="77777777" w:rsidTr="008D16FB">
        <w:trPr>
          <w:trHeight w:val="408"/>
        </w:trPr>
        <w:tc>
          <w:tcPr>
            <w:tcW w:w="1823" w:type="dxa"/>
            <w:tcBorders>
              <w:top w:val="nil"/>
              <w:left w:val="single" w:sz="8" w:space="0" w:color="auto"/>
              <w:bottom w:val="single" w:sz="8" w:space="0" w:color="auto"/>
              <w:right w:val="single" w:sz="8" w:space="0" w:color="auto"/>
            </w:tcBorders>
            <w:shd w:val="clear" w:color="auto" w:fill="auto"/>
            <w:vAlign w:val="center"/>
          </w:tcPr>
          <w:p w14:paraId="7476B5E8" w14:textId="6568720D" w:rsidR="008D16FB" w:rsidRPr="00AA2617" w:rsidRDefault="008D16FB" w:rsidP="008D16FB">
            <w:pPr>
              <w:spacing w:after="0"/>
              <w:jc w:val="left"/>
              <w:rPr>
                <w:rFonts w:eastAsia="Times New Roman" w:cs="Times New Roman"/>
                <w:b/>
                <w:bCs/>
                <w:color w:val="000000"/>
                <w:sz w:val="20"/>
                <w:szCs w:val="20"/>
                <w:lang w:val="en-GB" w:bidi="hi-IN"/>
              </w:rPr>
            </w:pPr>
            <w:r>
              <w:rPr>
                <w:rFonts w:eastAsia="Times New Roman" w:cs="Times New Roman"/>
                <w:b/>
                <w:bCs/>
                <w:color w:val="000000"/>
                <w:sz w:val="20"/>
                <w:szCs w:val="20"/>
                <w:lang w:val="en-GB" w:bidi="hi-IN"/>
              </w:rPr>
              <w:t>Project Management Cost</w:t>
            </w:r>
          </w:p>
        </w:tc>
        <w:tc>
          <w:tcPr>
            <w:tcW w:w="1149" w:type="dxa"/>
            <w:tcBorders>
              <w:top w:val="nil"/>
              <w:left w:val="nil"/>
              <w:bottom w:val="single" w:sz="8" w:space="0" w:color="auto"/>
              <w:right w:val="single" w:sz="8" w:space="0" w:color="auto"/>
            </w:tcBorders>
            <w:shd w:val="clear" w:color="auto" w:fill="auto"/>
            <w:vAlign w:val="center"/>
          </w:tcPr>
          <w:p w14:paraId="092D7108" w14:textId="14AD3AA3" w:rsidR="008D16FB" w:rsidRPr="008D16FB" w:rsidRDefault="008D16FB" w:rsidP="008D16FB">
            <w:pPr>
              <w:spacing w:after="0"/>
              <w:jc w:val="center"/>
              <w:rPr>
                <w:rFonts w:eastAsia="Times New Roman" w:cs="Times New Roman"/>
                <w:color w:val="000000"/>
                <w:sz w:val="20"/>
                <w:szCs w:val="20"/>
                <w:lang w:val="en-GB" w:bidi="hi-IN"/>
              </w:rPr>
            </w:pPr>
            <w:r w:rsidRPr="008D16FB">
              <w:rPr>
                <w:rFonts w:eastAsia="Times New Roman" w:cs="Times New Roman"/>
                <w:color w:val="000000"/>
                <w:sz w:val="20"/>
                <w:szCs w:val="20"/>
                <w:lang w:val="en-GB" w:bidi="hi-IN"/>
              </w:rPr>
              <w:t>0</w:t>
            </w:r>
          </w:p>
        </w:tc>
        <w:tc>
          <w:tcPr>
            <w:tcW w:w="2017" w:type="dxa"/>
            <w:tcBorders>
              <w:top w:val="nil"/>
              <w:left w:val="nil"/>
              <w:bottom w:val="single" w:sz="8" w:space="0" w:color="auto"/>
              <w:right w:val="single" w:sz="8" w:space="0" w:color="auto"/>
            </w:tcBorders>
            <w:shd w:val="clear" w:color="auto" w:fill="auto"/>
            <w:vAlign w:val="center"/>
          </w:tcPr>
          <w:p w14:paraId="2F55FB2D" w14:textId="154204C7" w:rsidR="008D16FB" w:rsidRPr="008D16FB" w:rsidRDefault="008D16FB" w:rsidP="008D16FB">
            <w:pPr>
              <w:spacing w:after="0"/>
              <w:jc w:val="center"/>
              <w:rPr>
                <w:rFonts w:eastAsia="Times New Roman" w:cs="Times New Roman"/>
                <w:color w:val="000000"/>
                <w:sz w:val="20"/>
                <w:szCs w:val="20"/>
                <w:lang w:val="en-GB" w:bidi="hi-IN"/>
              </w:rPr>
            </w:pPr>
            <w:r w:rsidRPr="008D16FB">
              <w:rPr>
                <w:rFonts w:eastAsia="Times New Roman" w:cs="Times New Roman"/>
                <w:color w:val="000000"/>
                <w:sz w:val="20"/>
                <w:szCs w:val="20"/>
                <w:lang w:val="en-GB" w:bidi="hi-IN"/>
              </w:rPr>
              <w:t>0</w:t>
            </w:r>
          </w:p>
        </w:tc>
        <w:tc>
          <w:tcPr>
            <w:tcW w:w="1228" w:type="dxa"/>
            <w:tcBorders>
              <w:top w:val="nil"/>
              <w:left w:val="nil"/>
              <w:bottom w:val="single" w:sz="8" w:space="0" w:color="auto"/>
              <w:right w:val="single" w:sz="8" w:space="0" w:color="auto"/>
            </w:tcBorders>
            <w:shd w:val="clear" w:color="auto" w:fill="auto"/>
            <w:vAlign w:val="center"/>
          </w:tcPr>
          <w:p w14:paraId="1091BAD4" w14:textId="0D61516F" w:rsidR="008D16FB" w:rsidRPr="008D16FB" w:rsidRDefault="008D16FB" w:rsidP="008D16FB">
            <w:pPr>
              <w:spacing w:after="0"/>
              <w:jc w:val="center"/>
              <w:rPr>
                <w:rFonts w:eastAsia="Times New Roman" w:cs="Times New Roman"/>
                <w:color w:val="000000"/>
                <w:sz w:val="20"/>
                <w:szCs w:val="20"/>
                <w:lang w:val="en-GB" w:bidi="hi-IN"/>
              </w:rPr>
            </w:pPr>
            <w:r>
              <w:rPr>
                <w:rFonts w:eastAsia="Times New Roman" w:cs="Times New Roman"/>
                <w:color w:val="000000"/>
                <w:sz w:val="20"/>
                <w:szCs w:val="20"/>
                <w:lang w:val="en-GB" w:bidi="hi-IN"/>
              </w:rPr>
              <w:t>0</w:t>
            </w:r>
          </w:p>
        </w:tc>
        <w:tc>
          <w:tcPr>
            <w:tcW w:w="1140" w:type="dxa"/>
            <w:tcBorders>
              <w:top w:val="nil"/>
              <w:left w:val="nil"/>
              <w:bottom w:val="single" w:sz="8" w:space="0" w:color="auto"/>
              <w:right w:val="single" w:sz="8" w:space="0" w:color="auto"/>
            </w:tcBorders>
            <w:shd w:val="clear" w:color="auto" w:fill="auto"/>
            <w:vAlign w:val="center"/>
          </w:tcPr>
          <w:p w14:paraId="41B90373" w14:textId="24B72964" w:rsidR="008D16FB" w:rsidRPr="008D16FB" w:rsidRDefault="008D16FB" w:rsidP="008D16FB">
            <w:pPr>
              <w:spacing w:after="0"/>
              <w:jc w:val="center"/>
              <w:rPr>
                <w:rFonts w:eastAsia="Times New Roman" w:cs="Times New Roman"/>
                <w:color w:val="000000"/>
                <w:sz w:val="20"/>
                <w:szCs w:val="20"/>
                <w:lang w:val="en-GB" w:bidi="hi-IN"/>
              </w:rPr>
            </w:pPr>
            <w:r w:rsidRPr="008D16FB">
              <w:rPr>
                <w:rFonts w:eastAsia="Times New Roman" w:cs="Times New Roman"/>
                <w:color w:val="000000"/>
                <w:sz w:val="20"/>
                <w:szCs w:val="20"/>
                <w:lang w:val="en-GB" w:bidi="hi-IN"/>
              </w:rPr>
              <w:t>78,477</w:t>
            </w:r>
          </w:p>
        </w:tc>
        <w:tc>
          <w:tcPr>
            <w:tcW w:w="1403" w:type="dxa"/>
            <w:tcBorders>
              <w:top w:val="nil"/>
              <w:left w:val="nil"/>
              <w:bottom w:val="single" w:sz="8" w:space="0" w:color="auto"/>
              <w:right w:val="single" w:sz="8" w:space="0" w:color="auto"/>
            </w:tcBorders>
            <w:shd w:val="clear" w:color="auto" w:fill="auto"/>
            <w:vAlign w:val="center"/>
          </w:tcPr>
          <w:p w14:paraId="71C62199" w14:textId="3FB64CF0" w:rsidR="008D16FB" w:rsidRPr="008D16FB" w:rsidRDefault="008D16FB" w:rsidP="008D16FB">
            <w:pPr>
              <w:spacing w:after="0"/>
              <w:jc w:val="center"/>
              <w:rPr>
                <w:rFonts w:eastAsia="Times New Roman" w:cs="Times New Roman"/>
                <w:color w:val="000000"/>
                <w:sz w:val="20"/>
                <w:szCs w:val="20"/>
                <w:lang w:val="en-GB" w:bidi="hi-IN"/>
              </w:rPr>
            </w:pPr>
            <w:r w:rsidRPr="008D16FB">
              <w:rPr>
                <w:rFonts w:eastAsia="Times New Roman" w:cs="Times New Roman"/>
                <w:color w:val="000000"/>
                <w:sz w:val="20"/>
                <w:szCs w:val="20"/>
                <w:lang w:val="en-GB" w:bidi="hi-IN"/>
              </w:rPr>
              <w:t>78,477</w:t>
            </w:r>
          </w:p>
        </w:tc>
      </w:tr>
      <w:tr w:rsidR="00694683" w:rsidRPr="00AA2617" w14:paraId="5B826A31" w14:textId="77777777" w:rsidTr="008D16FB">
        <w:trPr>
          <w:trHeight w:val="408"/>
        </w:trPr>
        <w:tc>
          <w:tcPr>
            <w:tcW w:w="1823" w:type="dxa"/>
            <w:tcBorders>
              <w:top w:val="nil"/>
              <w:left w:val="single" w:sz="8" w:space="0" w:color="auto"/>
              <w:bottom w:val="single" w:sz="8" w:space="0" w:color="auto"/>
              <w:right w:val="single" w:sz="8" w:space="0" w:color="auto"/>
            </w:tcBorders>
            <w:shd w:val="clear" w:color="000000" w:fill="B4C6E7"/>
            <w:vAlign w:val="center"/>
            <w:hideMark/>
          </w:tcPr>
          <w:p w14:paraId="2EFBB560" w14:textId="77777777" w:rsidR="00694683" w:rsidRPr="00AA2617" w:rsidRDefault="00694683" w:rsidP="00AA2617">
            <w:pPr>
              <w:spacing w:after="0"/>
              <w:jc w:val="left"/>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Total Project</w:t>
            </w:r>
          </w:p>
        </w:tc>
        <w:tc>
          <w:tcPr>
            <w:tcW w:w="1149" w:type="dxa"/>
            <w:tcBorders>
              <w:top w:val="nil"/>
              <w:left w:val="nil"/>
              <w:bottom w:val="single" w:sz="8" w:space="0" w:color="auto"/>
              <w:right w:val="single" w:sz="8" w:space="0" w:color="auto"/>
            </w:tcBorders>
            <w:shd w:val="clear" w:color="000000" w:fill="B4C6E7"/>
            <w:vAlign w:val="center"/>
            <w:hideMark/>
          </w:tcPr>
          <w:p w14:paraId="0969F015" w14:textId="77777777"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200,000</w:t>
            </w:r>
          </w:p>
        </w:tc>
        <w:tc>
          <w:tcPr>
            <w:tcW w:w="2017" w:type="dxa"/>
            <w:tcBorders>
              <w:top w:val="nil"/>
              <w:left w:val="nil"/>
              <w:bottom w:val="single" w:sz="8" w:space="0" w:color="auto"/>
              <w:right w:val="single" w:sz="8" w:space="0" w:color="auto"/>
            </w:tcBorders>
            <w:shd w:val="clear" w:color="000000" w:fill="B4C6E7"/>
            <w:vAlign w:val="center"/>
            <w:hideMark/>
          </w:tcPr>
          <w:p w14:paraId="402BFEB1" w14:textId="77777777"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1,596,000</w:t>
            </w:r>
          </w:p>
        </w:tc>
        <w:tc>
          <w:tcPr>
            <w:tcW w:w="1228" w:type="dxa"/>
            <w:tcBorders>
              <w:top w:val="nil"/>
              <w:left w:val="nil"/>
              <w:bottom w:val="single" w:sz="8" w:space="0" w:color="auto"/>
              <w:right w:val="single" w:sz="8" w:space="0" w:color="auto"/>
            </w:tcBorders>
            <w:shd w:val="clear" w:color="000000" w:fill="B4C6E7"/>
            <w:vAlign w:val="center"/>
            <w:hideMark/>
          </w:tcPr>
          <w:p w14:paraId="72D69474" w14:textId="77777777"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1,796,000</w:t>
            </w:r>
          </w:p>
        </w:tc>
        <w:tc>
          <w:tcPr>
            <w:tcW w:w="1140" w:type="dxa"/>
            <w:tcBorders>
              <w:top w:val="nil"/>
              <w:left w:val="nil"/>
              <w:bottom w:val="single" w:sz="8" w:space="0" w:color="auto"/>
              <w:right w:val="single" w:sz="8" w:space="0" w:color="auto"/>
            </w:tcBorders>
            <w:shd w:val="clear" w:color="000000" w:fill="B4C6E7"/>
            <w:vAlign w:val="center"/>
            <w:hideMark/>
          </w:tcPr>
          <w:p w14:paraId="2D0A2346" w14:textId="77777777"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863,242</w:t>
            </w:r>
          </w:p>
        </w:tc>
        <w:tc>
          <w:tcPr>
            <w:tcW w:w="1403" w:type="dxa"/>
            <w:tcBorders>
              <w:top w:val="nil"/>
              <w:left w:val="nil"/>
              <w:bottom w:val="single" w:sz="8" w:space="0" w:color="auto"/>
              <w:right w:val="single" w:sz="8" w:space="0" w:color="auto"/>
            </w:tcBorders>
            <w:shd w:val="clear" w:color="000000" w:fill="B4C6E7"/>
            <w:vAlign w:val="center"/>
            <w:hideMark/>
          </w:tcPr>
          <w:p w14:paraId="78F7F517" w14:textId="77777777" w:rsidR="00694683" w:rsidRPr="00AA2617" w:rsidRDefault="00694683" w:rsidP="00AA2617">
            <w:pPr>
              <w:spacing w:after="0"/>
              <w:jc w:val="center"/>
              <w:rPr>
                <w:rFonts w:eastAsia="Times New Roman" w:cs="Times New Roman"/>
                <w:b/>
                <w:bCs/>
                <w:color w:val="000000"/>
                <w:sz w:val="20"/>
                <w:szCs w:val="20"/>
                <w:lang w:bidi="hi-IN"/>
              </w:rPr>
            </w:pPr>
            <w:r w:rsidRPr="00AA2617">
              <w:rPr>
                <w:rFonts w:eastAsia="Times New Roman" w:cs="Times New Roman"/>
                <w:b/>
                <w:bCs/>
                <w:color w:val="000000"/>
                <w:sz w:val="20"/>
                <w:szCs w:val="20"/>
                <w:lang w:val="en-GB" w:bidi="hi-IN"/>
              </w:rPr>
              <w:t>2,659,242</w:t>
            </w:r>
          </w:p>
        </w:tc>
      </w:tr>
    </w:tbl>
    <w:p w14:paraId="54CE4727" w14:textId="77777777" w:rsidR="001A6237" w:rsidRPr="00AA2617" w:rsidRDefault="001A6237" w:rsidP="00AA2617">
      <w:pPr>
        <w:rPr>
          <w:sz w:val="22"/>
          <w:lang w:val="en-GB"/>
        </w:rPr>
      </w:pPr>
    </w:p>
    <w:p w14:paraId="088C9836" w14:textId="77777777" w:rsidR="001A6237" w:rsidRPr="00AA2617" w:rsidRDefault="001A6237" w:rsidP="00AA2617">
      <w:pPr>
        <w:pStyle w:val="Heading3"/>
        <w:spacing w:before="40" w:after="0"/>
        <w:rPr>
          <w:szCs w:val="22"/>
          <w:lang w:val="en-GB"/>
        </w:rPr>
      </w:pPr>
      <w:bookmarkStart w:id="140" w:name="_Toc514789064"/>
      <w:bookmarkStart w:id="141" w:name="_Toc9249204"/>
      <w:r w:rsidRPr="00AA2617">
        <w:rPr>
          <w:szCs w:val="22"/>
          <w:lang w:val="en-GB"/>
        </w:rPr>
        <w:t>GEF Contribution</w:t>
      </w:r>
      <w:bookmarkEnd w:id="138"/>
      <w:bookmarkEnd w:id="140"/>
      <w:bookmarkEnd w:id="141"/>
    </w:p>
    <w:p w14:paraId="14B7F875" w14:textId="7362CCFA" w:rsidR="001A6237" w:rsidRPr="00AA2617" w:rsidRDefault="001A6237" w:rsidP="00AA2617">
      <w:pPr>
        <w:pStyle w:val="NumberedParagraph"/>
        <w:spacing w:before="120"/>
        <w:rPr>
          <w:sz w:val="22"/>
          <w:lang w:val="en-GB"/>
        </w:rPr>
      </w:pPr>
      <w:r w:rsidRPr="00AA2617">
        <w:rPr>
          <w:sz w:val="22"/>
          <w:lang w:val="en-GB"/>
        </w:rPr>
        <w:t>The GEF contribution will support the following: i) hiring full time and part-time consultants that will form part of the PM</w:t>
      </w:r>
      <w:r w:rsidR="00C646F5" w:rsidRPr="00AA2617">
        <w:rPr>
          <w:sz w:val="22"/>
          <w:lang w:val="en-GB"/>
        </w:rPr>
        <w:t>U</w:t>
      </w:r>
      <w:r w:rsidRPr="00AA2617">
        <w:rPr>
          <w:sz w:val="22"/>
          <w:lang w:val="en-GB"/>
        </w:rPr>
        <w:t>; ii) transfers of resources that will be made through Letters of Agreements (LoAs) and/or service contracting; iii) procurements, iv) communications; v) training; vi) travel and vii) activities related to project monitoring and evaluation.</w:t>
      </w:r>
    </w:p>
    <w:p w14:paraId="70C353C1" w14:textId="77777777" w:rsidR="001A6237" w:rsidRPr="00AA2617" w:rsidRDefault="001A6237" w:rsidP="00AA2617">
      <w:pPr>
        <w:rPr>
          <w:rFonts w:cs="Times New Roman"/>
          <w:sz w:val="22"/>
          <w:lang w:val="en-GB"/>
        </w:rPr>
      </w:pPr>
    </w:p>
    <w:p w14:paraId="1070F63F" w14:textId="77777777" w:rsidR="001A6237" w:rsidRPr="00AA2617" w:rsidRDefault="001A6237" w:rsidP="00AA2617">
      <w:pPr>
        <w:pStyle w:val="Heading3"/>
        <w:spacing w:before="40" w:after="0"/>
        <w:rPr>
          <w:szCs w:val="22"/>
          <w:lang w:val="en-GB"/>
        </w:rPr>
      </w:pPr>
      <w:bookmarkStart w:id="142" w:name="_Toc510013446"/>
      <w:bookmarkStart w:id="143" w:name="_Toc514789065"/>
      <w:bookmarkStart w:id="144" w:name="_Toc9249205"/>
      <w:r w:rsidRPr="00AA2617">
        <w:rPr>
          <w:szCs w:val="22"/>
          <w:lang w:val="en-GB"/>
        </w:rPr>
        <w:t>Government Contribution</w:t>
      </w:r>
      <w:bookmarkEnd w:id="142"/>
      <w:bookmarkEnd w:id="143"/>
      <w:bookmarkEnd w:id="144"/>
      <w:r w:rsidRPr="00AA2617">
        <w:rPr>
          <w:szCs w:val="22"/>
          <w:lang w:val="en-GB"/>
        </w:rPr>
        <w:t xml:space="preserve"> </w:t>
      </w:r>
    </w:p>
    <w:p w14:paraId="58A38E5A" w14:textId="77777777" w:rsidR="001A6237" w:rsidRPr="00AA2617" w:rsidRDefault="001A6237" w:rsidP="00AA2617">
      <w:pPr>
        <w:pStyle w:val="NumberedParagraph"/>
        <w:spacing w:before="120"/>
        <w:rPr>
          <w:sz w:val="22"/>
          <w:lang w:val="en-GB"/>
        </w:rPr>
      </w:pPr>
      <w:r w:rsidRPr="00AA2617">
        <w:rPr>
          <w:sz w:val="22"/>
          <w:lang w:val="en-GB"/>
        </w:rPr>
        <w:t>The Government’s financial contribution will be in kind and will consist of the following: i) government officials’ time assigned to the CBIT project; ii) office space, meeting services and supplies; and iii) vehicle and general office expenses.</w:t>
      </w:r>
    </w:p>
    <w:p w14:paraId="1598E6C5" w14:textId="77777777" w:rsidR="001A6237" w:rsidRPr="00AA2617" w:rsidRDefault="001A6237" w:rsidP="00AA2617">
      <w:pPr>
        <w:rPr>
          <w:rFonts w:cs="Times New Roman"/>
          <w:sz w:val="22"/>
          <w:lang w:val="en-GB"/>
        </w:rPr>
      </w:pPr>
    </w:p>
    <w:p w14:paraId="25D9BF67" w14:textId="77777777" w:rsidR="001A6237" w:rsidRPr="00AA2617" w:rsidRDefault="001A6237" w:rsidP="00AA2617">
      <w:pPr>
        <w:pStyle w:val="Heading3"/>
        <w:spacing w:before="40" w:after="0"/>
        <w:rPr>
          <w:szCs w:val="22"/>
          <w:lang w:val="en-GB"/>
        </w:rPr>
      </w:pPr>
      <w:bookmarkStart w:id="145" w:name="_Toc510013447"/>
      <w:bookmarkStart w:id="146" w:name="_Toc514789066"/>
      <w:bookmarkStart w:id="147" w:name="_Toc9249206"/>
      <w:r w:rsidRPr="00AA2617">
        <w:rPr>
          <w:szCs w:val="22"/>
          <w:lang w:val="en-GB"/>
        </w:rPr>
        <w:t>FAO Contribution</w:t>
      </w:r>
      <w:bookmarkEnd w:id="145"/>
      <w:bookmarkEnd w:id="146"/>
      <w:bookmarkEnd w:id="147"/>
    </w:p>
    <w:p w14:paraId="2D908FDC" w14:textId="3758EDF1" w:rsidR="001A6237" w:rsidRPr="00AA2617" w:rsidRDefault="001A6237" w:rsidP="00AA2617">
      <w:pPr>
        <w:pStyle w:val="NumberedParagraph"/>
        <w:spacing w:before="120"/>
        <w:rPr>
          <w:sz w:val="22"/>
          <w:lang w:val="en-GB"/>
        </w:rPr>
      </w:pPr>
      <w:r w:rsidRPr="00AA2617">
        <w:rPr>
          <w:sz w:val="22"/>
          <w:lang w:val="en-GB"/>
        </w:rPr>
        <w:t xml:space="preserve">FAO will provide </w:t>
      </w:r>
      <w:r w:rsidR="00EE6E52" w:rsidRPr="00AA2617">
        <w:rPr>
          <w:sz w:val="22"/>
          <w:lang w:val="en-GB"/>
        </w:rPr>
        <w:t>in kind</w:t>
      </w:r>
      <w:r w:rsidRPr="00AA2617">
        <w:rPr>
          <w:sz w:val="22"/>
          <w:lang w:val="en-GB"/>
        </w:rPr>
        <w:t xml:space="preserve"> contributions amounting to USD </w:t>
      </w:r>
      <w:r w:rsidR="00F24996" w:rsidRPr="00AA2617">
        <w:rPr>
          <w:sz w:val="22"/>
          <w:lang w:val="en-GB"/>
        </w:rPr>
        <w:t>200,000</w:t>
      </w:r>
      <w:r w:rsidR="00EE6E52" w:rsidRPr="00AA2617">
        <w:rPr>
          <w:sz w:val="22"/>
          <w:lang w:val="en-GB"/>
        </w:rPr>
        <w:t xml:space="preserve"> will consists of office space and other project support related costs that are not covered by the fees.</w:t>
      </w:r>
    </w:p>
    <w:p w14:paraId="1DEBC2AA" w14:textId="77777777" w:rsidR="00EE6E52" w:rsidRPr="00AA2617" w:rsidRDefault="00EE6E52" w:rsidP="00AA2617">
      <w:pPr>
        <w:pStyle w:val="NumberedParagraph"/>
        <w:numPr>
          <w:ilvl w:val="0"/>
          <w:numId w:val="0"/>
        </w:numPr>
        <w:spacing w:before="120"/>
        <w:ind w:left="360" w:hanging="360"/>
        <w:jc w:val="left"/>
        <w:rPr>
          <w:sz w:val="22"/>
          <w:lang w:val="en-GB"/>
        </w:rPr>
      </w:pPr>
    </w:p>
    <w:p w14:paraId="7897C221" w14:textId="77777777" w:rsidR="001A6237" w:rsidRPr="00AA2617" w:rsidRDefault="001A6237" w:rsidP="00AA2617">
      <w:pPr>
        <w:pStyle w:val="Heading3"/>
        <w:spacing w:before="40" w:after="0"/>
        <w:rPr>
          <w:szCs w:val="22"/>
          <w:lang w:val="en-GB"/>
        </w:rPr>
      </w:pPr>
      <w:bookmarkStart w:id="148" w:name="_Toc513217394"/>
      <w:bookmarkStart w:id="149" w:name="_Toc510013448"/>
      <w:bookmarkStart w:id="150" w:name="_Toc514789067"/>
      <w:bookmarkStart w:id="151" w:name="_Toc9249207"/>
      <w:bookmarkEnd w:id="148"/>
      <w:r w:rsidRPr="00AA2617">
        <w:rPr>
          <w:szCs w:val="22"/>
          <w:lang w:val="en-GB"/>
        </w:rPr>
        <w:t>Financial management of and reporting on GEF resources</w:t>
      </w:r>
      <w:bookmarkEnd w:id="149"/>
      <w:bookmarkEnd w:id="150"/>
      <w:bookmarkEnd w:id="151"/>
      <w:r w:rsidRPr="00AA2617" w:rsidDel="00A965DB">
        <w:rPr>
          <w:szCs w:val="22"/>
          <w:lang w:val="en-GB"/>
        </w:rPr>
        <w:t xml:space="preserve"> </w:t>
      </w:r>
    </w:p>
    <w:p w14:paraId="70FF6C0A" w14:textId="77777777" w:rsidR="001A6237" w:rsidRPr="00AA2617" w:rsidRDefault="001A6237" w:rsidP="00AA2617">
      <w:pPr>
        <w:pStyle w:val="NumberedParagraph"/>
        <w:spacing w:before="120"/>
        <w:rPr>
          <w:sz w:val="22"/>
          <w:lang w:val="en-GB"/>
        </w:rPr>
      </w:pPr>
      <w:r w:rsidRPr="00AA2617">
        <w:rPr>
          <w:sz w:val="22"/>
          <w:lang w:val="en-GB"/>
        </w:rPr>
        <w:t xml:space="preserve">All financial management and reporting in relation to the GEF resources will be carried out in accordance with FAO’s rules and procedures for the implementation of projects under FAO’s direct execution. </w:t>
      </w:r>
    </w:p>
    <w:p w14:paraId="11E0A5CF" w14:textId="77777777" w:rsidR="001A6237" w:rsidRPr="00AA2617" w:rsidRDefault="001A6237" w:rsidP="00AA2617">
      <w:pPr>
        <w:pStyle w:val="NumberedParagraph"/>
        <w:spacing w:before="120"/>
        <w:rPr>
          <w:sz w:val="22"/>
          <w:lang w:val="en-GB"/>
        </w:rPr>
      </w:pPr>
      <w:r w:rsidRPr="00AA2617">
        <w:rPr>
          <w:b/>
          <w:sz w:val="22"/>
          <w:u w:val="single"/>
          <w:lang w:val="en-GB"/>
        </w:rPr>
        <w:t>Financial Records</w:t>
      </w:r>
      <w:r w:rsidRPr="00AA2617">
        <w:rPr>
          <w:sz w:val="22"/>
          <w:lang w:val="en-GB"/>
        </w:rPr>
        <w:t>: FAO shall maintain a separate account in USD for the Project’s GEF resources showing all income and expenditures. Expenditures incurred in a currency other than US$ shall be converted into US$ at the United Nations operational rate of exchange on the date of the transaction. FAO shall administer the Project in accordance with its regulations, rules, and directives.</w:t>
      </w:r>
    </w:p>
    <w:p w14:paraId="480813CA" w14:textId="77777777" w:rsidR="009A263D" w:rsidRPr="00AA2617" w:rsidRDefault="009A263D" w:rsidP="00AA2617">
      <w:pPr>
        <w:pStyle w:val="NumberedParagraph"/>
        <w:spacing w:before="120"/>
        <w:rPr>
          <w:bCs/>
          <w:sz w:val="22"/>
          <w:lang w:val="en-GB"/>
        </w:rPr>
      </w:pPr>
      <w:r w:rsidRPr="00AA2617">
        <w:rPr>
          <w:b/>
          <w:sz w:val="22"/>
          <w:u w:val="single"/>
          <w:lang w:val="en-GB"/>
        </w:rPr>
        <w:t xml:space="preserve">Financial Reports: </w:t>
      </w:r>
      <w:r w:rsidRPr="00AA2617">
        <w:rPr>
          <w:bCs/>
          <w:sz w:val="22"/>
          <w:lang w:val="en-GB"/>
        </w:rPr>
        <w:t>The BH shall prepare six-monthly project expenditure accounts, six monthly finance variation report and final accounts for the Project, showing amount budgeted for the year, amount expended since the beginning of the year, and separately, the un-liquidated obligations as follows:</w:t>
      </w:r>
    </w:p>
    <w:p w14:paraId="77C449E9" w14:textId="77777777" w:rsidR="001A6237" w:rsidRPr="00AA2617" w:rsidRDefault="001A6237" w:rsidP="00AA2617">
      <w:pPr>
        <w:pStyle w:val="ListParagraph"/>
        <w:numPr>
          <w:ilvl w:val="0"/>
          <w:numId w:val="29"/>
        </w:numPr>
        <w:spacing w:after="200"/>
        <w:ind w:left="630" w:hanging="270"/>
        <w:rPr>
          <w:rFonts w:eastAsia="SimSun" w:cs="Times New Roman"/>
          <w:sz w:val="22"/>
          <w:lang w:val="en-GB" w:eastAsia="en-GB"/>
        </w:rPr>
      </w:pPr>
      <w:r w:rsidRPr="00AA2617">
        <w:rPr>
          <w:rFonts w:eastAsia="SimSun" w:cs="Times New Roman"/>
          <w:i/>
          <w:sz w:val="22"/>
          <w:lang w:val="en-GB" w:eastAsia="en-GB"/>
        </w:rPr>
        <w:t>Annually</w:t>
      </w:r>
      <w:r w:rsidRPr="00AA2617">
        <w:rPr>
          <w:rFonts w:eastAsia="SimSun" w:cs="Times New Roman"/>
          <w:sz w:val="22"/>
          <w:lang w:val="en-GB" w:eastAsia="en-GB"/>
        </w:rPr>
        <w:t>: Details of project expenditures on a component-by-component and output-by-output basis, reported in line with project budget codes as set out in the Project document, as at 30 June and 31 December each year.</w:t>
      </w:r>
    </w:p>
    <w:p w14:paraId="4054650F" w14:textId="77777777" w:rsidR="001A6237" w:rsidRPr="00AA2617" w:rsidRDefault="001A6237" w:rsidP="00AA2617">
      <w:pPr>
        <w:pStyle w:val="ListParagraph"/>
        <w:numPr>
          <w:ilvl w:val="0"/>
          <w:numId w:val="29"/>
        </w:numPr>
        <w:spacing w:after="200"/>
        <w:ind w:left="630" w:hanging="270"/>
        <w:rPr>
          <w:rFonts w:eastAsia="SimSun" w:cs="Times New Roman"/>
          <w:sz w:val="22"/>
          <w:lang w:val="en-GB" w:eastAsia="en-GB"/>
        </w:rPr>
      </w:pPr>
      <w:r w:rsidRPr="00AA2617">
        <w:rPr>
          <w:rFonts w:eastAsia="SimSun" w:cs="Times New Roman"/>
          <w:i/>
          <w:sz w:val="22"/>
          <w:lang w:val="en-GB" w:eastAsia="en-GB"/>
        </w:rPr>
        <w:t>Final report</w:t>
      </w:r>
      <w:r w:rsidRPr="00AA2617">
        <w:rPr>
          <w:rFonts w:eastAsia="SimSun" w:cs="Times New Roman"/>
          <w:sz w:val="22"/>
          <w:lang w:val="en-GB" w:eastAsia="en-GB"/>
        </w:rPr>
        <w:t xml:space="preserve">: Final accounts on completion of the Project on a component-by-component and output-by-output basis, reported in line with project budget codes as set out in the Project document. </w:t>
      </w:r>
    </w:p>
    <w:p w14:paraId="00B5BC35" w14:textId="77777777" w:rsidR="001A6237" w:rsidRPr="00AA2617" w:rsidRDefault="001A6237" w:rsidP="00AA2617">
      <w:pPr>
        <w:pStyle w:val="ListParagraph"/>
        <w:numPr>
          <w:ilvl w:val="0"/>
          <w:numId w:val="29"/>
        </w:numPr>
        <w:spacing w:after="200"/>
        <w:ind w:left="630" w:hanging="270"/>
        <w:rPr>
          <w:rFonts w:eastAsia="SimSun" w:cs="Times New Roman"/>
          <w:sz w:val="22"/>
          <w:lang w:val="en-GB" w:eastAsia="en-GB"/>
        </w:rPr>
      </w:pPr>
      <w:r w:rsidRPr="00AA2617">
        <w:rPr>
          <w:rFonts w:eastAsia="SimSun" w:cs="Times New Roman"/>
          <w:sz w:val="22"/>
          <w:lang w:val="en-GB" w:eastAsia="en-GB"/>
        </w:rPr>
        <w:t xml:space="preserve">A </w:t>
      </w:r>
      <w:r w:rsidRPr="00AA2617">
        <w:rPr>
          <w:rFonts w:eastAsia="SimSun" w:cs="Times New Roman"/>
          <w:i/>
          <w:sz w:val="22"/>
          <w:lang w:val="en-GB" w:eastAsia="en-GB"/>
        </w:rPr>
        <w:t>final statement of account</w:t>
      </w:r>
      <w:r w:rsidRPr="00AA2617">
        <w:rPr>
          <w:rFonts w:eastAsia="SimSun" w:cs="Times New Roman"/>
          <w:sz w:val="22"/>
          <w:lang w:val="en-GB" w:eastAsia="en-GB"/>
        </w:rPr>
        <w:t xml:space="preserve"> in line with FAO Oracle Project budget codes, reflecting actual final expenditures under the Project, when all obligations have been liquidated.</w:t>
      </w:r>
    </w:p>
    <w:p w14:paraId="5701E2DE" w14:textId="77777777" w:rsidR="001A6237" w:rsidRPr="00AA2617" w:rsidRDefault="001A6237" w:rsidP="00AA2617">
      <w:pPr>
        <w:pStyle w:val="NumberedParagraph"/>
        <w:spacing w:before="120"/>
        <w:rPr>
          <w:sz w:val="22"/>
          <w:lang w:val="en-GB"/>
        </w:rPr>
      </w:pPr>
      <w:r w:rsidRPr="00AA2617">
        <w:rPr>
          <w:sz w:val="22"/>
          <w:lang w:val="en-GB"/>
        </w:rPr>
        <w:lastRenderedPageBreak/>
        <w:t>Financial reports for submission to the donor (GEF) will be prepared in accordance with the provisions in the GEF Financial Procedures Agreement and submitted by the FAO Finance Division</w:t>
      </w:r>
    </w:p>
    <w:p w14:paraId="7E693F87" w14:textId="3B6BF274" w:rsidR="001A6237" w:rsidRPr="00AA2617" w:rsidRDefault="001A6237" w:rsidP="00AA2617">
      <w:pPr>
        <w:pStyle w:val="NumberedParagraph"/>
        <w:spacing w:before="120"/>
        <w:rPr>
          <w:sz w:val="22"/>
          <w:lang w:val="en-GB"/>
        </w:rPr>
      </w:pPr>
      <w:r w:rsidRPr="00AA2617">
        <w:rPr>
          <w:b/>
          <w:sz w:val="22"/>
          <w:u w:val="single"/>
          <w:lang w:val="en-GB"/>
        </w:rPr>
        <w:t>Budget Revisions</w:t>
      </w:r>
      <w:r w:rsidRPr="00AA2617">
        <w:rPr>
          <w:sz w:val="22"/>
          <w:lang w:val="en-GB"/>
        </w:rPr>
        <w:t xml:space="preserve">: Budget revisions will be prepared by the BH in accordance with FAO standard guidelines and procedures. The budget revision will take into consideration the status of the implementation of the Project activities towards achieving specific outputs and outcomes. The budget revision will be submitted by BH through FPMIS. The budget revision should be prepared based on field needs and the agreed AWP. The </w:t>
      </w:r>
      <w:r w:rsidR="00534C13" w:rsidRPr="00AA2617">
        <w:rPr>
          <w:sz w:val="22"/>
          <w:lang w:val="en-GB"/>
        </w:rPr>
        <w:t xml:space="preserve">NTC </w:t>
      </w:r>
      <w:r w:rsidRPr="00AA2617">
        <w:rPr>
          <w:sz w:val="22"/>
          <w:lang w:val="en-GB"/>
        </w:rPr>
        <w:t xml:space="preserve">normally prepares the draft budget revision in consultation with the National Project Director and LTO for their reviews and submits to BH, and then BH will submit the budget revision to FAO/GEF Coordination Unit for approval. Budgets are the costed equivalent of the work plan in that they foresee the transformation of inputs into activities and activities into outputs. Budget management, monitoring, and revision are the responsibility of the BH and constitute a substantive, integral, and essential component of project management. The BH is required to carry out at least two budget revisions per year in full consultation with the </w:t>
      </w:r>
      <w:r w:rsidR="00534C13" w:rsidRPr="00AA2617">
        <w:rPr>
          <w:sz w:val="22"/>
          <w:lang w:val="en-GB"/>
        </w:rPr>
        <w:t>PTF</w:t>
      </w:r>
      <w:r w:rsidRPr="00AA2617">
        <w:rPr>
          <w:sz w:val="22"/>
          <w:lang w:val="en-GB"/>
        </w:rPr>
        <w:t xml:space="preserve">: (i) in March following the corporate equalization process (explained in the following paragraph), and (ii) in September/October to support work-planning for the following year, to ensure that expenditures that have occurred in the year are adequately covered by the corresponding budget. </w:t>
      </w:r>
    </w:p>
    <w:p w14:paraId="26B72464" w14:textId="77777777" w:rsidR="001A6237" w:rsidRPr="00AA2617" w:rsidRDefault="001A6237" w:rsidP="00AA2617">
      <w:pPr>
        <w:pStyle w:val="NumberedParagraph"/>
        <w:spacing w:before="120"/>
        <w:rPr>
          <w:sz w:val="22"/>
          <w:lang w:val="en-GB"/>
        </w:rPr>
      </w:pPr>
      <w:r w:rsidRPr="00AA2617">
        <w:rPr>
          <w:b/>
          <w:sz w:val="22"/>
          <w:u w:val="single"/>
          <w:lang w:val="en-GB"/>
        </w:rPr>
        <w:t>Responsibility for Cost Overruns</w:t>
      </w:r>
      <w:r w:rsidRPr="00AA2617">
        <w:rPr>
          <w:sz w:val="22"/>
          <w:lang w:val="en-GB"/>
        </w:rPr>
        <w:t xml:space="preserve">: The BH is authorized to enter into commitments or incur expenditures up to a maximum of 20 percent over and above the annual amount foreseen in the project budget under any budget sub-line provided the total cost of the annual budget is not exceeded. </w:t>
      </w:r>
    </w:p>
    <w:p w14:paraId="5AFBDE07" w14:textId="77777777" w:rsidR="001A6237" w:rsidRPr="00AA2617" w:rsidRDefault="001A6237" w:rsidP="00AA2617">
      <w:pPr>
        <w:pStyle w:val="NumberedParagraph"/>
        <w:spacing w:before="120"/>
        <w:rPr>
          <w:sz w:val="22"/>
          <w:lang w:val="en-GB"/>
        </w:rPr>
      </w:pPr>
      <w:r w:rsidRPr="00AA2617">
        <w:rPr>
          <w:sz w:val="22"/>
          <w:lang w:val="en-GB"/>
        </w:rPr>
        <w:t>Any cost overrun (expenditure in excess of the budgeted amount) on a specific budget sub-line over and above the 20 percent flexibility should be discussed with the FAO/GEF Coordination Unit with a view to ascertaining whether it will involve a major change in project scope or design. If it is deemed a minor change, the BH shall prepare a budget revision in accordance with FAO standard procedures. If it involves a major change in the project’s objectives or scope, a budget revision and justification should be prepared by the BH for discussion with the GEF Secretariat.</w:t>
      </w:r>
    </w:p>
    <w:p w14:paraId="0B819A3F" w14:textId="77777777" w:rsidR="001A6237" w:rsidRPr="00AA2617" w:rsidRDefault="001A6237" w:rsidP="00AA2617">
      <w:pPr>
        <w:pStyle w:val="NumberedParagraph"/>
        <w:spacing w:before="120"/>
        <w:rPr>
          <w:sz w:val="22"/>
          <w:lang w:val="en-GB"/>
        </w:rPr>
      </w:pPr>
      <w:r w:rsidRPr="00AA2617">
        <w:rPr>
          <w:sz w:val="22"/>
          <w:lang w:val="en-GB"/>
        </w:rPr>
        <w:t>Savings in one budget sub-line may not be applied to overruns of more than 20 percent in other sub-lines even if the total cost remains unchanged, unless this is specifically authorized by the GEF Coordination Unit upon presentation of the request. In such a case, a revision to the Project document amending the budget will be prepared by the BH. Under no circumstances can expenditures exceed the approved total Project’s budget or be approved beyond the NTE date of the project. Any over-expenditure is the responsibility of the BH.</w:t>
      </w:r>
    </w:p>
    <w:p w14:paraId="0607255A" w14:textId="77777777" w:rsidR="001A6237" w:rsidRPr="00AA2617" w:rsidRDefault="001A6237" w:rsidP="00AA2617">
      <w:pPr>
        <w:pStyle w:val="NumberedParagraph"/>
        <w:spacing w:before="120"/>
        <w:rPr>
          <w:sz w:val="22"/>
          <w:lang w:val="en-GB"/>
        </w:rPr>
      </w:pPr>
      <w:r w:rsidRPr="00AA2617">
        <w:rPr>
          <w:b/>
          <w:sz w:val="22"/>
          <w:u w:val="single"/>
          <w:lang w:val="en-GB"/>
        </w:rPr>
        <w:t>Audit</w:t>
      </w:r>
      <w:r w:rsidRPr="00AA2617">
        <w:rPr>
          <w:sz w:val="22"/>
          <w:lang w:val="en-GB"/>
        </w:rPr>
        <w:t>: The Project shall be subject to the internal and external auditing procedures provided for in FAO financial regulations, rules, and directives and in keeping with the Financial Procedures Agreement between the GEF Trustee and FAO. 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accounts, records, bank reconciliation, and asset verification take place at FAO field and liaison offices on a cyclical basis.</w:t>
      </w:r>
    </w:p>
    <w:p w14:paraId="5B30A597" w14:textId="77777777" w:rsidR="001A6237" w:rsidRPr="00AA2617" w:rsidRDefault="001A6237" w:rsidP="00AA2617">
      <w:pPr>
        <w:pStyle w:val="Heading2"/>
        <w:spacing w:before="40" w:after="0"/>
        <w:ind w:left="630" w:hanging="610"/>
        <w:rPr>
          <w:b/>
          <w:bCs/>
          <w:szCs w:val="22"/>
          <w:lang w:val="en-GB"/>
        </w:rPr>
      </w:pPr>
      <w:bookmarkStart w:id="152" w:name="_Toc453834947"/>
      <w:bookmarkStart w:id="153" w:name="_Toc489618917"/>
      <w:bookmarkStart w:id="154" w:name="_Toc510013449"/>
      <w:bookmarkStart w:id="155" w:name="_Toc514789068"/>
      <w:bookmarkStart w:id="156" w:name="_Toc9249208"/>
      <w:r w:rsidRPr="00AA2617">
        <w:rPr>
          <w:b/>
          <w:bCs/>
          <w:szCs w:val="22"/>
          <w:lang w:val="en-GB"/>
        </w:rPr>
        <w:t>Procurement</w:t>
      </w:r>
      <w:bookmarkEnd w:id="152"/>
      <w:bookmarkEnd w:id="153"/>
      <w:bookmarkEnd w:id="154"/>
      <w:bookmarkEnd w:id="155"/>
      <w:bookmarkEnd w:id="156"/>
    </w:p>
    <w:p w14:paraId="744D7F06" w14:textId="77777777" w:rsidR="001A6237" w:rsidRPr="00AA2617" w:rsidRDefault="001A6237" w:rsidP="00AA2617">
      <w:pPr>
        <w:pStyle w:val="NumberedParagraph"/>
        <w:spacing w:before="120"/>
        <w:rPr>
          <w:sz w:val="22"/>
          <w:lang w:val="en-GB"/>
        </w:rPr>
      </w:pPr>
      <w:r w:rsidRPr="00AA2617">
        <w:rPr>
          <w:sz w:val="22"/>
          <w:lang w:val="en-GB"/>
        </w:rPr>
        <w:t xml:space="preserve">Careful procurement planning is necessary for securing goods, services and works in a timely manner, on a “Best Value for Money” basis. It requires analysis of needs and constraints, including forecast of the reasonable timeframe required to execute the procurement process. Procurement and delivery of inputs in technical cooperation projects will follow FAO’s rules and regulations for the procurement of supplies, equipment, and services (i.e. Manual Sections 502 </w:t>
      </w:r>
      <w:r w:rsidRPr="00AA2617">
        <w:rPr>
          <w:sz w:val="22"/>
          <w:lang w:val="en-GB"/>
        </w:rPr>
        <w:lastRenderedPageBreak/>
        <w:t>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by FAO for the timely acquisition of services from eligible entities in a transparent and impartial manner, taking into consideration economy and efficiency to achieve an optimum combination of expected whole life costs and benefits.</w:t>
      </w:r>
    </w:p>
    <w:p w14:paraId="5C0EFBF8" w14:textId="139562BB" w:rsidR="001A6237" w:rsidRPr="00AA2617" w:rsidRDefault="001A6237" w:rsidP="00AA2617">
      <w:pPr>
        <w:pStyle w:val="NumberedParagraph"/>
        <w:spacing w:before="120"/>
        <w:rPr>
          <w:sz w:val="22"/>
          <w:lang w:val="en-GB"/>
        </w:rPr>
      </w:pPr>
      <w:r w:rsidRPr="00AA2617">
        <w:rPr>
          <w:sz w:val="22"/>
          <w:lang w:val="en-GB"/>
        </w:rPr>
        <w:t>As per the guidance in FAO’s Project Cycle Guide, the BH will draw up an annual procurement plan for major items</w:t>
      </w:r>
      <w:r w:rsidR="00AA29E5" w:rsidRPr="00AA2617">
        <w:rPr>
          <w:sz w:val="22"/>
          <w:lang w:val="en-GB"/>
        </w:rPr>
        <w:t>, in collaboration with PMU</w:t>
      </w:r>
      <w:r w:rsidRPr="00AA2617">
        <w:rPr>
          <w:sz w:val="22"/>
          <w:lang w:val="en-GB"/>
        </w:rPr>
        <w:t>, which will be the basis of requests for procurement actions during implementation. The first procurement plan will be prepared at the time of project start-up, if not sooner, in close consultation with the NP</w:t>
      </w:r>
      <w:r w:rsidR="00991F17" w:rsidRPr="00AA2617">
        <w:rPr>
          <w:sz w:val="22"/>
          <w:lang w:val="en-GB"/>
        </w:rPr>
        <w:t>D</w:t>
      </w:r>
      <w:r w:rsidRPr="00AA2617">
        <w:rPr>
          <w:sz w:val="22"/>
          <w:lang w:val="en-GB"/>
        </w:rPr>
        <w:t xml:space="preserve"> and the LTO.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45E53D6C" w14:textId="5CE2C559" w:rsidR="001A6237" w:rsidRPr="00AA2617" w:rsidRDefault="00534C13" w:rsidP="00AA2617">
      <w:pPr>
        <w:pStyle w:val="NumberedParagraph"/>
        <w:spacing w:before="120"/>
        <w:rPr>
          <w:sz w:val="22"/>
          <w:lang w:val="en-GB"/>
        </w:rPr>
      </w:pPr>
      <w:r w:rsidRPr="00AA2617">
        <w:rPr>
          <w:sz w:val="22"/>
          <w:lang w:val="en-GB"/>
        </w:rPr>
        <w:t>The PMU shall draft the 12-month procurement plan each year and will submit it to the BH and LTO for clearance prior to submitting to the PSC for review and endorsement together with the AWP/ B and annual financial statement of expenditures report for the next instalment of funds.  The procurement plan is reviewed and updated (if necessary) every six months.</w:t>
      </w:r>
    </w:p>
    <w:p w14:paraId="06723A65" w14:textId="105953A6" w:rsidR="001A6237" w:rsidRPr="00AA2617" w:rsidRDefault="00680632" w:rsidP="00AA2617">
      <w:pPr>
        <w:pStyle w:val="NumberedParagraph"/>
        <w:spacing w:before="120"/>
        <w:rPr>
          <w:sz w:val="22"/>
          <w:lang w:val="en-GB"/>
        </w:rPr>
      </w:pPr>
      <w:r w:rsidRPr="00AA2617">
        <w:rPr>
          <w:sz w:val="22"/>
          <w:lang w:val="en-GB"/>
        </w:rPr>
        <w:t>With the approved procurement plan and the work plan, FAO will procure equipment and services in accordance with FAO’s rules and regulations and with the assistance of FAO’s country office.</w:t>
      </w:r>
    </w:p>
    <w:p w14:paraId="402ACEA8" w14:textId="3DD99911" w:rsidR="001A6237" w:rsidRPr="00AA2617" w:rsidRDefault="001A6237" w:rsidP="00AA2617">
      <w:pPr>
        <w:pStyle w:val="NumberedParagraph"/>
        <w:spacing w:before="120"/>
        <w:rPr>
          <w:sz w:val="22"/>
          <w:lang w:val="en-GB"/>
        </w:rPr>
      </w:pPr>
      <w:r w:rsidRPr="00AA2617">
        <w:rPr>
          <w:bCs/>
          <w:sz w:val="22"/>
          <w:lang w:val="en-GB"/>
        </w:rPr>
        <w:t>Letters of Agreement</w:t>
      </w:r>
      <w:r w:rsidRPr="00AA2617">
        <w:rPr>
          <w:sz w:val="22"/>
          <w:lang w:val="en-GB"/>
        </w:rPr>
        <w:t xml:space="preserve"> (LoAs) will be signed between FAO and service providers for the implementation of proposed project activities. The Terms of References for </w:t>
      </w:r>
      <w:r w:rsidR="006C58AC" w:rsidRPr="00AA2617">
        <w:rPr>
          <w:sz w:val="22"/>
          <w:lang w:val="en-GB"/>
        </w:rPr>
        <w:t xml:space="preserve">LoAs </w:t>
      </w:r>
      <w:r w:rsidRPr="00AA2617">
        <w:rPr>
          <w:sz w:val="22"/>
          <w:lang w:val="en-GB"/>
        </w:rPr>
        <w:t xml:space="preserve">will be prepared by the </w:t>
      </w:r>
      <w:r w:rsidR="007A3621" w:rsidRPr="00AA2617">
        <w:rPr>
          <w:sz w:val="22"/>
          <w:lang w:val="en-GB"/>
        </w:rPr>
        <w:t xml:space="preserve">PMU </w:t>
      </w:r>
      <w:r w:rsidRPr="00AA2617">
        <w:rPr>
          <w:sz w:val="22"/>
          <w:lang w:val="en-GB"/>
        </w:rPr>
        <w:t xml:space="preserve">in consultation with NPD. The </w:t>
      </w:r>
      <w:r w:rsidR="007A3621" w:rsidRPr="00AA2617">
        <w:rPr>
          <w:sz w:val="22"/>
          <w:lang w:val="en-GB"/>
        </w:rPr>
        <w:t>PMU</w:t>
      </w:r>
      <w:r w:rsidRPr="00AA2617">
        <w:rPr>
          <w:sz w:val="22"/>
          <w:lang w:val="en-GB"/>
        </w:rPr>
        <w:t>, together with the LTO, will be responsible for setting up all necessary LoAs to be defined at the inception phase of project implementation. The LoAs will be administratively managed by the BH. The funds received by the service providers</w:t>
      </w:r>
      <w:r w:rsidR="007A3621" w:rsidRPr="00AA2617">
        <w:rPr>
          <w:sz w:val="22"/>
          <w:lang w:val="en-GB"/>
        </w:rPr>
        <w:t xml:space="preserve"> </w:t>
      </w:r>
      <w:r w:rsidRPr="00AA2617">
        <w:rPr>
          <w:sz w:val="22"/>
          <w:lang w:val="en-GB"/>
        </w:rPr>
        <w:t>will be used to carry out proposed project activities ensuring alignment and conforming to the rules and procedures of FAO.</w:t>
      </w:r>
    </w:p>
    <w:p w14:paraId="4546D47A" w14:textId="77777777" w:rsidR="00084F30" w:rsidRPr="00AA2617" w:rsidRDefault="00084F30" w:rsidP="00AA2617">
      <w:pPr>
        <w:pStyle w:val="Heading2"/>
        <w:rPr>
          <w:b/>
          <w:szCs w:val="22"/>
          <w:lang w:val="en-GB"/>
        </w:rPr>
      </w:pPr>
      <w:bookmarkStart w:id="157" w:name="_Toc9249209"/>
      <w:r w:rsidRPr="00AA2617">
        <w:rPr>
          <w:b/>
          <w:szCs w:val="22"/>
          <w:lang w:val="en-GB"/>
        </w:rPr>
        <w:t>Monitoring and Evaluation (M&amp;E)</w:t>
      </w:r>
      <w:bookmarkEnd w:id="157"/>
    </w:p>
    <w:p w14:paraId="262DE28B" w14:textId="77777777" w:rsidR="00836C70" w:rsidRPr="00AA2617" w:rsidRDefault="00836C70" w:rsidP="00AA2617">
      <w:pPr>
        <w:pStyle w:val="NumberedParagraph"/>
        <w:spacing w:before="120"/>
        <w:rPr>
          <w:bCs/>
          <w:sz w:val="22"/>
          <w:lang w:val="en-GB"/>
        </w:rPr>
      </w:pPr>
      <w:bookmarkStart w:id="158" w:name="_Toc510013454"/>
      <w:bookmarkStart w:id="159" w:name="_Toc511199766"/>
      <w:r w:rsidRPr="00AA2617">
        <w:rPr>
          <w:bCs/>
          <w:sz w:val="22"/>
          <w:lang w:val="en-GB"/>
        </w:rPr>
        <w:t xml:space="preserve">As the GEF implementing agency, FAO is responsible for oversight of the project, including efficient delivery that abides by GEF’s and FAO’s guidelines.  Effective monitoring and evaluation (M&amp;E) of the project will be accomplished through (i) regular monitoring and reporting (ii) planned midterm review (MTR) and (iii) planned terminal evaluation. Data collection tools will be developed with the inception phase and be ready to test upon the project implementation commenced.  </w:t>
      </w:r>
    </w:p>
    <w:p w14:paraId="721B4735" w14:textId="77777777" w:rsidR="00601F69" w:rsidRPr="00AA2617" w:rsidRDefault="00601F69" w:rsidP="00AA2617">
      <w:pPr>
        <w:pStyle w:val="Heading3"/>
        <w:spacing w:before="40" w:after="0"/>
        <w:rPr>
          <w:b/>
          <w:lang w:val="en-GB"/>
        </w:rPr>
      </w:pPr>
      <w:bookmarkStart w:id="160" w:name="_Toc9249210"/>
      <w:r w:rsidRPr="00AA2617">
        <w:rPr>
          <w:b/>
          <w:lang w:val="en-GB"/>
        </w:rPr>
        <w:t>Monitoring and reporting</w:t>
      </w:r>
      <w:bookmarkEnd w:id="158"/>
      <w:bookmarkEnd w:id="159"/>
      <w:bookmarkEnd w:id="160"/>
    </w:p>
    <w:p w14:paraId="1B87AD40" w14:textId="77777777" w:rsidR="004722BD" w:rsidRPr="00AA2617" w:rsidRDefault="00AC05AD" w:rsidP="00AA2617">
      <w:pPr>
        <w:pStyle w:val="NumberedParagraph"/>
        <w:spacing w:before="120"/>
        <w:rPr>
          <w:sz w:val="22"/>
          <w:lang w:val="en-GB"/>
        </w:rPr>
      </w:pPr>
      <w:r w:rsidRPr="00AA2617">
        <w:rPr>
          <w:sz w:val="22"/>
          <w:lang w:val="en-GB"/>
        </w:rPr>
        <w:t>FAO</w:t>
      </w:r>
      <w:r w:rsidR="00601F69" w:rsidRPr="00AA2617">
        <w:rPr>
          <w:sz w:val="22"/>
          <w:lang w:val="en-GB"/>
        </w:rPr>
        <w:t>’s GEF Coordination Unit</w:t>
      </w:r>
      <w:r w:rsidRPr="00AA2617">
        <w:rPr>
          <w:sz w:val="22"/>
          <w:lang w:val="en-GB"/>
        </w:rPr>
        <w:t xml:space="preserve"> will provide annual Project Implementation Reviews (PIRs) to the GEF Secretariat.  </w:t>
      </w:r>
      <w:r w:rsidR="004722BD" w:rsidRPr="00AA2617">
        <w:rPr>
          <w:sz w:val="22"/>
          <w:lang w:val="en-GB"/>
        </w:rPr>
        <w:t>The PIRs update the GEF Secretariat</w:t>
      </w:r>
      <w:r w:rsidRPr="00AA2617">
        <w:rPr>
          <w:sz w:val="22"/>
          <w:lang w:val="en-GB"/>
        </w:rPr>
        <w:t xml:space="preserve"> on </w:t>
      </w:r>
      <w:r w:rsidR="004722BD" w:rsidRPr="00AA2617">
        <w:rPr>
          <w:sz w:val="22"/>
          <w:lang w:val="en-GB"/>
        </w:rPr>
        <w:t xml:space="preserve">the project’s </w:t>
      </w:r>
      <w:r w:rsidRPr="00AA2617">
        <w:rPr>
          <w:sz w:val="22"/>
          <w:lang w:val="en-GB"/>
        </w:rPr>
        <w:t xml:space="preserve">progress according to the </w:t>
      </w:r>
      <w:r w:rsidR="00D669F6" w:rsidRPr="00AA2617">
        <w:rPr>
          <w:sz w:val="22"/>
          <w:lang w:val="en-GB"/>
        </w:rPr>
        <w:t xml:space="preserve">results matrix, </w:t>
      </w:r>
      <w:r w:rsidRPr="00AA2617">
        <w:rPr>
          <w:sz w:val="22"/>
          <w:lang w:val="en-GB"/>
        </w:rPr>
        <w:t>log frame, wo</w:t>
      </w:r>
      <w:r w:rsidR="004722BD" w:rsidRPr="00AA2617">
        <w:rPr>
          <w:sz w:val="22"/>
          <w:lang w:val="en-GB"/>
        </w:rPr>
        <w:t>rk-plan, and budget.  PIRs also explain</w:t>
      </w:r>
      <w:r w:rsidRPr="00AA2617">
        <w:rPr>
          <w:sz w:val="22"/>
          <w:lang w:val="en-GB"/>
        </w:rPr>
        <w:t xml:space="preserve"> adjustments that have been made to the project’s approach or budget in order to accom</w:t>
      </w:r>
      <w:r w:rsidR="004722BD" w:rsidRPr="00AA2617">
        <w:rPr>
          <w:sz w:val="22"/>
          <w:lang w:val="en-GB"/>
        </w:rPr>
        <w:t xml:space="preserve">modate emerging circumstances.  PIRs are informed by </w:t>
      </w:r>
      <w:r w:rsidR="00E65645" w:rsidRPr="00AA2617">
        <w:rPr>
          <w:sz w:val="22"/>
          <w:lang w:val="en-GB"/>
        </w:rPr>
        <w:t xml:space="preserve">the PTF, technical and operational back-stopping missions, and </w:t>
      </w:r>
      <w:r w:rsidR="004722BD" w:rsidRPr="00AA2617">
        <w:rPr>
          <w:sz w:val="22"/>
          <w:lang w:val="en-GB"/>
        </w:rPr>
        <w:t>biannual Project Progress Reports (PPRs), which the PMU provides to the PSC.</w:t>
      </w:r>
    </w:p>
    <w:p w14:paraId="3F0E206E" w14:textId="77777777" w:rsidR="00AA2DE4" w:rsidRPr="00AA2617" w:rsidRDefault="00D70450" w:rsidP="00AA2617">
      <w:pPr>
        <w:pStyle w:val="NumberedParagraph"/>
        <w:spacing w:before="120"/>
        <w:rPr>
          <w:sz w:val="22"/>
          <w:lang w:val="en-GB"/>
        </w:rPr>
      </w:pPr>
      <w:r w:rsidRPr="00AA2617">
        <w:rPr>
          <w:sz w:val="22"/>
          <w:lang w:val="en-GB"/>
        </w:rPr>
        <w:t xml:space="preserve">FAO </w:t>
      </w:r>
      <w:r w:rsidR="00601F69" w:rsidRPr="00AA2617">
        <w:rPr>
          <w:sz w:val="22"/>
          <w:lang w:val="en-GB"/>
        </w:rPr>
        <w:t xml:space="preserve">achieves layered oversight of the project </w:t>
      </w:r>
      <w:r w:rsidRPr="00AA2617">
        <w:rPr>
          <w:sz w:val="22"/>
          <w:lang w:val="en-GB"/>
        </w:rPr>
        <w:t xml:space="preserve">via </w:t>
      </w:r>
      <w:r w:rsidR="00601F69" w:rsidRPr="00AA2617">
        <w:rPr>
          <w:sz w:val="22"/>
          <w:lang w:val="en-GB"/>
        </w:rPr>
        <w:t xml:space="preserve">the FAOR, </w:t>
      </w:r>
      <w:r w:rsidR="0076335C" w:rsidRPr="00AA2617">
        <w:rPr>
          <w:sz w:val="22"/>
          <w:lang w:val="en-GB"/>
        </w:rPr>
        <w:t xml:space="preserve">PTF, </w:t>
      </w:r>
      <w:r w:rsidRPr="00AA2617">
        <w:rPr>
          <w:sz w:val="22"/>
          <w:lang w:val="en-GB"/>
        </w:rPr>
        <w:t>RAP, FAO’s GEF Coordination Unit,</w:t>
      </w:r>
      <w:r w:rsidR="00AC05AD" w:rsidRPr="00AA2617">
        <w:rPr>
          <w:sz w:val="22"/>
          <w:lang w:val="en-GB"/>
        </w:rPr>
        <w:t xml:space="preserve"> FAO’s Legal Department, and</w:t>
      </w:r>
      <w:r w:rsidRPr="00AA2617">
        <w:rPr>
          <w:sz w:val="22"/>
          <w:lang w:val="en-GB"/>
        </w:rPr>
        <w:t xml:space="preserve"> FAO’s Office of Evaluation (OED).</w:t>
      </w:r>
      <w:r w:rsidR="00E65645" w:rsidRPr="00AA2617">
        <w:rPr>
          <w:sz w:val="22"/>
          <w:lang w:val="en-GB"/>
        </w:rPr>
        <w:t xml:space="preserve">  </w:t>
      </w:r>
      <w:r w:rsidR="00AA2DE4" w:rsidRPr="00AA2617">
        <w:rPr>
          <w:sz w:val="22"/>
          <w:lang w:val="en-GB"/>
        </w:rPr>
        <w:t>Oversight will ensure that</w:t>
      </w:r>
      <w:r w:rsidR="00601F69" w:rsidRPr="00AA2617">
        <w:rPr>
          <w:sz w:val="22"/>
          <w:lang w:val="en-GB"/>
        </w:rPr>
        <w:t xml:space="preserve"> the project accomplishes its objective and achieves its targeted benefits through the efficient delivery of the projects agreed outputs, while abiding by GEF’s and FAO’s guidelines.  Oversight also ensures that risks are proactively identified and mitigated, and that the project identifies and capitalizes on opportunities for greater efficacy.</w:t>
      </w:r>
    </w:p>
    <w:p w14:paraId="1BFEEDEF" w14:textId="77777777" w:rsidR="00E65645" w:rsidRPr="00AA2617" w:rsidRDefault="00716F9A" w:rsidP="00AA2617">
      <w:pPr>
        <w:pStyle w:val="NumberedParagraph"/>
        <w:spacing w:before="120"/>
        <w:rPr>
          <w:sz w:val="22"/>
          <w:lang w:val="en-GB"/>
        </w:rPr>
      </w:pPr>
      <w:r w:rsidRPr="00AA2617">
        <w:rPr>
          <w:sz w:val="22"/>
          <w:lang w:val="en-GB"/>
        </w:rPr>
        <w:lastRenderedPageBreak/>
        <w:t>The p</w:t>
      </w:r>
      <w:r w:rsidR="00E65645" w:rsidRPr="00AA2617">
        <w:rPr>
          <w:sz w:val="22"/>
          <w:lang w:val="en-GB"/>
        </w:rPr>
        <w:t>roject</w:t>
      </w:r>
      <w:r w:rsidRPr="00AA2617">
        <w:rPr>
          <w:sz w:val="22"/>
          <w:lang w:val="en-GB"/>
        </w:rPr>
        <w:t>’s</w:t>
      </w:r>
      <w:r w:rsidR="00E65645" w:rsidRPr="00AA2617">
        <w:rPr>
          <w:sz w:val="22"/>
          <w:lang w:val="en-GB"/>
        </w:rPr>
        <w:t xml:space="preserve"> performance will be assessed based on </w:t>
      </w:r>
      <w:r w:rsidRPr="00AA2617">
        <w:rPr>
          <w:sz w:val="22"/>
          <w:lang w:val="en-GB"/>
        </w:rPr>
        <w:t xml:space="preserve">the </w:t>
      </w:r>
      <w:r w:rsidR="00E65645" w:rsidRPr="00AA2617">
        <w:rPr>
          <w:sz w:val="22"/>
          <w:lang w:val="en-GB"/>
        </w:rPr>
        <w:t xml:space="preserve">delivery of outputs and achievement of </w:t>
      </w:r>
      <w:r w:rsidRPr="00AA2617">
        <w:rPr>
          <w:sz w:val="22"/>
          <w:lang w:val="en-GB"/>
        </w:rPr>
        <w:t xml:space="preserve">the project’s </w:t>
      </w:r>
      <w:r w:rsidR="00E65645" w:rsidRPr="00AA2617">
        <w:rPr>
          <w:sz w:val="22"/>
          <w:lang w:val="en-GB"/>
        </w:rPr>
        <w:t xml:space="preserve">outcomes and objective </w:t>
      </w:r>
      <w:r w:rsidRPr="00AA2617">
        <w:rPr>
          <w:sz w:val="22"/>
          <w:lang w:val="en-GB"/>
        </w:rPr>
        <w:t xml:space="preserve">as </w:t>
      </w:r>
      <w:r w:rsidR="00E65645" w:rsidRPr="00AA2617">
        <w:rPr>
          <w:sz w:val="22"/>
          <w:lang w:val="en-GB"/>
        </w:rPr>
        <w:t>defi</w:t>
      </w:r>
      <w:r w:rsidRPr="00AA2617">
        <w:rPr>
          <w:sz w:val="22"/>
          <w:lang w:val="en-GB"/>
        </w:rPr>
        <w:t>ned in the results matrix. The inception r</w:t>
      </w:r>
      <w:r w:rsidR="00E65645" w:rsidRPr="00AA2617">
        <w:rPr>
          <w:sz w:val="22"/>
          <w:lang w:val="en-GB"/>
        </w:rPr>
        <w:t xml:space="preserve">eport, </w:t>
      </w:r>
      <w:r w:rsidRPr="00AA2617">
        <w:rPr>
          <w:sz w:val="22"/>
          <w:lang w:val="en-GB"/>
        </w:rPr>
        <w:t>biannual PPRs, annual PIRs, and the terminal report</w:t>
      </w:r>
      <w:r w:rsidR="00E65645" w:rsidRPr="00AA2617">
        <w:rPr>
          <w:sz w:val="22"/>
          <w:lang w:val="en-GB"/>
        </w:rPr>
        <w:t xml:space="preserve"> will be the main reports used by the PTF to monitor </w:t>
      </w:r>
      <w:r w:rsidRPr="00AA2617">
        <w:rPr>
          <w:sz w:val="22"/>
          <w:lang w:val="en-GB"/>
        </w:rPr>
        <w:t xml:space="preserve">and evaluate the </w:t>
      </w:r>
      <w:r w:rsidR="00E65645" w:rsidRPr="00AA2617">
        <w:rPr>
          <w:sz w:val="22"/>
          <w:lang w:val="en-GB"/>
        </w:rPr>
        <w:t>project</w:t>
      </w:r>
      <w:r w:rsidR="000F7633" w:rsidRPr="00AA2617">
        <w:rPr>
          <w:sz w:val="22"/>
          <w:lang w:val="en-GB"/>
        </w:rPr>
        <w:t>.</w:t>
      </w:r>
    </w:p>
    <w:p w14:paraId="1DFAB8BA" w14:textId="77777777" w:rsidR="00E65645" w:rsidRPr="00AA2617" w:rsidRDefault="00E65645" w:rsidP="00AA2617">
      <w:pPr>
        <w:pStyle w:val="NumberedParagraph"/>
        <w:spacing w:before="120"/>
        <w:jc w:val="left"/>
        <w:rPr>
          <w:sz w:val="22"/>
          <w:lang w:val="en-GB"/>
        </w:rPr>
      </w:pPr>
      <w:r w:rsidRPr="00AA2617">
        <w:rPr>
          <w:sz w:val="22"/>
          <w:lang w:val="en-GB"/>
        </w:rPr>
        <w:t xml:space="preserve">The reports to be prepared for the </w:t>
      </w:r>
      <w:r w:rsidR="000F7633" w:rsidRPr="00AA2617">
        <w:rPr>
          <w:sz w:val="22"/>
          <w:lang w:val="en-GB"/>
        </w:rPr>
        <w:t>p</w:t>
      </w:r>
      <w:r w:rsidRPr="00AA2617">
        <w:rPr>
          <w:sz w:val="22"/>
          <w:lang w:val="en-GB"/>
        </w:rPr>
        <w:t xml:space="preserve">roject are:  </w:t>
      </w:r>
    </w:p>
    <w:p w14:paraId="368D7550" w14:textId="77777777" w:rsidR="00E65645" w:rsidRPr="00AA2617" w:rsidRDefault="000F7633" w:rsidP="00AA2617">
      <w:pPr>
        <w:pStyle w:val="NumberedParagraph"/>
        <w:numPr>
          <w:ilvl w:val="0"/>
          <w:numId w:val="20"/>
        </w:numPr>
        <w:ind w:left="900"/>
        <w:rPr>
          <w:sz w:val="22"/>
          <w:lang w:val="en-GB"/>
        </w:rPr>
      </w:pPr>
      <w:r w:rsidRPr="00AA2617">
        <w:rPr>
          <w:sz w:val="22"/>
          <w:lang w:val="en-GB"/>
        </w:rPr>
        <w:t>Project Inception Report</w:t>
      </w:r>
    </w:p>
    <w:p w14:paraId="6BDA4B50" w14:textId="77777777" w:rsidR="00E65645" w:rsidRPr="00AA2617" w:rsidRDefault="00E65645" w:rsidP="00AA2617">
      <w:pPr>
        <w:pStyle w:val="NumberedParagraph"/>
        <w:numPr>
          <w:ilvl w:val="0"/>
          <w:numId w:val="20"/>
        </w:numPr>
        <w:ind w:left="900"/>
        <w:rPr>
          <w:sz w:val="22"/>
          <w:lang w:val="en-GB"/>
        </w:rPr>
      </w:pPr>
      <w:r w:rsidRPr="00AA2617">
        <w:rPr>
          <w:sz w:val="22"/>
          <w:lang w:val="en-GB"/>
        </w:rPr>
        <w:t>Annua</w:t>
      </w:r>
      <w:r w:rsidR="003D1AE3" w:rsidRPr="00AA2617">
        <w:rPr>
          <w:sz w:val="22"/>
          <w:lang w:val="en-GB"/>
        </w:rPr>
        <w:t>l w</w:t>
      </w:r>
      <w:r w:rsidR="00EE5673" w:rsidRPr="00AA2617">
        <w:rPr>
          <w:sz w:val="22"/>
          <w:lang w:val="en-GB"/>
        </w:rPr>
        <w:t>ork-p</w:t>
      </w:r>
      <w:r w:rsidR="003D1AE3" w:rsidRPr="00AA2617">
        <w:rPr>
          <w:sz w:val="22"/>
          <w:lang w:val="en-GB"/>
        </w:rPr>
        <w:t>lans and b</w:t>
      </w:r>
      <w:r w:rsidR="000F7633" w:rsidRPr="00AA2617">
        <w:rPr>
          <w:sz w:val="22"/>
          <w:lang w:val="en-GB"/>
        </w:rPr>
        <w:t>udget</w:t>
      </w:r>
      <w:r w:rsidR="003D1AE3" w:rsidRPr="00AA2617">
        <w:rPr>
          <w:sz w:val="22"/>
          <w:lang w:val="en-GB"/>
        </w:rPr>
        <w:t>s</w:t>
      </w:r>
      <w:r w:rsidR="000F7633" w:rsidRPr="00AA2617">
        <w:rPr>
          <w:sz w:val="22"/>
          <w:lang w:val="en-GB"/>
        </w:rPr>
        <w:t> (AWP</w:t>
      </w:r>
      <w:r w:rsidR="003D1AE3" w:rsidRPr="00AA2617">
        <w:rPr>
          <w:sz w:val="22"/>
          <w:lang w:val="en-GB"/>
        </w:rPr>
        <w:t>s</w:t>
      </w:r>
      <w:r w:rsidR="000F7633" w:rsidRPr="00AA2617">
        <w:rPr>
          <w:sz w:val="22"/>
          <w:lang w:val="en-GB"/>
        </w:rPr>
        <w:t>/B</w:t>
      </w:r>
      <w:r w:rsidR="003D1AE3" w:rsidRPr="00AA2617">
        <w:rPr>
          <w:sz w:val="22"/>
          <w:lang w:val="en-GB"/>
        </w:rPr>
        <w:t>s</w:t>
      </w:r>
      <w:r w:rsidR="000F7633" w:rsidRPr="00AA2617">
        <w:rPr>
          <w:sz w:val="22"/>
          <w:lang w:val="en-GB"/>
        </w:rPr>
        <w:t>)</w:t>
      </w:r>
    </w:p>
    <w:p w14:paraId="30882051" w14:textId="77777777" w:rsidR="00E65645" w:rsidRPr="00AA2617" w:rsidRDefault="000F7633" w:rsidP="00AA2617">
      <w:pPr>
        <w:pStyle w:val="NumberedParagraph"/>
        <w:numPr>
          <w:ilvl w:val="0"/>
          <w:numId w:val="20"/>
        </w:numPr>
        <w:ind w:left="900"/>
        <w:rPr>
          <w:sz w:val="22"/>
          <w:lang w:val="en-GB"/>
        </w:rPr>
      </w:pPr>
      <w:r w:rsidRPr="00AA2617">
        <w:rPr>
          <w:sz w:val="22"/>
          <w:lang w:val="en-GB"/>
        </w:rPr>
        <w:t xml:space="preserve">Biannual </w:t>
      </w:r>
      <w:r w:rsidR="00E65645" w:rsidRPr="00AA2617">
        <w:rPr>
          <w:sz w:val="22"/>
          <w:lang w:val="en-GB"/>
        </w:rPr>
        <w:t>Project P</w:t>
      </w:r>
      <w:r w:rsidRPr="00AA2617">
        <w:rPr>
          <w:sz w:val="22"/>
          <w:lang w:val="en-GB"/>
        </w:rPr>
        <w:t>rogress Reports (PPRs) for FAO</w:t>
      </w:r>
    </w:p>
    <w:p w14:paraId="714C9EC3" w14:textId="77777777" w:rsidR="00E65645" w:rsidRPr="00AA2617" w:rsidRDefault="00E65645" w:rsidP="00AA2617">
      <w:pPr>
        <w:pStyle w:val="NumberedParagraph"/>
        <w:numPr>
          <w:ilvl w:val="0"/>
          <w:numId w:val="20"/>
        </w:numPr>
        <w:ind w:left="900"/>
        <w:rPr>
          <w:sz w:val="22"/>
          <w:lang w:val="en-GB"/>
        </w:rPr>
      </w:pPr>
      <w:r w:rsidRPr="00AA2617">
        <w:rPr>
          <w:sz w:val="22"/>
          <w:lang w:val="en-GB"/>
        </w:rPr>
        <w:t>Annual Project Implementat</w:t>
      </w:r>
      <w:r w:rsidR="000F7633" w:rsidRPr="00AA2617">
        <w:rPr>
          <w:sz w:val="22"/>
          <w:lang w:val="en-GB"/>
        </w:rPr>
        <w:t>ion Reviews (PIRs) for GEF</w:t>
      </w:r>
    </w:p>
    <w:p w14:paraId="237388CA" w14:textId="77777777" w:rsidR="00E65645" w:rsidRPr="00AA2617" w:rsidRDefault="000F7633" w:rsidP="00AA2617">
      <w:pPr>
        <w:pStyle w:val="NumberedParagraph"/>
        <w:numPr>
          <w:ilvl w:val="0"/>
          <w:numId w:val="20"/>
        </w:numPr>
        <w:ind w:left="900"/>
        <w:rPr>
          <w:sz w:val="22"/>
          <w:lang w:val="en-GB"/>
        </w:rPr>
      </w:pPr>
      <w:r w:rsidRPr="00AA2617">
        <w:rPr>
          <w:sz w:val="22"/>
          <w:lang w:val="en-GB"/>
        </w:rPr>
        <w:t>Technical reports</w:t>
      </w:r>
    </w:p>
    <w:p w14:paraId="2253813B" w14:textId="77777777" w:rsidR="00E65645" w:rsidRPr="00AA2617" w:rsidRDefault="000F7633" w:rsidP="00AA2617">
      <w:pPr>
        <w:pStyle w:val="NumberedParagraph"/>
        <w:numPr>
          <w:ilvl w:val="0"/>
          <w:numId w:val="20"/>
        </w:numPr>
        <w:ind w:left="900"/>
        <w:rPr>
          <w:sz w:val="22"/>
          <w:lang w:val="en-GB"/>
        </w:rPr>
      </w:pPr>
      <w:r w:rsidRPr="00AA2617">
        <w:rPr>
          <w:sz w:val="22"/>
          <w:lang w:val="en-GB"/>
        </w:rPr>
        <w:t>Co-financing reports</w:t>
      </w:r>
    </w:p>
    <w:p w14:paraId="789171B9" w14:textId="77777777" w:rsidR="00E65645" w:rsidRPr="00AA2617" w:rsidRDefault="000F7633" w:rsidP="00AA2617">
      <w:pPr>
        <w:pStyle w:val="NumberedParagraph"/>
        <w:numPr>
          <w:ilvl w:val="0"/>
          <w:numId w:val="20"/>
        </w:numPr>
        <w:ind w:left="900"/>
        <w:rPr>
          <w:sz w:val="22"/>
          <w:lang w:val="en-GB"/>
        </w:rPr>
      </w:pPr>
      <w:r w:rsidRPr="00AA2617">
        <w:rPr>
          <w:sz w:val="22"/>
          <w:lang w:val="en-GB"/>
        </w:rPr>
        <w:t>Terminal Report</w:t>
      </w:r>
    </w:p>
    <w:p w14:paraId="7EC4B65F" w14:textId="614A1A21" w:rsidR="00E65645" w:rsidRPr="00AA2617" w:rsidRDefault="00EF4E35" w:rsidP="00AA2617">
      <w:pPr>
        <w:pStyle w:val="NumberedParagraph"/>
        <w:spacing w:before="120"/>
        <w:rPr>
          <w:i/>
          <w:sz w:val="22"/>
          <w:lang w:val="en-GB"/>
        </w:rPr>
      </w:pPr>
      <w:r w:rsidRPr="00AA2617">
        <w:rPr>
          <w:i/>
          <w:sz w:val="22"/>
          <w:lang w:val="en-GB"/>
        </w:rPr>
        <w:t>Project Inception Report.</w:t>
      </w:r>
      <w:r w:rsidRPr="00AA2617">
        <w:rPr>
          <w:sz w:val="22"/>
          <w:lang w:val="en-GB"/>
        </w:rPr>
        <w:t xml:space="preserve">  After </w:t>
      </w:r>
      <w:r w:rsidR="007A3621" w:rsidRPr="00AA2617">
        <w:rPr>
          <w:sz w:val="22"/>
          <w:lang w:val="en-GB"/>
        </w:rPr>
        <w:t xml:space="preserve">both </w:t>
      </w:r>
      <w:r w:rsidRPr="00AA2617">
        <w:rPr>
          <w:sz w:val="22"/>
          <w:lang w:val="en-GB"/>
        </w:rPr>
        <w:t xml:space="preserve">the government and FAO sign </w:t>
      </w:r>
      <w:r w:rsidR="00E65645" w:rsidRPr="00AA2617">
        <w:rPr>
          <w:sz w:val="22"/>
          <w:lang w:val="en-GB"/>
        </w:rPr>
        <w:t>the</w:t>
      </w:r>
      <w:r w:rsidRPr="00AA2617">
        <w:rPr>
          <w:sz w:val="22"/>
          <w:lang w:val="en-GB"/>
        </w:rPr>
        <w:t xml:space="preserve"> GCP Agreement</w:t>
      </w:r>
      <w:r w:rsidR="00E65645" w:rsidRPr="00AA2617">
        <w:rPr>
          <w:sz w:val="22"/>
          <w:lang w:val="en-GB"/>
        </w:rPr>
        <w:t>, an inception works</w:t>
      </w:r>
      <w:r w:rsidRPr="00AA2617">
        <w:rPr>
          <w:sz w:val="22"/>
          <w:lang w:val="en-GB"/>
        </w:rPr>
        <w:t xml:space="preserve">hop </w:t>
      </w:r>
      <w:r w:rsidR="007A3621" w:rsidRPr="00AA2617">
        <w:rPr>
          <w:sz w:val="22"/>
          <w:lang w:val="en-GB"/>
        </w:rPr>
        <w:t xml:space="preserve">should </w:t>
      </w:r>
      <w:r w:rsidRPr="00AA2617">
        <w:rPr>
          <w:sz w:val="22"/>
          <w:lang w:val="en-GB"/>
        </w:rPr>
        <w:t>be held</w:t>
      </w:r>
      <w:r w:rsidR="007A3621" w:rsidRPr="00AA2617">
        <w:rPr>
          <w:sz w:val="22"/>
          <w:lang w:val="en-GB"/>
        </w:rPr>
        <w:t xml:space="preserve"> as soon as possible</w:t>
      </w:r>
      <w:r w:rsidRPr="00AA2617">
        <w:rPr>
          <w:sz w:val="22"/>
          <w:lang w:val="en-GB"/>
        </w:rPr>
        <w:t>.  The PMU</w:t>
      </w:r>
      <w:r w:rsidR="00E65645" w:rsidRPr="00AA2617">
        <w:rPr>
          <w:sz w:val="22"/>
          <w:lang w:val="en-GB"/>
        </w:rPr>
        <w:t xml:space="preserve"> will </w:t>
      </w:r>
      <w:r w:rsidRPr="00AA2617">
        <w:rPr>
          <w:sz w:val="22"/>
          <w:lang w:val="en-GB"/>
        </w:rPr>
        <w:t>draft the</w:t>
      </w:r>
      <w:r w:rsidR="00E65645" w:rsidRPr="00AA2617">
        <w:rPr>
          <w:sz w:val="22"/>
          <w:lang w:val="en-GB"/>
        </w:rPr>
        <w:t xml:space="preserve"> Project Inception Report </w:t>
      </w:r>
      <w:r w:rsidR="007A3621" w:rsidRPr="00AA2617">
        <w:rPr>
          <w:sz w:val="22"/>
          <w:lang w:val="en-GB"/>
        </w:rPr>
        <w:t xml:space="preserve">on the basis of the outcome of </w:t>
      </w:r>
      <w:r w:rsidRPr="00AA2617">
        <w:rPr>
          <w:sz w:val="22"/>
          <w:lang w:val="en-GB"/>
        </w:rPr>
        <w:t>inception w</w:t>
      </w:r>
      <w:r w:rsidR="00E65645" w:rsidRPr="00AA2617">
        <w:rPr>
          <w:sz w:val="22"/>
          <w:lang w:val="en-GB"/>
        </w:rPr>
        <w:t xml:space="preserve">orkshop. </w:t>
      </w:r>
      <w:r w:rsidRPr="00AA2617">
        <w:rPr>
          <w:sz w:val="22"/>
          <w:lang w:val="en-GB"/>
        </w:rPr>
        <w:t xml:space="preserve"> The report will contain important information for stakeholders to discuss during the project’s inception workshop.  In consultation with the PTF, the PMU will finalize the inception report to reflect discussions from the inception workshop and, as needed, further decisions made during the first meeting of the PSC.  </w:t>
      </w:r>
      <w:r w:rsidR="00E65645" w:rsidRPr="00AA2617">
        <w:rPr>
          <w:sz w:val="22"/>
          <w:lang w:val="en-GB"/>
        </w:rPr>
        <w:t xml:space="preserve">The report will </w:t>
      </w:r>
      <w:r w:rsidR="00C44B88" w:rsidRPr="00AA2617">
        <w:rPr>
          <w:sz w:val="22"/>
          <w:lang w:val="en-GB"/>
        </w:rPr>
        <w:t xml:space="preserve">re-confirm </w:t>
      </w:r>
      <w:r w:rsidRPr="00AA2617">
        <w:rPr>
          <w:sz w:val="22"/>
          <w:lang w:val="en-GB"/>
        </w:rPr>
        <w:t xml:space="preserve">and elucidate </w:t>
      </w:r>
      <w:r w:rsidR="00E65645" w:rsidRPr="00AA2617">
        <w:rPr>
          <w:sz w:val="22"/>
          <w:lang w:val="en-GB"/>
        </w:rPr>
        <w:t xml:space="preserve">the roles and responsibilities </w:t>
      </w:r>
      <w:r w:rsidRPr="00AA2617">
        <w:rPr>
          <w:sz w:val="22"/>
          <w:lang w:val="en-GB"/>
        </w:rPr>
        <w:t xml:space="preserve">of the project’s main partners, </w:t>
      </w:r>
      <w:r w:rsidR="00796ECA" w:rsidRPr="00AA2617">
        <w:rPr>
          <w:sz w:val="22"/>
          <w:lang w:val="en-GB"/>
        </w:rPr>
        <w:t xml:space="preserve">describe </w:t>
      </w:r>
      <w:r w:rsidR="00E65645" w:rsidRPr="00AA2617">
        <w:rPr>
          <w:sz w:val="22"/>
          <w:lang w:val="en-GB"/>
        </w:rPr>
        <w:t>progress to date</w:t>
      </w:r>
      <w:r w:rsidRPr="00AA2617">
        <w:rPr>
          <w:sz w:val="22"/>
          <w:lang w:val="en-GB"/>
        </w:rPr>
        <w:t>,</w:t>
      </w:r>
      <w:r w:rsidR="00E65645" w:rsidRPr="00AA2617">
        <w:rPr>
          <w:sz w:val="22"/>
          <w:lang w:val="en-GB"/>
        </w:rPr>
        <w:t xml:space="preserve"> and </w:t>
      </w:r>
      <w:r w:rsidR="00796ECA" w:rsidRPr="00AA2617">
        <w:rPr>
          <w:sz w:val="22"/>
          <w:lang w:val="en-GB"/>
        </w:rPr>
        <w:t>describe</w:t>
      </w:r>
      <w:r w:rsidR="00E65645" w:rsidRPr="00AA2617">
        <w:rPr>
          <w:sz w:val="22"/>
          <w:lang w:val="en-GB"/>
        </w:rPr>
        <w:t xml:space="preserve"> any changed external conditions that may affect </w:t>
      </w:r>
      <w:r w:rsidR="00796ECA" w:rsidRPr="00AA2617">
        <w:rPr>
          <w:sz w:val="22"/>
          <w:lang w:val="en-GB"/>
        </w:rPr>
        <w:t xml:space="preserve">the </w:t>
      </w:r>
      <w:r w:rsidR="00E65645" w:rsidRPr="00AA2617">
        <w:rPr>
          <w:sz w:val="22"/>
          <w:lang w:val="en-GB"/>
        </w:rPr>
        <w:t>project</w:t>
      </w:r>
      <w:r w:rsidR="00796ECA" w:rsidRPr="00AA2617">
        <w:rPr>
          <w:sz w:val="22"/>
          <w:lang w:val="en-GB"/>
        </w:rPr>
        <w:t>’s</w:t>
      </w:r>
      <w:r w:rsidR="00E65645" w:rsidRPr="00AA2617">
        <w:rPr>
          <w:sz w:val="22"/>
          <w:lang w:val="en-GB"/>
        </w:rPr>
        <w:t xml:space="preserve"> implementation. </w:t>
      </w:r>
      <w:r w:rsidR="00796ECA" w:rsidRPr="00AA2617">
        <w:rPr>
          <w:sz w:val="22"/>
          <w:lang w:val="en-GB"/>
        </w:rPr>
        <w:t xml:space="preserve"> The report</w:t>
      </w:r>
      <w:r w:rsidR="00E65645" w:rsidRPr="00AA2617">
        <w:rPr>
          <w:sz w:val="22"/>
          <w:lang w:val="en-GB"/>
        </w:rPr>
        <w:t xml:space="preserve"> wil</w:t>
      </w:r>
      <w:r w:rsidR="00796ECA" w:rsidRPr="00AA2617">
        <w:rPr>
          <w:sz w:val="22"/>
          <w:lang w:val="en-GB"/>
        </w:rPr>
        <w:t>l also include a detailed first-</w:t>
      </w:r>
      <w:r w:rsidR="00E65645" w:rsidRPr="00AA2617">
        <w:rPr>
          <w:sz w:val="22"/>
          <w:lang w:val="en-GB"/>
        </w:rPr>
        <w:t xml:space="preserve">year AWP/B and a detailed project monitoring plan. The draft inception report will be </w:t>
      </w:r>
      <w:r w:rsidR="00C44B88" w:rsidRPr="00AA2617">
        <w:rPr>
          <w:sz w:val="22"/>
          <w:lang w:val="en-GB"/>
        </w:rPr>
        <w:t xml:space="preserve">cleared by </w:t>
      </w:r>
      <w:r w:rsidR="007C0325" w:rsidRPr="00AA2617">
        <w:rPr>
          <w:sz w:val="22"/>
          <w:lang w:val="en-GB"/>
        </w:rPr>
        <w:t>the PTF</w:t>
      </w:r>
      <w:r w:rsidR="00C44B88" w:rsidRPr="00AA2617">
        <w:rPr>
          <w:sz w:val="22"/>
          <w:lang w:val="en-GB"/>
        </w:rPr>
        <w:t xml:space="preserve"> before it is </w:t>
      </w:r>
      <w:r w:rsidR="00E65645" w:rsidRPr="00AA2617">
        <w:rPr>
          <w:sz w:val="22"/>
          <w:lang w:val="en-GB"/>
        </w:rPr>
        <w:t xml:space="preserve">circulated to </w:t>
      </w:r>
      <w:r w:rsidR="00796ECA" w:rsidRPr="00AA2617">
        <w:rPr>
          <w:sz w:val="22"/>
          <w:lang w:val="en-GB"/>
        </w:rPr>
        <w:t xml:space="preserve">the PSC </w:t>
      </w:r>
      <w:r w:rsidR="00C44B88" w:rsidRPr="00AA2617">
        <w:rPr>
          <w:sz w:val="22"/>
          <w:lang w:val="en-GB"/>
        </w:rPr>
        <w:t xml:space="preserve">members and submitted to FAO GEF unit. </w:t>
      </w:r>
      <w:r w:rsidR="00796ECA" w:rsidRPr="00AA2617">
        <w:rPr>
          <w:sz w:val="22"/>
          <w:lang w:val="en-GB"/>
        </w:rPr>
        <w:t>.  The report should be finalized</w:t>
      </w:r>
      <w:r w:rsidR="00E65645" w:rsidRPr="00AA2617">
        <w:rPr>
          <w:sz w:val="22"/>
          <w:lang w:val="en-GB"/>
        </w:rPr>
        <w:t xml:space="preserve">, no later than one month after </w:t>
      </w:r>
      <w:r w:rsidR="00796ECA" w:rsidRPr="00AA2617">
        <w:rPr>
          <w:sz w:val="22"/>
          <w:lang w:val="en-GB"/>
        </w:rPr>
        <w:t>the project’s inception workshop</w:t>
      </w:r>
      <w:r w:rsidR="00E65645" w:rsidRPr="00AA2617">
        <w:rPr>
          <w:sz w:val="22"/>
          <w:lang w:val="en-GB"/>
        </w:rPr>
        <w:t xml:space="preserve">. </w:t>
      </w:r>
      <w:r w:rsidR="00796ECA" w:rsidRPr="00AA2617">
        <w:rPr>
          <w:sz w:val="22"/>
          <w:lang w:val="en-GB"/>
        </w:rPr>
        <w:t xml:space="preserve"> The PMU will upload the </w:t>
      </w:r>
      <w:r w:rsidR="00C44B88" w:rsidRPr="00AA2617">
        <w:rPr>
          <w:sz w:val="22"/>
          <w:lang w:val="en-GB"/>
        </w:rPr>
        <w:t xml:space="preserve">final </w:t>
      </w:r>
      <w:r w:rsidR="00796ECA" w:rsidRPr="00AA2617">
        <w:rPr>
          <w:sz w:val="22"/>
          <w:lang w:val="en-GB"/>
        </w:rPr>
        <w:t>report to FAO’s</w:t>
      </w:r>
      <w:r w:rsidR="00E65645" w:rsidRPr="00AA2617">
        <w:rPr>
          <w:sz w:val="22"/>
          <w:lang w:val="en-GB"/>
        </w:rPr>
        <w:t xml:space="preserve"> </w:t>
      </w:r>
      <w:r w:rsidR="00796ECA" w:rsidRPr="00AA2617">
        <w:rPr>
          <w:sz w:val="22"/>
          <w:lang w:val="en-GB"/>
        </w:rPr>
        <w:t>Field Project Management Information System (</w:t>
      </w:r>
      <w:r w:rsidR="00E65645" w:rsidRPr="00AA2617">
        <w:rPr>
          <w:sz w:val="22"/>
          <w:lang w:val="en-GB"/>
        </w:rPr>
        <w:t>FPMIS</w:t>
      </w:r>
      <w:r w:rsidR="00796ECA" w:rsidRPr="00AA2617">
        <w:rPr>
          <w:sz w:val="22"/>
          <w:lang w:val="en-GB"/>
        </w:rPr>
        <w:t>)</w:t>
      </w:r>
      <w:r w:rsidR="00E65645" w:rsidRPr="00AA2617">
        <w:rPr>
          <w:sz w:val="22"/>
          <w:lang w:val="en-GB"/>
        </w:rPr>
        <w:t>.</w:t>
      </w:r>
    </w:p>
    <w:p w14:paraId="5B955791" w14:textId="0C01CF26" w:rsidR="00815475" w:rsidRPr="00AA2617" w:rsidRDefault="00EE5673" w:rsidP="00AA2617">
      <w:pPr>
        <w:pStyle w:val="NumberedParagraph"/>
        <w:spacing w:before="120"/>
        <w:rPr>
          <w:sz w:val="22"/>
          <w:lang w:val="en-GB"/>
        </w:rPr>
      </w:pPr>
      <w:r w:rsidRPr="00AA2617">
        <w:rPr>
          <w:i/>
          <w:sz w:val="22"/>
          <w:lang w:val="en-GB"/>
        </w:rPr>
        <w:t>Annual work-plans and b</w:t>
      </w:r>
      <w:r w:rsidR="00EF4E35" w:rsidRPr="00AA2617">
        <w:rPr>
          <w:i/>
          <w:sz w:val="22"/>
          <w:lang w:val="en-GB"/>
        </w:rPr>
        <w:t>udgets (AWPs/Bs).</w:t>
      </w:r>
      <w:r w:rsidR="00E65645" w:rsidRPr="00AA2617">
        <w:rPr>
          <w:sz w:val="22"/>
          <w:lang w:val="en-GB"/>
        </w:rPr>
        <w:t xml:space="preserve"> </w:t>
      </w:r>
      <w:r w:rsidR="00EF4E35" w:rsidRPr="00AA2617">
        <w:rPr>
          <w:sz w:val="22"/>
          <w:lang w:val="en-GB"/>
        </w:rPr>
        <w:t xml:space="preserve"> </w:t>
      </w:r>
      <w:r w:rsidR="000A1BD3" w:rsidRPr="00AA2617">
        <w:rPr>
          <w:sz w:val="22"/>
          <w:lang w:val="en-GB"/>
        </w:rPr>
        <w:t>Each year, t</w:t>
      </w:r>
      <w:r w:rsidR="00E65645" w:rsidRPr="00AA2617">
        <w:rPr>
          <w:sz w:val="22"/>
          <w:lang w:val="en-GB"/>
        </w:rPr>
        <w:t xml:space="preserve">he </w:t>
      </w:r>
      <w:r w:rsidR="004B2660" w:rsidRPr="00AA2617">
        <w:rPr>
          <w:sz w:val="22"/>
          <w:lang w:val="en-GB"/>
        </w:rPr>
        <w:t>PMU</w:t>
      </w:r>
      <w:r w:rsidR="00E65645" w:rsidRPr="00AA2617">
        <w:rPr>
          <w:sz w:val="22"/>
          <w:lang w:val="en-GB"/>
        </w:rPr>
        <w:t xml:space="preserve"> will submit </w:t>
      </w:r>
      <w:r w:rsidR="004B2660" w:rsidRPr="00AA2617">
        <w:rPr>
          <w:sz w:val="22"/>
          <w:lang w:val="en-GB"/>
        </w:rPr>
        <w:t xml:space="preserve">updated </w:t>
      </w:r>
      <w:r w:rsidR="00E65645" w:rsidRPr="00AA2617">
        <w:rPr>
          <w:sz w:val="22"/>
          <w:lang w:val="en-GB"/>
        </w:rPr>
        <w:t xml:space="preserve">AWPs/Bs to the </w:t>
      </w:r>
      <w:r w:rsidR="004B2660" w:rsidRPr="00AA2617">
        <w:rPr>
          <w:sz w:val="22"/>
          <w:lang w:val="en-GB"/>
        </w:rPr>
        <w:t xml:space="preserve">PSC and, thereby, to the BH. </w:t>
      </w:r>
      <w:r w:rsidR="007A55D0" w:rsidRPr="00AA2617">
        <w:rPr>
          <w:sz w:val="22"/>
          <w:lang w:val="en-GB"/>
        </w:rPr>
        <w:t xml:space="preserve"> </w:t>
      </w:r>
      <w:r w:rsidR="00815475" w:rsidRPr="00AA2617">
        <w:rPr>
          <w:sz w:val="22"/>
          <w:lang w:val="en-GB"/>
        </w:rPr>
        <w:t>The AW</w:t>
      </w:r>
      <w:r w:rsidR="007A55D0" w:rsidRPr="00AA2617">
        <w:rPr>
          <w:sz w:val="22"/>
          <w:lang w:val="en-GB"/>
        </w:rPr>
        <w:t>P/B will list the activities as well as</w:t>
      </w:r>
      <w:r w:rsidR="00815475" w:rsidRPr="00AA2617">
        <w:rPr>
          <w:sz w:val="22"/>
          <w:lang w:val="en-GB"/>
        </w:rPr>
        <w:t xml:space="preserve"> corresponding budgets </w:t>
      </w:r>
      <w:r w:rsidR="007A55D0" w:rsidRPr="00AA2617">
        <w:rPr>
          <w:sz w:val="22"/>
          <w:lang w:val="en-GB"/>
        </w:rPr>
        <w:t>and targets for the up-coming year.  It will also describe</w:t>
      </w:r>
      <w:r w:rsidR="00815475" w:rsidRPr="00AA2617">
        <w:rPr>
          <w:sz w:val="22"/>
          <w:lang w:val="en-GB"/>
        </w:rPr>
        <w:t xml:space="preserve"> any planned activities for monitoring and supervision.  </w:t>
      </w:r>
      <w:r w:rsidR="004B2660" w:rsidRPr="00AA2617">
        <w:rPr>
          <w:sz w:val="22"/>
          <w:lang w:val="en-GB"/>
        </w:rPr>
        <w:t>The PMU will draft the AWP/B</w:t>
      </w:r>
      <w:r w:rsidR="00E65645" w:rsidRPr="00AA2617">
        <w:rPr>
          <w:sz w:val="22"/>
          <w:lang w:val="en-GB"/>
        </w:rPr>
        <w:t xml:space="preserve"> in consultation with the NPD, PTF, and other relevant stakeholders. </w:t>
      </w:r>
      <w:r w:rsidR="00751D30" w:rsidRPr="00AA2617">
        <w:rPr>
          <w:sz w:val="22"/>
          <w:lang w:val="en-GB"/>
        </w:rPr>
        <w:t xml:space="preserve"> </w:t>
      </w:r>
      <w:r w:rsidR="007A55D0" w:rsidRPr="00AA2617">
        <w:rPr>
          <w:sz w:val="22"/>
          <w:lang w:val="en-GB"/>
        </w:rPr>
        <w:t xml:space="preserve">The PMU will draft the first AWP/B </w:t>
      </w:r>
      <w:r w:rsidR="00C44B88" w:rsidRPr="00AA2617">
        <w:rPr>
          <w:sz w:val="22"/>
          <w:lang w:val="en-GB"/>
        </w:rPr>
        <w:t xml:space="preserve">and submit it to the </w:t>
      </w:r>
      <w:r w:rsidR="007A55D0" w:rsidRPr="00AA2617">
        <w:rPr>
          <w:sz w:val="22"/>
          <w:lang w:val="en-GB"/>
        </w:rPr>
        <w:t>inception workshop</w:t>
      </w:r>
      <w:r w:rsidR="00C44B88" w:rsidRPr="00AA2617">
        <w:rPr>
          <w:sz w:val="22"/>
          <w:lang w:val="en-GB"/>
        </w:rPr>
        <w:t xml:space="preserve"> for discussion, then present it to PSC for review and approval</w:t>
      </w:r>
      <w:r w:rsidR="007A55D0" w:rsidRPr="00AA2617">
        <w:rPr>
          <w:sz w:val="22"/>
          <w:lang w:val="en-GB"/>
        </w:rPr>
        <w:t xml:space="preserve">.  </w:t>
      </w:r>
      <w:r w:rsidR="00C44B88" w:rsidRPr="00AA2617">
        <w:rPr>
          <w:sz w:val="22"/>
          <w:lang w:val="en-GB"/>
        </w:rPr>
        <w:t xml:space="preserve">Once approved by </w:t>
      </w:r>
      <w:r w:rsidR="000A1BD3" w:rsidRPr="00AA2617">
        <w:rPr>
          <w:sz w:val="22"/>
          <w:lang w:val="en-GB"/>
        </w:rPr>
        <w:t xml:space="preserve">the PSC </w:t>
      </w:r>
      <w:r w:rsidR="00C44B88" w:rsidRPr="00AA2617">
        <w:rPr>
          <w:sz w:val="22"/>
          <w:lang w:val="en-GB"/>
        </w:rPr>
        <w:t xml:space="preserve">approval </w:t>
      </w:r>
      <w:r w:rsidR="000A1BD3" w:rsidRPr="00AA2617">
        <w:rPr>
          <w:sz w:val="22"/>
          <w:lang w:val="en-GB"/>
        </w:rPr>
        <w:t xml:space="preserve">the AWP/B </w:t>
      </w:r>
      <w:r w:rsidR="00C44B88" w:rsidRPr="00AA2617">
        <w:rPr>
          <w:sz w:val="22"/>
          <w:lang w:val="en-GB"/>
        </w:rPr>
        <w:t xml:space="preserve">will be circulated to the </w:t>
      </w:r>
      <w:r w:rsidR="000A1BD3" w:rsidRPr="00AA2617">
        <w:rPr>
          <w:sz w:val="22"/>
          <w:lang w:val="en-GB"/>
        </w:rPr>
        <w:t xml:space="preserve"> PTF and uploaded to</w:t>
      </w:r>
      <w:r w:rsidR="00C44B88" w:rsidRPr="00AA2617">
        <w:rPr>
          <w:sz w:val="22"/>
          <w:lang w:val="en-GB"/>
        </w:rPr>
        <w:t xml:space="preserve"> the </w:t>
      </w:r>
      <w:r w:rsidR="000A1BD3" w:rsidRPr="00AA2617">
        <w:rPr>
          <w:sz w:val="22"/>
          <w:lang w:val="en-GB"/>
        </w:rPr>
        <w:t xml:space="preserve"> FPMIS.</w:t>
      </w:r>
    </w:p>
    <w:p w14:paraId="0B4D35AA" w14:textId="5E315F38" w:rsidR="00E65645" w:rsidRPr="00AA2617" w:rsidRDefault="000A1BD3" w:rsidP="00AA2617">
      <w:pPr>
        <w:pStyle w:val="NumberedParagraph"/>
        <w:spacing w:before="120"/>
        <w:rPr>
          <w:sz w:val="22"/>
          <w:lang w:val="en-GB"/>
        </w:rPr>
      </w:pPr>
      <w:r w:rsidRPr="00AA2617">
        <w:rPr>
          <w:i/>
          <w:sz w:val="22"/>
          <w:lang w:val="en-GB"/>
        </w:rPr>
        <w:t>Project Progress Reports (PPRs).</w:t>
      </w:r>
      <w:r w:rsidR="00E65645" w:rsidRPr="00AA2617">
        <w:rPr>
          <w:sz w:val="22"/>
          <w:lang w:val="en-GB"/>
        </w:rPr>
        <w:t xml:space="preserve"> </w:t>
      </w:r>
      <w:r w:rsidRPr="00AA2617">
        <w:rPr>
          <w:sz w:val="22"/>
          <w:lang w:val="en-GB"/>
        </w:rPr>
        <w:t xml:space="preserve"> The PMU will prepare </w:t>
      </w:r>
      <w:r w:rsidR="00904B12" w:rsidRPr="00AA2617">
        <w:rPr>
          <w:sz w:val="22"/>
          <w:lang w:val="en-GB"/>
        </w:rPr>
        <w:t xml:space="preserve">six-month </w:t>
      </w:r>
      <w:r w:rsidR="00E65645" w:rsidRPr="00AA2617">
        <w:rPr>
          <w:sz w:val="22"/>
          <w:lang w:val="en-GB"/>
        </w:rPr>
        <w:t xml:space="preserve">PPRs </w:t>
      </w:r>
      <w:r w:rsidRPr="00AA2617">
        <w:rPr>
          <w:sz w:val="22"/>
          <w:lang w:val="en-GB"/>
        </w:rPr>
        <w:t>based on</w:t>
      </w:r>
      <w:r w:rsidR="002F6064" w:rsidRPr="00AA2617">
        <w:rPr>
          <w:sz w:val="22"/>
          <w:lang w:val="en-GB"/>
        </w:rPr>
        <w:t xml:space="preserve"> the project’s results f</w:t>
      </w:r>
      <w:r w:rsidR="00E65645" w:rsidRPr="00AA2617">
        <w:rPr>
          <w:sz w:val="22"/>
          <w:lang w:val="en-GB"/>
        </w:rPr>
        <w:t>ramework</w:t>
      </w:r>
      <w:r w:rsidR="00904B12" w:rsidRPr="00AA2617">
        <w:rPr>
          <w:sz w:val="22"/>
          <w:lang w:val="en-GB"/>
        </w:rPr>
        <w:t>, using FAO PPR template</w:t>
      </w:r>
      <w:r w:rsidR="00A11ECA" w:rsidRPr="00AA2617">
        <w:rPr>
          <w:sz w:val="22"/>
          <w:lang w:val="en-GB"/>
        </w:rPr>
        <w:t xml:space="preserve">. </w:t>
      </w:r>
      <w:r w:rsidR="00E65645" w:rsidRPr="00AA2617">
        <w:rPr>
          <w:sz w:val="22"/>
          <w:lang w:val="en-GB"/>
        </w:rPr>
        <w:t xml:space="preserve">The purpose of the PPR is to </w:t>
      </w:r>
      <w:r w:rsidR="002F6064" w:rsidRPr="00AA2617">
        <w:rPr>
          <w:sz w:val="22"/>
          <w:lang w:val="en-GB"/>
        </w:rPr>
        <w:t xml:space="preserve">provide regular updates on the project’s progress, including implementation of the project’s risk-mitigation plan.  </w:t>
      </w:r>
      <w:r w:rsidR="00904B12" w:rsidRPr="00AA2617">
        <w:rPr>
          <w:sz w:val="22"/>
          <w:lang w:val="en-GB"/>
        </w:rPr>
        <w:t>T</w:t>
      </w:r>
      <w:r w:rsidR="002F6064" w:rsidRPr="00AA2617">
        <w:rPr>
          <w:sz w:val="22"/>
          <w:lang w:val="en-GB"/>
        </w:rPr>
        <w:t>he PPR</w:t>
      </w:r>
      <w:r w:rsidR="00904B12" w:rsidRPr="00AA2617">
        <w:rPr>
          <w:sz w:val="22"/>
          <w:lang w:val="en-GB"/>
        </w:rPr>
        <w:t xml:space="preserve"> </w:t>
      </w:r>
      <w:r w:rsidR="002F6064" w:rsidRPr="00AA2617">
        <w:rPr>
          <w:sz w:val="22"/>
          <w:lang w:val="en-GB"/>
        </w:rPr>
        <w:t>identifies</w:t>
      </w:r>
      <w:r w:rsidR="00E65645" w:rsidRPr="00AA2617">
        <w:rPr>
          <w:sz w:val="22"/>
          <w:lang w:val="en-GB"/>
        </w:rPr>
        <w:t xml:space="preserve"> </w:t>
      </w:r>
      <w:r w:rsidR="00B42F68" w:rsidRPr="00AA2617">
        <w:rPr>
          <w:sz w:val="22"/>
          <w:lang w:val="en-GB"/>
        </w:rPr>
        <w:t>and anticipate</w:t>
      </w:r>
      <w:r w:rsidR="002F6064" w:rsidRPr="00AA2617">
        <w:rPr>
          <w:sz w:val="22"/>
          <w:lang w:val="en-GB"/>
        </w:rPr>
        <w:t>s</w:t>
      </w:r>
      <w:r w:rsidR="00B42F68" w:rsidRPr="00AA2617">
        <w:rPr>
          <w:sz w:val="22"/>
          <w:lang w:val="en-GB"/>
        </w:rPr>
        <w:t xml:space="preserve"> factors that will</w:t>
      </w:r>
      <w:r w:rsidR="00E65645" w:rsidRPr="00AA2617">
        <w:rPr>
          <w:sz w:val="22"/>
          <w:lang w:val="en-GB"/>
        </w:rPr>
        <w:t xml:space="preserve"> impede </w:t>
      </w:r>
      <w:r w:rsidR="00B42F68" w:rsidRPr="00AA2617">
        <w:rPr>
          <w:sz w:val="22"/>
          <w:lang w:val="en-GB"/>
        </w:rPr>
        <w:t>the project’s efficient</w:t>
      </w:r>
      <w:r w:rsidR="002F6064" w:rsidRPr="00AA2617">
        <w:rPr>
          <w:sz w:val="22"/>
          <w:lang w:val="en-GB"/>
        </w:rPr>
        <w:t xml:space="preserve"> implementation, and proposes</w:t>
      </w:r>
      <w:r w:rsidR="00B42F68" w:rsidRPr="00AA2617">
        <w:rPr>
          <w:sz w:val="22"/>
          <w:lang w:val="en-GB"/>
        </w:rPr>
        <w:t xml:space="preserve"> appropriate remedial, mitigative, or pre-emptive actions.</w:t>
      </w:r>
      <w:r w:rsidR="00E65645" w:rsidRPr="00AA2617">
        <w:rPr>
          <w:sz w:val="22"/>
          <w:lang w:val="en-GB"/>
        </w:rPr>
        <w:t xml:space="preserve"> The </w:t>
      </w:r>
      <w:r w:rsidR="002F6064" w:rsidRPr="00AA2617">
        <w:rPr>
          <w:sz w:val="22"/>
          <w:lang w:val="en-GB"/>
        </w:rPr>
        <w:t xml:space="preserve">PMU submits the </w:t>
      </w:r>
      <w:r w:rsidR="00904B12" w:rsidRPr="00AA2617">
        <w:rPr>
          <w:sz w:val="22"/>
          <w:lang w:val="en-GB"/>
        </w:rPr>
        <w:t xml:space="preserve">draft </w:t>
      </w:r>
      <w:r w:rsidR="00E65645" w:rsidRPr="00AA2617">
        <w:rPr>
          <w:sz w:val="22"/>
          <w:lang w:val="en-GB"/>
        </w:rPr>
        <w:t xml:space="preserve">PPR to </w:t>
      </w:r>
      <w:r w:rsidR="00BC65C8" w:rsidRPr="00AA2617">
        <w:rPr>
          <w:sz w:val="22"/>
          <w:lang w:val="en-GB"/>
        </w:rPr>
        <w:t>the BH</w:t>
      </w:r>
      <w:r w:rsidR="00904B12" w:rsidRPr="00AA2617">
        <w:rPr>
          <w:sz w:val="22"/>
          <w:lang w:val="en-GB"/>
        </w:rPr>
        <w:t xml:space="preserve"> and</w:t>
      </w:r>
      <w:r w:rsidR="00BC65C8" w:rsidRPr="00AA2617">
        <w:rPr>
          <w:sz w:val="22"/>
          <w:lang w:val="en-GB"/>
        </w:rPr>
        <w:t xml:space="preserve"> LTO</w:t>
      </w:r>
      <w:r w:rsidR="00904B12" w:rsidRPr="00AA2617">
        <w:rPr>
          <w:sz w:val="22"/>
          <w:lang w:val="en-GB"/>
        </w:rPr>
        <w:t xml:space="preserve"> for clearance. The</w:t>
      </w:r>
      <w:r w:rsidR="00A11ECA" w:rsidRPr="00AA2617">
        <w:rPr>
          <w:sz w:val="22"/>
          <w:lang w:val="en-GB"/>
        </w:rPr>
        <w:t xml:space="preserve"> </w:t>
      </w:r>
      <w:r w:rsidR="00BC65C8" w:rsidRPr="00AA2617">
        <w:rPr>
          <w:sz w:val="22"/>
          <w:lang w:val="en-GB"/>
        </w:rPr>
        <w:t>FLO</w:t>
      </w:r>
      <w:r w:rsidR="00904B12" w:rsidRPr="00AA2617">
        <w:rPr>
          <w:sz w:val="22"/>
          <w:lang w:val="en-GB"/>
        </w:rPr>
        <w:t xml:space="preserve"> sitting in</w:t>
      </w:r>
      <w:r w:rsidR="00A11ECA" w:rsidRPr="00AA2617">
        <w:rPr>
          <w:sz w:val="22"/>
          <w:lang w:val="en-GB"/>
        </w:rPr>
        <w:t xml:space="preserve"> </w:t>
      </w:r>
      <w:r w:rsidR="00BC65C8" w:rsidRPr="00AA2617">
        <w:rPr>
          <w:sz w:val="22"/>
          <w:lang w:val="en-GB"/>
        </w:rPr>
        <w:t xml:space="preserve">FAO’s </w:t>
      </w:r>
      <w:r w:rsidR="00E65645" w:rsidRPr="00AA2617">
        <w:rPr>
          <w:sz w:val="22"/>
          <w:lang w:val="en-GB"/>
        </w:rPr>
        <w:t>GEF Coordination Unit will review an</w:t>
      </w:r>
      <w:r w:rsidR="00BC65C8" w:rsidRPr="00AA2617">
        <w:rPr>
          <w:sz w:val="22"/>
          <w:lang w:val="en-GB"/>
        </w:rPr>
        <w:t xml:space="preserve">d </w:t>
      </w:r>
      <w:r w:rsidR="00904B12" w:rsidRPr="00AA2617">
        <w:rPr>
          <w:sz w:val="22"/>
          <w:lang w:val="en-GB"/>
        </w:rPr>
        <w:t xml:space="preserve">endorse the report and </w:t>
      </w:r>
      <w:r w:rsidR="00BC65C8" w:rsidRPr="00AA2617">
        <w:rPr>
          <w:sz w:val="22"/>
          <w:lang w:val="en-GB"/>
        </w:rPr>
        <w:t xml:space="preserve">upload </w:t>
      </w:r>
      <w:r w:rsidR="00904B12" w:rsidRPr="00AA2617">
        <w:rPr>
          <w:sz w:val="22"/>
          <w:lang w:val="en-GB"/>
        </w:rPr>
        <w:t xml:space="preserve">it </w:t>
      </w:r>
      <w:r w:rsidR="00BC65C8" w:rsidRPr="00AA2617">
        <w:rPr>
          <w:sz w:val="22"/>
          <w:lang w:val="en-GB"/>
        </w:rPr>
        <w:t>in</w:t>
      </w:r>
      <w:r w:rsidR="00904B12" w:rsidRPr="00AA2617">
        <w:rPr>
          <w:sz w:val="22"/>
          <w:lang w:val="en-GB"/>
        </w:rPr>
        <w:t xml:space="preserve">to the </w:t>
      </w:r>
      <w:r w:rsidR="00BC65C8" w:rsidRPr="00AA2617">
        <w:rPr>
          <w:sz w:val="22"/>
          <w:lang w:val="en-GB"/>
        </w:rPr>
        <w:t>FPMIS.</w:t>
      </w:r>
    </w:p>
    <w:p w14:paraId="2C106206" w14:textId="77777777" w:rsidR="00E65645" w:rsidRPr="00AA2617" w:rsidRDefault="00E65645" w:rsidP="00AA2617">
      <w:pPr>
        <w:pStyle w:val="NumberedParagraph"/>
        <w:spacing w:before="120"/>
        <w:jc w:val="left"/>
        <w:rPr>
          <w:sz w:val="22"/>
          <w:lang w:val="en-GB"/>
        </w:rPr>
      </w:pPr>
      <w:r w:rsidRPr="00AA2617">
        <w:rPr>
          <w:i/>
          <w:sz w:val="22"/>
          <w:lang w:val="en-GB"/>
        </w:rPr>
        <w:t>Projec</w:t>
      </w:r>
      <w:r w:rsidR="00055D31" w:rsidRPr="00AA2617">
        <w:rPr>
          <w:i/>
          <w:sz w:val="22"/>
          <w:lang w:val="en-GB"/>
        </w:rPr>
        <w:t xml:space="preserve">t Implementation Reviews (PIRs). </w:t>
      </w:r>
      <w:r w:rsidRPr="00AA2617">
        <w:rPr>
          <w:sz w:val="22"/>
          <w:lang w:val="en-GB"/>
        </w:rPr>
        <w:t xml:space="preserve"> The </w:t>
      </w:r>
      <w:r w:rsidR="006B7B70" w:rsidRPr="00AA2617">
        <w:rPr>
          <w:sz w:val="22"/>
          <w:lang w:val="en-GB"/>
        </w:rPr>
        <w:t>PMU</w:t>
      </w:r>
      <w:r w:rsidRPr="00AA2617">
        <w:rPr>
          <w:sz w:val="22"/>
          <w:lang w:val="en-GB"/>
        </w:rPr>
        <w:t xml:space="preserve"> will prepare annual PIRs covering the period </w:t>
      </w:r>
      <w:r w:rsidR="00055D31" w:rsidRPr="00AA2617">
        <w:rPr>
          <w:sz w:val="22"/>
          <w:lang w:val="en-GB"/>
        </w:rPr>
        <w:t xml:space="preserve">from 1 </w:t>
      </w:r>
      <w:r w:rsidRPr="00AA2617">
        <w:rPr>
          <w:sz w:val="22"/>
          <w:lang w:val="en-GB"/>
        </w:rPr>
        <w:t>July (the previous year) through</w:t>
      </w:r>
      <w:r w:rsidR="006B7B70" w:rsidRPr="00AA2617">
        <w:rPr>
          <w:sz w:val="22"/>
          <w:lang w:val="en-GB"/>
        </w:rPr>
        <w:t xml:space="preserve"> 30</w:t>
      </w:r>
      <w:r w:rsidRPr="00AA2617">
        <w:rPr>
          <w:sz w:val="22"/>
          <w:lang w:val="en-GB"/>
        </w:rPr>
        <w:t xml:space="preserve"> June (current year) </w:t>
      </w:r>
      <w:r w:rsidR="006B7B70" w:rsidRPr="00AA2617">
        <w:rPr>
          <w:sz w:val="22"/>
          <w:lang w:val="en-GB"/>
        </w:rPr>
        <w:t xml:space="preserve">and submit them for review and clearance by the LTO, BH, and FLO by mid-July.  FAO’s </w:t>
      </w:r>
      <w:r w:rsidRPr="00AA2617">
        <w:rPr>
          <w:sz w:val="22"/>
          <w:lang w:val="en-GB"/>
        </w:rPr>
        <w:t xml:space="preserve">GEF Coordination Unit will submit the PIR to the GEF Secretariat and GEF Evaluation Office as part of the Annual Monitoring Review report of the FAO-GEF portfolio. </w:t>
      </w:r>
      <w:r w:rsidR="006B7B70" w:rsidRPr="00AA2617">
        <w:rPr>
          <w:sz w:val="22"/>
          <w:lang w:val="en-GB"/>
        </w:rPr>
        <w:t xml:space="preserve"> FAO’s GEF Coordination Unit will upload </w:t>
      </w:r>
      <w:r w:rsidRPr="00AA2617">
        <w:rPr>
          <w:sz w:val="22"/>
          <w:lang w:val="en-GB"/>
        </w:rPr>
        <w:t xml:space="preserve">PIRs </w:t>
      </w:r>
      <w:r w:rsidR="006B7B70" w:rsidRPr="00AA2617">
        <w:rPr>
          <w:sz w:val="22"/>
          <w:lang w:val="en-GB"/>
        </w:rPr>
        <w:t>to FAO’s FPMIS</w:t>
      </w:r>
      <w:r w:rsidRPr="00AA2617">
        <w:rPr>
          <w:sz w:val="22"/>
          <w:lang w:val="en-GB"/>
        </w:rPr>
        <w:t>.</w:t>
      </w:r>
    </w:p>
    <w:p w14:paraId="0B8D3A8D" w14:textId="77777777" w:rsidR="00E65645" w:rsidRPr="00AA2617" w:rsidRDefault="00E65645" w:rsidP="00AA2617">
      <w:pPr>
        <w:pStyle w:val="NumberedParagraph"/>
        <w:spacing w:before="120"/>
        <w:jc w:val="left"/>
        <w:rPr>
          <w:rFonts w:eastAsia="SimSun"/>
          <w:b/>
          <w:bCs/>
          <w:sz w:val="22"/>
          <w:lang w:val="en-GB" w:eastAsia="en-GB"/>
        </w:rPr>
      </w:pPr>
      <w:r w:rsidRPr="00AA2617">
        <w:rPr>
          <w:rFonts w:eastAsia="SimSun"/>
          <w:bCs/>
          <w:sz w:val="22"/>
          <w:lang w:val="en-GB" w:eastAsia="en-GB"/>
        </w:rPr>
        <w:t>Key milestones for the PIR process</w:t>
      </w:r>
      <w:r w:rsidRPr="00AA2617">
        <w:rPr>
          <w:rFonts w:eastAsia="SimSun"/>
          <w:b/>
          <w:bCs/>
          <w:sz w:val="22"/>
          <w:lang w:val="en-GB" w:eastAsia="en-GB"/>
        </w:rPr>
        <w:t xml:space="preserve"> </w:t>
      </w:r>
      <w:r w:rsidRPr="00AA2617">
        <w:rPr>
          <w:rFonts w:eastAsia="SimSun"/>
          <w:bCs/>
          <w:sz w:val="22"/>
          <w:lang w:val="en-GB" w:eastAsia="en-GB"/>
        </w:rPr>
        <w:t>include:</w:t>
      </w:r>
    </w:p>
    <w:p w14:paraId="440BF9CE" w14:textId="63B5D795" w:rsidR="00E65645" w:rsidRPr="00AA2617" w:rsidRDefault="00E65645" w:rsidP="00AA2617">
      <w:pPr>
        <w:numPr>
          <w:ilvl w:val="0"/>
          <w:numId w:val="10"/>
        </w:numPr>
        <w:tabs>
          <w:tab w:val="left" w:pos="1380"/>
        </w:tabs>
        <w:spacing w:after="200"/>
        <w:contextualSpacing/>
        <w:rPr>
          <w:rFonts w:eastAsia="Calibri" w:cs="Times New Roman"/>
          <w:sz w:val="22"/>
          <w:lang w:val="en-GB"/>
        </w:rPr>
      </w:pPr>
      <w:r w:rsidRPr="00AA2617">
        <w:rPr>
          <w:rFonts w:eastAsia="Calibri" w:cs="Times New Roman"/>
          <w:bCs/>
          <w:sz w:val="22"/>
          <w:u w:val="single"/>
          <w:lang w:val="en-GB"/>
        </w:rPr>
        <w:lastRenderedPageBreak/>
        <w:t>30 June</w:t>
      </w:r>
      <w:r w:rsidR="006B7B70" w:rsidRPr="00AA2617">
        <w:rPr>
          <w:rFonts w:eastAsia="Calibri" w:cs="Times New Roman"/>
          <w:sz w:val="22"/>
          <w:lang w:val="en-GB"/>
        </w:rPr>
        <w:t xml:space="preserve">:  </w:t>
      </w:r>
      <w:r w:rsidR="007A19AF" w:rsidRPr="00AA2617">
        <w:rPr>
          <w:rFonts w:eastAsia="Calibri" w:cs="Times New Roman"/>
          <w:sz w:val="22"/>
          <w:lang w:val="en-GB"/>
        </w:rPr>
        <w:t>LTO provides an initial draft of PIR to</w:t>
      </w:r>
      <w:r w:rsidR="006B7B70" w:rsidRPr="00AA2617">
        <w:rPr>
          <w:rFonts w:eastAsia="Calibri" w:cs="Times New Roman"/>
          <w:sz w:val="22"/>
          <w:lang w:val="en-GB"/>
        </w:rPr>
        <w:t xml:space="preserve"> the PTF </w:t>
      </w:r>
      <w:r w:rsidR="007A19AF" w:rsidRPr="00AA2617">
        <w:rPr>
          <w:rFonts w:eastAsia="Calibri" w:cs="Times New Roman"/>
          <w:sz w:val="22"/>
          <w:lang w:val="en-GB"/>
        </w:rPr>
        <w:t xml:space="preserve">and initiates consultations for </w:t>
      </w:r>
      <w:r w:rsidR="006B7B70" w:rsidRPr="00AA2617">
        <w:rPr>
          <w:rFonts w:eastAsia="Calibri" w:cs="Times New Roman"/>
          <w:sz w:val="22"/>
          <w:lang w:val="en-GB"/>
        </w:rPr>
        <w:t>clearances from BH and</w:t>
      </w:r>
      <w:r w:rsidR="00904B12" w:rsidRPr="00AA2617">
        <w:rPr>
          <w:rFonts w:eastAsia="Calibri" w:cs="Times New Roman"/>
          <w:sz w:val="22"/>
          <w:lang w:val="en-GB"/>
        </w:rPr>
        <w:t xml:space="preserve"> </w:t>
      </w:r>
      <w:r w:rsidR="00A11ECA" w:rsidRPr="00AA2617">
        <w:rPr>
          <w:rFonts w:eastAsia="Calibri" w:cs="Times New Roman"/>
          <w:sz w:val="22"/>
          <w:lang w:val="en-GB"/>
        </w:rPr>
        <w:t>FLO</w:t>
      </w:r>
      <w:r w:rsidR="007A19AF" w:rsidRPr="00AA2617">
        <w:rPr>
          <w:rFonts w:eastAsia="Calibri" w:cs="Times New Roman"/>
          <w:sz w:val="22"/>
          <w:lang w:val="en-GB"/>
        </w:rPr>
        <w:t>.</w:t>
      </w:r>
    </w:p>
    <w:p w14:paraId="1A7B31B9" w14:textId="700988F5" w:rsidR="00E65645" w:rsidRPr="00AA2617" w:rsidRDefault="006B7B70" w:rsidP="00AA2617">
      <w:pPr>
        <w:numPr>
          <w:ilvl w:val="0"/>
          <w:numId w:val="10"/>
        </w:numPr>
        <w:tabs>
          <w:tab w:val="left" w:pos="1380"/>
        </w:tabs>
        <w:spacing w:after="200"/>
        <w:contextualSpacing/>
        <w:rPr>
          <w:rFonts w:eastAsia="Calibri" w:cs="Times New Roman"/>
          <w:sz w:val="22"/>
          <w:lang w:val="en-GB"/>
        </w:rPr>
      </w:pPr>
      <w:r w:rsidRPr="00AA2617">
        <w:rPr>
          <w:rFonts w:eastAsia="Calibri" w:cs="Times New Roman"/>
          <w:bCs/>
          <w:sz w:val="22"/>
          <w:u w:val="single"/>
          <w:lang w:val="en-GB"/>
        </w:rPr>
        <w:t>Mid-</w:t>
      </w:r>
      <w:r w:rsidR="00E65645" w:rsidRPr="00AA2617">
        <w:rPr>
          <w:rFonts w:eastAsia="Calibri" w:cs="Times New Roman"/>
          <w:bCs/>
          <w:sz w:val="22"/>
          <w:u w:val="single"/>
          <w:lang w:val="en-GB"/>
        </w:rPr>
        <w:t>July</w:t>
      </w:r>
      <w:r w:rsidR="00EF4E35" w:rsidRPr="00AA2617">
        <w:rPr>
          <w:rFonts w:eastAsia="Calibri" w:cs="Times New Roman"/>
          <w:sz w:val="22"/>
          <w:lang w:val="en-GB"/>
        </w:rPr>
        <w:t xml:space="preserve">:  </w:t>
      </w:r>
      <w:r w:rsidR="007A19AF" w:rsidRPr="00AA2617">
        <w:rPr>
          <w:rFonts w:eastAsia="Calibri" w:cs="Times New Roman"/>
          <w:sz w:val="22"/>
          <w:lang w:val="en-GB"/>
        </w:rPr>
        <w:t xml:space="preserve">LTO </w:t>
      </w:r>
      <w:r w:rsidR="00904B12" w:rsidRPr="00AA2617">
        <w:rPr>
          <w:rFonts w:eastAsia="Calibri" w:cs="Times New Roman"/>
          <w:sz w:val="22"/>
          <w:lang w:val="en-GB"/>
        </w:rPr>
        <w:t xml:space="preserve">or BH </w:t>
      </w:r>
      <w:r w:rsidR="007A19AF" w:rsidRPr="00AA2617">
        <w:rPr>
          <w:rFonts w:eastAsia="Calibri" w:cs="Times New Roman"/>
          <w:sz w:val="22"/>
          <w:lang w:val="en-GB"/>
        </w:rPr>
        <w:t xml:space="preserve">sends </w:t>
      </w:r>
      <w:r w:rsidR="00904B12" w:rsidRPr="00AA2617">
        <w:rPr>
          <w:rFonts w:eastAsia="Calibri" w:cs="Times New Roman"/>
          <w:sz w:val="22"/>
          <w:lang w:val="en-GB"/>
        </w:rPr>
        <w:t xml:space="preserve">final </w:t>
      </w:r>
      <w:r w:rsidR="007A19AF" w:rsidRPr="00AA2617">
        <w:rPr>
          <w:rFonts w:eastAsia="Calibri" w:cs="Times New Roman"/>
          <w:sz w:val="22"/>
          <w:lang w:val="en-GB"/>
        </w:rPr>
        <w:t xml:space="preserve">PIR </w:t>
      </w:r>
      <w:r w:rsidR="00904B12" w:rsidRPr="00AA2617">
        <w:rPr>
          <w:rFonts w:eastAsia="Calibri" w:cs="Times New Roman"/>
          <w:sz w:val="22"/>
          <w:lang w:val="en-GB"/>
        </w:rPr>
        <w:t xml:space="preserve">draft </w:t>
      </w:r>
      <w:r w:rsidR="007A19AF" w:rsidRPr="00AA2617">
        <w:rPr>
          <w:rFonts w:eastAsia="Calibri" w:cs="Times New Roman"/>
          <w:sz w:val="22"/>
          <w:lang w:val="en-GB"/>
        </w:rPr>
        <w:t xml:space="preserve">to </w:t>
      </w:r>
      <w:r w:rsidR="00904B12" w:rsidRPr="00AA2617">
        <w:rPr>
          <w:rFonts w:eastAsia="Calibri" w:cs="Times New Roman"/>
          <w:sz w:val="22"/>
          <w:lang w:val="en-GB"/>
        </w:rPr>
        <w:t>FLO (</w:t>
      </w:r>
      <w:r w:rsidR="007A19AF" w:rsidRPr="00AA2617">
        <w:rPr>
          <w:rFonts w:eastAsia="Calibri" w:cs="Times New Roman"/>
          <w:sz w:val="22"/>
          <w:lang w:val="en-GB"/>
        </w:rPr>
        <w:t>FAO’s GEF Coordination Unit</w:t>
      </w:r>
      <w:r w:rsidR="00904B12" w:rsidRPr="00AA2617">
        <w:rPr>
          <w:rFonts w:eastAsia="Calibri" w:cs="Times New Roman"/>
          <w:sz w:val="22"/>
          <w:lang w:val="en-GB"/>
        </w:rPr>
        <w:t>)</w:t>
      </w:r>
      <w:r w:rsidR="00780F59" w:rsidRPr="00AA2617">
        <w:rPr>
          <w:rFonts w:eastAsia="Calibri" w:cs="Times New Roman"/>
          <w:sz w:val="22"/>
          <w:lang w:val="en-GB"/>
        </w:rPr>
        <w:t xml:space="preserve"> for review/endorsement and further submission to the GEF-Secretariat.</w:t>
      </w:r>
    </w:p>
    <w:p w14:paraId="032F508A" w14:textId="77777777" w:rsidR="00E65645" w:rsidRPr="00AA2617" w:rsidRDefault="00E65645" w:rsidP="00AA2617">
      <w:pPr>
        <w:numPr>
          <w:ilvl w:val="0"/>
          <w:numId w:val="10"/>
        </w:numPr>
        <w:tabs>
          <w:tab w:val="left" w:pos="1380"/>
        </w:tabs>
        <w:spacing w:after="200"/>
        <w:contextualSpacing/>
        <w:rPr>
          <w:rFonts w:eastAsia="Calibri" w:cs="Times New Roman"/>
          <w:sz w:val="22"/>
          <w:lang w:val="en-GB"/>
        </w:rPr>
      </w:pPr>
      <w:r w:rsidRPr="00AA2617">
        <w:rPr>
          <w:rFonts w:eastAsia="Calibri" w:cs="Times New Roman"/>
          <w:bCs/>
          <w:sz w:val="22"/>
          <w:u w:val="single"/>
          <w:lang w:val="en-GB"/>
        </w:rPr>
        <w:t>Early August</w:t>
      </w:r>
      <w:r w:rsidRPr="00AA2617">
        <w:rPr>
          <w:rFonts w:eastAsia="Calibri" w:cs="Times New Roman"/>
          <w:sz w:val="22"/>
          <w:lang w:val="en-GB"/>
        </w:rPr>
        <w:t xml:space="preserve">: </w:t>
      </w:r>
      <w:r w:rsidR="007A19AF" w:rsidRPr="00AA2617">
        <w:rPr>
          <w:rFonts w:eastAsia="Calibri" w:cs="Times New Roman"/>
          <w:sz w:val="22"/>
          <w:lang w:val="en-GB"/>
        </w:rPr>
        <w:t xml:space="preserve"> FAO’s </w:t>
      </w:r>
      <w:r w:rsidRPr="00AA2617">
        <w:rPr>
          <w:rFonts w:eastAsia="Calibri" w:cs="Times New Roman"/>
          <w:sz w:val="22"/>
          <w:lang w:val="en-GB"/>
        </w:rPr>
        <w:t>GEF Coordination Unit prepares and finalizes the FAO Summary Tables and submits to the GEF Secretariat by the date communicated e</w:t>
      </w:r>
      <w:r w:rsidR="007A19AF" w:rsidRPr="00AA2617">
        <w:rPr>
          <w:rFonts w:eastAsia="Calibri" w:cs="Times New Roman"/>
          <w:sz w:val="22"/>
          <w:lang w:val="en-GB"/>
        </w:rPr>
        <w:t>ach year by the GEF Secretariat.</w:t>
      </w:r>
    </w:p>
    <w:p w14:paraId="493178CD" w14:textId="77777777" w:rsidR="00E65645" w:rsidRPr="00AA2617" w:rsidRDefault="00E65645" w:rsidP="00AA2617">
      <w:pPr>
        <w:numPr>
          <w:ilvl w:val="0"/>
          <w:numId w:val="10"/>
        </w:numPr>
        <w:tabs>
          <w:tab w:val="left" w:pos="1380"/>
        </w:tabs>
        <w:spacing w:after="200"/>
        <w:contextualSpacing/>
        <w:rPr>
          <w:rFonts w:eastAsia="Calibri" w:cs="Times New Roman"/>
          <w:sz w:val="22"/>
          <w:lang w:val="en-GB"/>
        </w:rPr>
      </w:pPr>
      <w:r w:rsidRPr="00AA2617">
        <w:rPr>
          <w:rFonts w:eastAsia="Calibri" w:cs="Times New Roman"/>
          <w:bCs/>
          <w:sz w:val="22"/>
          <w:u w:val="single"/>
          <w:lang w:val="en-GB"/>
        </w:rPr>
        <w:t>September/</w:t>
      </w:r>
      <w:r w:rsidR="006B7B70" w:rsidRPr="00AA2617">
        <w:rPr>
          <w:rFonts w:eastAsia="Calibri" w:cs="Times New Roman"/>
          <w:bCs/>
          <w:sz w:val="22"/>
          <w:u w:val="single"/>
          <w:lang w:val="en-GB"/>
        </w:rPr>
        <w:t xml:space="preserve"> </w:t>
      </w:r>
      <w:r w:rsidRPr="00AA2617">
        <w:rPr>
          <w:rFonts w:eastAsia="Calibri" w:cs="Times New Roman"/>
          <w:bCs/>
          <w:sz w:val="22"/>
          <w:u w:val="single"/>
          <w:lang w:val="en-GB"/>
        </w:rPr>
        <w:t>October</w:t>
      </w:r>
      <w:r w:rsidRPr="00AA2617">
        <w:rPr>
          <w:rFonts w:eastAsia="Calibri" w:cs="Times New Roman"/>
          <w:sz w:val="22"/>
          <w:lang w:val="en-GB"/>
        </w:rPr>
        <w:t xml:space="preserve">: </w:t>
      </w:r>
      <w:r w:rsidR="007A19AF" w:rsidRPr="00AA2617">
        <w:rPr>
          <w:rFonts w:eastAsia="Calibri" w:cs="Times New Roman"/>
          <w:sz w:val="22"/>
          <w:lang w:val="en-GB"/>
        </w:rPr>
        <w:t xml:space="preserve">FAO’s GEF Coordination Unit coordinates with </w:t>
      </w:r>
      <w:r w:rsidR="001437C5" w:rsidRPr="00AA2617">
        <w:rPr>
          <w:rFonts w:eastAsia="Calibri" w:cs="Times New Roman"/>
          <w:sz w:val="22"/>
          <w:lang w:val="en-GB"/>
        </w:rPr>
        <w:t>LTOs to finalize and clear PIR.</w:t>
      </w:r>
    </w:p>
    <w:p w14:paraId="09F432EF" w14:textId="77777777" w:rsidR="00E65645" w:rsidRPr="00AA2617" w:rsidRDefault="006B7B70" w:rsidP="00AA2617">
      <w:pPr>
        <w:numPr>
          <w:ilvl w:val="0"/>
          <w:numId w:val="10"/>
        </w:numPr>
        <w:tabs>
          <w:tab w:val="left" w:pos="1380"/>
        </w:tabs>
        <w:spacing w:after="200"/>
        <w:contextualSpacing/>
        <w:rPr>
          <w:rFonts w:eastAsia="Calibri" w:cs="Times New Roman"/>
          <w:sz w:val="22"/>
          <w:lang w:val="en-GB"/>
        </w:rPr>
      </w:pPr>
      <w:r w:rsidRPr="00AA2617">
        <w:rPr>
          <w:rFonts w:eastAsia="Calibri" w:cs="Times New Roman"/>
          <w:bCs/>
          <w:sz w:val="22"/>
          <w:u w:val="single"/>
          <w:lang w:val="en-GB"/>
        </w:rPr>
        <w:t>Mid-</w:t>
      </w:r>
      <w:r w:rsidR="00E65645" w:rsidRPr="00AA2617">
        <w:rPr>
          <w:rFonts w:eastAsia="Calibri" w:cs="Times New Roman"/>
          <w:bCs/>
          <w:sz w:val="22"/>
          <w:u w:val="single"/>
          <w:lang w:val="en-GB"/>
        </w:rPr>
        <w:t>November</w:t>
      </w:r>
      <w:r w:rsidR="00E65645" w:rsidRPr="00AA2617">
        <w:rPr>
          <w:rFonts w:eastAsia="Calibri" w:cs="Times New Roman"/>
          <w:bCs/>
          <w:sz w:val="22"/>
          <w:lang w:val="en-GB"/>
        </w:rPr>
        <w:t>:</w:t>
      </w:r>
      <w:r w:rsidR="007A19AF" w:rsidRPr="00AA2617">
        <w:rPr>
          <w:rFonts w:eastAsia="Calibri" w:cs="Times New Roman"/>
          <w:sz w:val="22"/>
          <w:lang w:val="en-GB"/>
        </w:rPr>
        <w:t xml:space="preserve"> FAO’s </w:t>
      </w:r>
      <w:r w:rsidR="00E65645" w:rsidRPr="00AA2617">
        <w:rPr>
          <w:rFonts w:eastAsia="Calibri" w:cs="Times New Roman"/>
          <w:sz w:val="22"/>
          <w:lang w:val="en-GB"/>
        </w:rPr>
        <w:t>GEF Coordination U</w:t>
      </w:r>
      <w:r w:rsidR="007A19AF" w:rsidRPr="00AA2617">
        <w:rPr>
          <w:rFonts w:eastAsia="Calibri" w:cs="Times New Roman"/>
          <w:sz w:val="22"/>
          <w:lang w:val="en-GB"/>
        </w:rPr>
        <w:t>nit submits the final PIR</w:t>
      </w:r>
      <w:r w:rsidR="00E65645" w:rsidRPr="00AA2617">
        <w:rPr>
          <w:rFonts w:eastAsia="Calibri" w:cs="Times New Roman"/>
          <w:sz w:val="22"/>
          <w:lang w:val="en-GB"/>
        </w:rPr>
        <w:t> to the GEF Secretariat and GEF</w:t>
      </w:r>
      <w:r w:rsidR="007A19AF" w:rsidRPr="00AA2617">
        <w:rPr>
          <w:rFonts w:eastAsia="Calibri" w:cs="Times New Roman"/>
          <w:sz w:val="22"/>
          <w:lang w:val="en-GB"/>
        </w:rPr>
        <w:t>’s</w:t>
      </w:r>
      <w:r w:rsidR="00E65645" w:rsidRPr="00AA2617">
        <w:rPr>
          <w:rFonts w:eastAsia="Calibri" w:cs="Times New Roman"/>
          <w:sz w:val="22"/>
          <w:lang w:val="en-GB"/>
        </w:rPr>
        <w:t xml:space="preserve"> Independent Evaluation Office.</w:t>
      </w:r>
    </w:p>
    <w:p w14:paraId="7852B8DD" w14:textId="77777777" w:rsidR="00E65645" w:rsidRPr="00AA2617" w:rsidRDefault="003D1AE3" w:rsidP="00AA2617">
      <w:pPr>
        <w:pStyle w:val="NumberedParagraph"/>
        <w:spacing w:before="120"/>
        <w:rPr>
          <w:sz w:val="22"/>
          <w:lang w:val="en-GB"/>
        </w:rPr>
      </w:pPr>
      <w:r w:rsidRPr="00AA2617">
        <w:rPr>
          <w:i/>
          <w:sz w:val="22"/>
          <w:lang w:val="en-GB"/>
        </w:rPr>
        <w:t>Technical r</w:t>
      </w:r>
      <w:r w:rsidR="00E65645" w:rsidRPr="00AA2617">
        <w:rPr>
          <w:i/>
          <w:sz w:val="22"/>
          <w:lang w:val="en-GB"/>
        </w:rPr>
        <w:t>eports</w:t>
      </w:r>
      <w:r w:rsidR="004F7472" w:rsidRPr="00AA2617">
        <w:rPr>
          <w:i/>
          <w:sz w:val="22"/>
          <w:lang w:val="en-GB"/>
        </w:rPr>
        <w:t>.</w:t>
      </w:r>
      <w:r w:rsidR="00E65645" w:rsidRPr="00AA2617">
        <w:rPr>
          <w:i/>
          <w:sz w:val="22"/>
          <w:lang w:val="en-GB"/>
        </w:rPr>
        <w:t xml:space="preserve"> </w:t>
      </w:r>
      <w:r w:rsidR="00EE2E34" w:rsidRPr="00AA2617">
        <w:rPr>
          <w:i/>
          <w:sz w:val="22"/>
          <w:lang w:val="en-GB"/>
        </w:rPr>
        <w:t xml:space="preserve"> </w:t>
      </w:r>
      <w:r w:rsidR="00EE2E34" w:rsidRPr="00AA2617">
        <w:rPr>
          <w:sz w:val="22"/>
          <w:lang w:val="en-GB"/>
        </w:rPr>
        <w:t xml:space="preserve">In coordination with the TWG, the PMU will ensure preparation of relevant technical reports as indicated by the project’s results matrix </w:t>
      </w:r>
      <w:r w:rsidR="00E65645" w:rsidRPr="00AA2617">
        <w:rPr>
          <w:sz w:val="22"/>
          <w:lang w:val="en-GB"/>
        </w:rPr>
        <w:t>GEF</w:t>
      </w:r>
      <w:r w:rsidR="00EE2E34" w:rsidRPr="00AA2617">
        <w:rPr>
          <w:sz w:val="22"/>
          <w:lang w:val="en-GB"/>
        </w:rPr>
        <w:t>’s CBIT tracking tool</w:t>
      </w:r>
      <w:r w:rsidR="00E65645" w:rsidRPr="00AA2617">
        <w:rPr>
          <w:sz w:val="22"/>
          <w:lang w:val="en-GB"/>
        </w:rPr>
        <w:t xml:space="preserve">. </w:t>
      </w:r>
      <w:r w:rsidR="00EE2E34" w:rsidRPr="00AA2617">
        <w:rPr>
          <w:sz w:val="22"/>
          <w:lang w:val="en-GB"/>
        </w:rPr>
        <w:t xml:space="preserve"> All technical reports released by the PMU must be cleared by the BH and LTO. </w:t>
      </w:r>
      <w:r w:rsidR="00E65645" w:rsidRPr="00AA2617">
        <w:rPr>
          <w:sz w:val="22"/>
          <w:lang w:val="en-GB"/>
        </w:rPr>
        <w:t xml:space="preserve"> The </w:t>
      </w:r>
      <w:r w:rsidR="00EE2E34" w:rsidRPr="00AA2617">
        <w:rPr>
          <w:sz w:val="22"/>
          <w:lang w:val="en-GB"/>
        </w:rPr>
        <w:t>PSC may also require technical reports to be reviewed or cleared by the PSC or TWG</w:t>
      </w:r>
      <w:r w:rsidR="00E65645" w:rsidRPr="00AA2617">
        <w:rPr>
          <w:sz w:val="22"/>
          <w:lang w:val="en-GB"/>
        </w:rPr>
        <w:t xml:space="preserve">. </w:t>
      </w:r>
      <w:r w:rsidR="004F7472" w:rsidRPr="00AA2617">
        <w:rPr>
          <w:sz w:val="22"/>
          <w:lang w:val="en-GB"/>
        </w:rPr>
        <w:t xml:space="preserve"> </w:t>
      </w:r>
      <w:r w:rsidR="00E65645" w:rsidRPr="00AA2617">
        <w:rPr>
          <w:sz w:val="22"/>
          <w:lang w:val="en-GB"/>
        </w:rPr>
        <w:t xml:space="preserve">The LTO will be responsible for ensuring appropriate technical review and clearance of </w:t>
      </w:r>
      <w:r w:rsidR="004F7472" w:rsidRPr="00AA2617">
        <w:rPr>
          <w:sz w:val="22"/>
          <w:lang w:val="en-GB"/>
        </w:rPr>
        <w:t>technical</w:t>
      </w:r>
      <w:r w:rsidR="00E65645" w:rsidRPr="00AA2617">
        <w:rPr>
          <w:sz w:val="22"/>
          <w:lang w:val="en-GB"/>
        </w:rPr>
        <w:t xml:space="preserve"> </w:t>
      </w:r>
      <w:r w:rsidR="004F7472" w:rsidRPr="00AA2617">
        <w:rPr>
          <w:sz w:val="22"/>
          <w:lang w:val="en-GB"/>
        </w:rPr>
        <w:t xml:space="preserve">content in </w:t>
      </w:r>
      <w:r w:rsidR="00E65645" w:rsidRPr="00AA2617">
        <w:rPr>
          <w:sz w:val="22"/>
          <w:lang w:val="en-GB"/>
        </w:rPr>
        <w:t>report</w:t>
      </w:r>
      <w:r w:rsidR="004F7472" w:rsidRPr="00AA2617">
        <w:rPr>
          <w:sz w:val="22"/>
          <w:lang w:val="en-GB"/>
        </w:rPr>
        <w:t>s</w:t>
      </w:r>
      <w:r w:rsidR="00E65645" w:rsidRPr="00AA2617">
        <w:rPr>
          <w:sz w:val="22"/>
          <w:lang w:val="en-GB"/>
        </w:rPr>
        <w:t>.</w:t>
      </w:r>
      <w:r w:rsidR="004F7472" w:rsidRPr="00AA2617">
        <w:rPr>
          <w:sz w:val="22"/>
          <w:lang w:val="en-GB"/>
        </w:rPr>
        <w:t xml:space="preserve"> </w:t>
      </w:r>
      <w:r w:rsidR="00E65645" w:rsidRPr="00AA2617">
        <w:rPr>
          <w:sz w:val="22"/>
          <w:lang w:val="en-GB"/>
        </w:rPr>
        <w:t xml:space="preserve"> The BH will upload th</w:t>
      </w:r>
      <w:r w:rsidR="004F7472" w:rsidRPr="00AA2617">
        <w:rPr>
          <w:sz w:val="22"/>
          <w:lang w:val="en-GB"/>
        </w:rPr>
        <w:t>e final cleared reports to FAO’s FPMIS.  The PMU will ensure accessibility of technical reports to relevant stakeholders, including FAO’s PTF and the PSC.</w:t>
      </w:r>
    </w:p>
    <w:p w14:paraId="188ADF6A" w14:textId="77777777" w:rsidR="00E65645" w:rsidRPr="00AA2617" w:rsidRDefault="003D1AE3" w:rsidP="00AA2617">
      <w:pPr>
        <w:pStyle w:val="NumberedParagraph"/>
        <w:spacing w:before="120"/>
        <w:rPr>
          <w:sz w:val="22"/>
          <w:lang w:val="en-GB"/>
        </w:rPr>
      </w:pPr>
      <w:r w:rsidRPr="00AA2617">
        <w:rPr>
          <w:i/>
          <w:sz w:val="22"/>
          <w:lang w:val="en-GB"/>
        </w:rPr>
        <w:t>Co-financing r</w:t>
      </w:r>
      <w:r w:rsidR="00E65645" w:rsidRPr="00AA2617">
        <w:rPr>
          <w:i/>
          <w:sz w:val="22"/>
          <w:lang w:val="en-GB"/>
        </w:rPr>
        <w:t>eports</w:t>
      </w:r>
      <w:r w:rsidR="004F7472" w:rsidRPr="00AA2617">
        <w:rPr>
          <w:i/>
          <w:sz w:val="22"/>
          <w:lang w:val="en-GB"/>
        </w:rPr>
        <w:t>.</w:t>
      </w:r>
      <w:r w:rsidR="00E65645" w:rsidRPr="00AA2617">
        <w:rPr>
          <w:sz w:val="22"/>
          <w:lang w:val="en-GB"/>
        </w:rPr>
        <w:t xml:space="preserve"> </w:t>
      </w:r>
      <w:r w:rsidR="004F7472" w:rsidRPr="00AA2617">
        <w:rPr>
          <w:sz w:val="22"/>
          <w:lang w:val="en-GB"/>
        </w:rPr>
        <w:t xml:space="preserve"> </w:t>
      </w:r>
      <w:r w:rsidR="00E65645" w:rsidRPr="00AA2617">
        <w:rPr>
          <w:sz w:val="22"/>
          <w:lang w:val="en-GB"/>
        </w:rPr>
        <w:t xml:space="preserve">The </w:t>
      </w:r>
      <w:r w:rsidR="004F7472" w:rsidRPr="00AA2617">
        <w:rPr>
          <w:sz w:val="22"/>
          <w:lang w:val="en-GB"/>
        </w:rPr>
        <w:t xml:space="preserve">PMU will support the </w:t>
      </w:r>
      <w:r w:rsidR="00E65645" w:rsidRPr="00AA2617">
        <w:rPr>
          <w:sz w:val="22"/>
          <w:lang w:val="en-GB"/>
        </w:rPr>
        <w:t>BH</w:t>
      </w:r>
      <w:r w:rsidR="004F7472" w:rsidRPr="00AA2617">
        <w:rPr>
          <w:sz w:val="22"/>
          <w:lang w:val="en-GB"/>
        </w:rPr>
        <w:t xml:space="preserve"> in </w:t>
      </w:r>
      <w:r w:rsidR="00E65645" w:rsidRPr="00AA2617">
        <w:rPr>
          <w:sz w:val="22"/>
          <w:lang w:val="en-GB"/>
        </w:rPr>
        <w:t>reporting on co</w:t>
      </w:r>
      <w:r w:rsidR="004F7472" w:rsidRPr="00AA2617">
        <w:rPr>
          <w:sz w:val="22"/>
          <w:lang w:val="en-GB"/>
        </w:rPr>
        <w:t xml:space="preserve">-financing as required by FAO and GEF.  </w:t>
      </w:r>
      <w:r w:rsidR="00E65645" w:rsidRPr="00AA2617">
        <w:rPr>
          <w:sz w:val="22"/>
          <w:lang w:val="en-GB"/>
        </w:rPr>
        <w:t xml:space="preserve">The </w:t>
      </w:r>
      <w:r w:rsidR="004F7472" w:rsidRPr="00AA2617">
        <w:rPr>
          <w:sz w:val="22"/>
          <w:lang w:val="en-GB"/>
        </w:rPr>
        <w:t>PMU</w:t>
      </w:r>
      <w:r w:rsidR="00E65645" w:rsidRPr="00AA2617">
        <w:rPr>
          <w:sz w:val="22"/>
          <w:lang w:val="en-GB"/>
        </w:rPr>
        <w:t xml:space="preserve"> will compile the information received from </w:t>
      </w:r>
      <w:r w:rsidR="004F7472" w:rsidRPr="00AA2617">
        <w:rPr>
          <w:sz w:val="22"/>
          <w:lang w:val="en-GB"/>
        </w:rPr>
        <w:t>co</w:t>
      </w:r>
      <w:r w:rsidR="000E70D3" w:rsidRPr="00AA2617">
        <w:rPr>
          <w:sz w:val="22"/>
          <w:lang w:val="en-GB"/>
        </w:rPr>
        <w:t>-</w:t>
      </w:r>
      <w:r w:rsidR="004F7472" w:rsidRPr="00AA2617">
        <w:rPr>
          <w:sz w:val="22"/>
          <w:lang w:val="en-GB"/>
        </w:rPr>
        <w:t>financiers</w:t>
      </w:r>
      <w:r w:rsidR="00E65645" w:rsidRPr="00AA2617">
        <w:rPr>
          <w:sz w:val="22"/>
          <w:lang w:val="en-GB"/>
        </w:rPr>
        <w:t xml:space="preserve"> </w:t>
      </w:r>
      <w:r w:rsidR="004F7472" w:rsidRPr="00AA2617">
        <w:rPr>
          <w:sz w:val="22"/>
          <w:lang w:val="en-GB"/>
        </w:rPr>
        <w:t xml:space="preserve">for expenditures and activities from 1 July to 30 June </w:t>
      </w:r>
      <w:r w:rsidR="00E65645" w:rsidRPr="00AA2617">
        <w:rPr>
          <w:sz w:val="22"/>
          <w:lang w:val="en-GB"/>
        </w:rPr>
        <w:t xml:space="preserve">and transmit it </w:t>
      </w:r>
      <w:r w:rsidR="004F7472" w:rsidRPr="00AA2617">
        <w:rPr>
          <w:sz w:val="22"/>
          <w:lang w:val="en-GB"/>
        </w:rPr>
        <w:t xml:space="preserve">to the BH by mid-July of each project year.  The BH will ensure that the co-financing report is incorporated into the PIR by end-July each project year. </w:t>
      </w:r>
      <w:r w:rsidR="00E65645" w:rsidRPr="00AA2617">
        <w:rPr>
          <w:sz w:val="22"/>
          <w:lang w:val="en-GB"/>
        </w:rPr>
        <w:t xml:space="preserve"> The format and tables to report on co-financing are included in the PIR.</w:t>
      </w:r>
    </w:p>
    <w:p w14:paraId="22A992FE" w14:textId="77777777" w:rsidR="00E65645" w:rsidRPr="00AA2617" w:rsidRDefault="003D1AE3" w:rsidP="00AA2617">
      <w:pPr>
        <w:pStyle w:val="NumberedParagraph"/>
        <w:spacing w:before="120"/>
        <w:rPr>
          <w:sz w:val="22"/>
          <w:lang w:val="en-GB"/>
        </w:rPr>
      </w:pPr>
      <w:r w:rsidRPr="00AA2617">
        <w:rPr>
          <w:i/>
          <w:sz w:val="22"/>
          <w:lang w:val="en-GB"/>
        </w:rPr>
        <w:t>GEF Tracking Tool.</w:t>
      </w:r>
      <w:r w:rsidR="00E65645" w:rsidRPr="00AA2617">
        <w:rPr>
          <w:sz w:val="22"/>
          <w:lang w:val="en-GB"/>
        </w:rPr>
        <w:t xml:space="preserve"> </w:t>
      </w:r>
      <w:r w:rsidRPr="00AA2617">
        <w:rPr>
          <w:sz w:val="22"/>
          <w:lang w:val="en-GB"/>
        </w:rPr>
        <w:t xml:space="preserve"> </w:t>
      </w:r>
      <w:r w:rsidR="00E65645" w:rsidRPr="00AA2617">
        <w:rPr>
          <w:sz w:val="22"/>
          <w:lang w:val="en-GB"/>
        </w:rPr>
        <w:t xml:space="preserve">The </w:t>
      </w:r>
      <w:r w:rsidRPr="00AA2617">
        <w:rPr>
          <w:sz w:val="22"/>
          <w:lang w:val="en-GB"/>
        </w:rPr>
        <w:t>PMU</w:t>
      </w:r>
      <w:r w:rsidR="00E65645" w:rsidRPr="00AA2617">
        <w:rPr>
          <w:sz w:val="22"/>
          <w:lang w:val="en-GB"/>
        </w:rPr>
        <w:t xml:space="preserve"> will u</w:t>
      </w:r>
      <w:r w:rsidRPr="00AA2617">
        <w:rPr>
          <w:sz w:val="22"/>
          <w:lang w:val="en-GB"/>
        </w:rPr>
        <w:t>pdate the relevant indicators of the CBIT Tracking Tool</w:t>
      </w:r>
      <w:r w:rsidR="00E65645" w:rsidRPr="00AA2617">
        <w:rPr>
          <w:sz w:val="22"/>
          <w:lang w:val="en-GB"/>
        </w:rPr>
        <w:t xml:space="preserve"> in </w:t>
      </w:r>
      <w:r w:rsidRPr="00AA2617">
        <w:rPr>
          <w:sz w:val="22"/>
          <w:lang w:val="en-GB"/>
        </w:rPr>
        <w:t xml:space="preserve">consultation with relevant stakeholders, particularly the PTF, PSC, and chair of the TWG.  The PMU </w:t>
      </w:r>
      <w:r w:rsidR="00E65645" w:rsidRPr="00AA2617">
        <w:rPr>
          <w:sz w:val="22"/>
          <w:lang w:val="en-GB"/>
        </w:rPr>
        <w:t>will update</w:t>
      </w:r>
      <w:r w:rsidRPr="00AA2617">
        <w:rPr>
          <w:sz w:val="22"/>
          <w:lang w:val="en-GB"/>
        </w:rPr>
        <w:t xml:space="preserve"> the CBIT Tracking Tool</w:t>
      </w:r>
      <w:r w:rsidR="00E65645" w:rsidRPr="00AA2617">
        <w:rPr>
          <w:sz w:val="22"/>
          <w:lang w:val="en-GB"/>
        </w:rPr>
        <w:t xml:space="preserve"> at the project’s mid-</w:t>
      </w:r>
      <w:r w:rsidRPr="00AA2617">
        <w:rPr>
          <w:sz w:val="22"/>
          <w:lang w:val="en-GB"/>
        </w:rPr>
        <w:t xml:space="preserve">point and in preparation for </w:t>
      </w:r>
      <w:r w:rsidR="00E65645" w:rsidRPr="00AA2617">
        <w:rPr>
          <w:sz w:val="22"/>
          <w:lang w:val="en-GB"/>
        </w:rPr>
        <w:t xml:space="preserve">the project’s terminal evaluation or final completion report. </w:t>
      </w:r>
      <w:r w:rsidRPr="00AA2617">
        <w:rPr>
          <w:sz w:val="22"/>
          <w:lang w:val="en-GB"/>
        </w:rPr>
        <w:t xml:space="preserve"> The FLO will upload the submitted CBIT Tracking Tool</w:t>
      </w:r>
      <w:r w:rsidR="00E65645" w:rsidRPr="00AA2617">
        <w:rPr>
          <w:sz w:val="22"/>
          <w:lang w:val="en-GB"/>
        </w:rPr>
        <w:t xml:space="preserve"> </w:t>
      </w:r>
      <w:r w:rsidRPr="00AA2617">
        <w:rPr>
          <w:sz w:val="22"/>
          <w:lang w:val="en-GB"/>
        </w:rPr>
        <w:t>to FAO’s</w:t>
      </w:r>
      <w:r w:rsidR="00E65645" w:rsidRPr="00AA2617">
        <w:rPr>
          <w:sz w:val="22"/>
          <w:lang w:val="en-GB"/>
        </w:rPr>
        <w:t xml:space="preserve"> FPMIS.</w:t>
      </w:r>
      <w:r w:rsidRPr="00AA2617">
        <w:rPr>
          <w:sz w:val="22"/>
          <w:lang w:val="en-GB"/>
        </w:rPr>
        <w:t xml:space="preserve"> </w:t>
      </w:r>
      <w:r w:rsidR="00E65645" w:rsidRPr="00AA2617">
        <w:rPr>
          <w:sz w:val="22"/>
          <w:lang w:val="en-GB"/>
        </w:rPr>
        <w:t xml:space="preserve"> The LTO will ensure the</w:t>
      </w:r>
      <w:r w:rsidRPr="00AA2617">
        <w:rPr>
          <w:sz w:val="22"/>
          <w:lang w:val="en-GB"/>
        </w:rPr>
        <w:t xml:space="preserve"> technical accuracy of the submission</w:t>
      </w:r>
      <w:r w:rsidR="00E65645" w:rsidRPr="00AA2617">
        <w:rPr>
          <w:sz w:val="22"/>
          <w:lang w:val="en-GB"/>
        </w:rPr>
        <w:t>.</w:t>
      </w:r>
    </w:p>
    <w:p w14:paraId="5E78D790" w14:textId="77777777" w:rsidR="00275BEA" w:rsidRPr="00AA2617" w:rsidRDefault="00275BEA" w:rsidP="00AA2617">
      <w:pPr>
        <w:pStyle w:val="NumberedParagraph"/>
        <w:spacing w:before="120"/>
        <w:rPr>
          <w:sz w:val="22"/>
          <w:lang w:val="en-GB"/>
        </w:rPr>
      </w:pPr>
      <w:r w:rsidRPr="00AA2617">
        <w:rPr>
          <w:i/>
          <w:sz w:val="22"/>
          <w:lang w:val="en-GB"/>
        </w:rPr>
        <w:t>Terminal Report.</w:t>
      </w:r>
      <w:r w:rsidR="00E65645" w:rsidRPr="00AA2617">
        <w:rPr>
          <w:sz w:val="22"/>
          <w:lang w:val="en-GB"/>
        </w:rPr>
        <w:t xml:space="preserve"> </w:t>
      </w:r>
      <w:r w:rsidRPr="00AA2617">
        <w:rPr>
          <w:sz w:val="22"/>
          <w:lang w:val="en-GB"/>
        </w:rPr>
        <w:t xml:space="preserve"> The main purpose of the Terminal Report is to reflect the findings of the Terminal Evaluation, give guidance on the policy decisions required for the follow-up of the project, and to provide the donor with information on how the funds were utilized.  The report is accordingly a concise account of the main products, results, conclusions, and recommendations of the project, without unnecessary background, narrative, or technical details.  The target audience consists of persons who are not necessarily technical specialists but who need to understand the policy implications of technical findings and steps to ensure sustainability of the project’s results.</w:t>
      </w:r>
    </w:p>
    <w:p w14:paraId="5CF29F7B" w14:textId="0F4FD1DC" w:rsidR="00E65645" w:rsidRPr="00AA2617" w:rsidRDefault="00E65645" w:rsidP="00AA2617">
      <w:pPr>
        <w:pStyle w:val="NumberedParagraph"/>
        <w:spacing w:before="120"/>
        <w:rPr>
          <w:sz w:val="22"/>
          <w:lang w:val="en-GB"/>
        </w:rPr>
      </w:pPr>
      <w:r w:rsidRPr="00AA2617">
        <w:rPr>
          <w:sz w:val="22"/>
          <w:lang w:val="en-GB"/>
        </w:rPr>
        <w:t xml:space="preserve">The </w:t>
      </w:r>
      <w:r w:rsidR="00275BEA" w:rsidRPr="00AA2617">
        <w:rPr>
          <w:sz w:val="22"/>
          <w:lang w:val="en-GB"/>
        </w:rPr>
        <w:t>PMU</w:t>
      </w:r>
      <w:r w:rsidRPr="00AA2617">
        <w:rPr>
          <w:sz w:val="22"/>
          <w:lang w:val="en-GB"/>
        </w:rPr>
        <w:t xml:space="preserve"> will prepare the Terminal Report. </w:t>
      </w:r>
      <w:r w:rsidR="00275BEA" w:rsidRPr="00AA2617">
        <w:rPr>
          <w:sz w:val="22"/>
          <w:lang w:val="en-GB"/>
        </w:rPr>
        <w:t xml:space="preserve"> The PMU will submit a drafted Terminal Report to the </w:t>
      </w:r>
      <w:r w:rsidR="00A11ECA" w:rsidRPr="00AA2617">
        <w:rPr>
          <w:sz w:val="22"/>
          <w:lang w:val="en-GB"/>
        </w:rPr>
        <w:t xml:space="preserve">PTF </w:t>
      </w:r>
      <w:r w:rsidR="00275BEA" w:rsidRPr="00AA2617">
        <w:rPr>
          <w:sz w:val="22"/>
          <w:lang w:val="en-GB"/>
        </w:rPr>
        <w:t>t</w:t>
      </w:r>
      <w:r w:rsidRPr="00AA2617">
        <w:rPr>
          <w:sz w:val="22"/>
          <w:lang w:val="en-GB"/>
        </w:rPr>
        <w:t>hree months before the project</w:t>
      </w:r>
      <w:r w:rsidR="00275BEA" w:rsidRPr="00AA2617">
        <w:rPr>
          <w:sz w:val="22"/>
          <w:lang w:val="en-GB"/>
        </w:rPr>
        <w:t xml:space="preserve">’s end date (NTE) </w:t>
      </w:r>
      <w:r w:rsidRPr="00AA2617">
        <w:rPr>
          <w:sz w:val="22"/>
          <w:lang w:val="en-GB"/>
        </w:rPr>
        <w:t>and prior to the completion of the Terminal Evaluat</w:t>
      </w:r>
      <w:r w:rsidR="00275BEA" w:rsidRPr="00AA2617">
        <w:rPr>
          <w:sz w:val="22"/>
          <w:lang w:val="en-GB"/>
        </w:rPr>
        <w:t>ion (TE) exercise</w:t>
      </w:r>
      <w:r w:rsidRPr="00AA2617">
        <w:rPr>
          <w:sz w:val="22"/>
          <w:lang w:val="en-GB"/>
        </w:rPr>
        <w:t>.</w:t>
      </w:r>
      <w:r w:rsidR="00275BEA" w:rsidRPr="00AA2617">
        <w:rPr>
          <w:sz w:val="22"/>
          <w:lang w:val="en-GB"/>
        </w:rPr>
        <w:t xml:space="preserve"> </w:t>
      </w:r>
      <w:r w:rsidRPr="00AA2617">
        <w:rPr>
          <w:sz w:val="22"/>
          <w:lang w:val="en-GB"/>
        </w:rPr>
        <w:t xml:space="preserve"> </w:t>
      </w:r>
      <w:r w:rsidR="00275BEA" w:rsidRPr="00AA2617">
        <w:rPr>
          <w:sz w:val="22"/>
          <w:lang w:val="en-GB"/>
        </w:rPr>
        <w:t>The PMU will revise the Terminal Report based on the findings of the Terminal Evaluation and feedback from PTF.  Upon approval of the LTO and BH, the BH will submit the Terminal Report to FAO’s GEF-Coordination Unit.</w:t>
      </w:r>
    </w:p>
    <w:p w14:paraId="62DD084D" w14:textId="77777777" w:rsidR="00E65645" w:rsidRPr="00AA2617" w:rsidRDefault="00E65645" w:rsidP="00AA2617">
      <w:pPr>
        <w:pStyle w:val="Heading3"/>
        <w:spacing w:before="40" w:after="0"/>
        <w:rPr>
          <w:b/>
          <w:lang w:val="en-GB"/>
        </w:rPr>
      </w:pPr>
      <w:bookmarkStart w:id="161" w:name="_Toc510013455"/>
      <w:bookmarkStart w:id="162" w:name="_Toc513464460"/>
      <w:bookmarkStart w:id="163" w:name="_Toc9249211"/>
      <w:r w:rsidRPr="00AA2617">
        <w:rPr>
          <w:b/>
          <w:lang w:val="en-GB"/>
        </w:rPr>
        <w:t>Evaluation</w:t>
      </w:r>
      <w:bookmarkEnd w:id="161"/>
      <w:bookmarkEnd w:id="162"/>
      <w:bookmarkEnd w:id="163"/>
    </w:p>
    <w:p w14:paraId="4EE4201F" w14:textId="1D948317" w:rsidR="0042652A" w:rsidRPr="00AA2617" w:rsidRDefault="0042652A" w:rsidP="00AA2617">
      <w:pPr>
        <w:pStyle w:val="NumberedParagraph"/>
        <w:spacing w:before="120"/>
        <w:rPr>
          <w:sz w:val="22"/>
          <w:lang w:val="en-GB"/>
        </w:rPr>
      </w:pPr>
      <w:r w:rsidRPr="00AA2617">
        <w:rPr>
          <w:sz w:val="22"/>
          <w:lang w:val="en-GB"/>
        </w:rPr>
        <w:t>Independent Midterm review (MTR) of the CBIT project will be undertaken in the middle point of the project implementation phase. It is expected that the MTR will fall in the first quarter of 2nd year of the project.   The MTR will review progress and effectiveness of implementation in terms of achieving the project objectives, outcomes and outputs. Findings and recommendations of this review will be instrumental in bringing improvement into the overall project design and execution strategy for the remaining period of the project’s implementation and management.</w:t>
      </w:r>
    </w:p>
    <w:p w14:paraId="20B134AF" w14:textId="77777777" w:rsidR="0042652A" w:rsidRPr="00AA2617" w:rsidRDefault="0042652A" w:rsidP="00AA2617">
      <w:pPr>
        <w:pStyle w:val="NumberedParagraph"/>
        <w:spacing w:before="120"/>
        <w:rPr>
          <w:sz w:val="22"/>
          <w:lang w:val="en-GB"/>
        </w:rPr>
      </w:pPr>
      <w:r w:rsidRPr="00AA2617">
        <w:rPr>
          <w:sz w:val="22"/>
          <w:lang w:val="en-GB"/>
        </w:rPr>
        <w:lastRenderedPageBreak/>
        <w:t xml:space="preserve">Based on the recommendation of the MTR, Results matrix, log frame, work-plan, and budget will also be revised to better align the project towards its intended outcomes. M&amp;E tools will also be updated as and when required to ensure quality and consistency in data collection, data analysis and reporting. </w:t>
      </w:r>
    </w:p>
    <w:p w14:paraId="493ED4DF" w14:textId="77777777" w:rsidR="0042652A" w:rsidRPr="00AA2617" w:rsidRDefault="0042652A" w:rsidP="00AA2617">
      <w:pPr>
        <w:pStyle w:val="NumberedParagraph"/>
        <w:spacing w:before="120"/>
        <w:rPr>
          <w:sz w:val="22"/>
          <w:lang w:val="en-GB"/>
        </w:rPr>
      </w:pPr>
      <w:r w:rsidRPr="00AA2617">
        <w:rPr>
          <w:sz w:val="22"/>
          <w:lang w:val="en-GB"/>
        </w:rPr>
        <w:t>A Final Evaluation will be initiated six months prior to the actual completion date (NTE) of the project.  FAO Office of Evaluation, in consultation with project stakeholders, will be responsible for launching, organizing and backstopping the Final Evaluation, including: finalizing the ToR, selecting and backstopping the team and Quality Assurance of the final report.</w:t>
      </w:r>
    </w:p>
    <w:p w14:paraId="0A794ACD" w14:textId="77777777" w:rsidR="0042652A" w:rsidRPr="00AA2617" w:rsidRDefault="0042652A" w:rsidP="00AA2617">
      <w:pPr>
        <w:pStyle w:val="NumberedParagraph"/>
        <w:spacing w:before="120"/>
        <w:rPr>
          <w:sz w:val="22"/>
          <w:lang w:val="en-GB"/>
        </w:rPr>
      </w:pPr>
      <w:r w:rsidRPr="00AA2617">
        <w:rPr>
          <w:sz w:val="22"/>
          <w:lang w:val="en-GB"/>
        </w:rPr>
        <w:t xml:space="preserve">The evaluation will be implemented in Sri Lanka and may be clustered with the regional evaluation of CBIT interventions in Asia / South Asia. A rigorous monitoring system will be developed during the project start-up phase to facilitate the measurement and assessment of project performance during implementation and at final evaluation stage, as well as comparison of results achieved across CBIT interventions.. The evaluation will be conducted through an inclusive process and in coordination with all relevant stakeholders, such as the national counterpart, the Project Steering Committee, the FAO-GEF Coordination Unit and the national GEF focal points </w:t>
      </w:r>
    </w:p>
    <w:p w14:paraId="6A376181" w14:textId="77777777" w:rsidR="0042652A" w:rsidRPr="00AA2617" w:rsidRDefault="0042652A" w:rsidP="00AA2617">
      <w:pPr>
        <w:pStyle w:val="NumberedParagraph"/>
        <w:spacing w:before="120"/>
        <w:rPr>
          <w:sz w:val="22"/>
          <w:lang w:val="en-GB"/>
        </w:rPr>
      </w:pPr>
      <w:r w:rsidRPr="00AA2617">
        <w:rPr>
          <w:sz w:val="22"/>
          <w:lang w:val="en-GB"/>
        </w:rPr>
        <w:t xml:space="preserve">The final evaluation will focus on the achievement of outcomes and their sustainability, as well as on the potential impacts of the intervention, in line with GEF Guidelines and FAO/UNEG Evaluation Standards and Policy. The Project's effects on gender equality and women's empowerment, human rights, capacity development, and environmental sustainability will also be explored. </w:t>
      </w:r>
    </w:p>
    <w:p w14:paraId="69A47331" w14:textId="53ACA42C" w:rsidR="0042652A" w:rsidRPr="00AA2617" w:rsidRDefault="0042652A" w:rsidP="00AA2617">
      <w:pPr>
        <w:pStyle w:val="NumberedParagraph"/>
        <w:spacing w:before="120"/>
        <w:rPr>
          <w:sz w:val="22"/>
          <w:lang w:val="en-GB"/>
        </w:rPr>
      </w:pPr>
      <w:r w:rsidRPr="00AA2617">
        <w:rPr>
          <w:sz w:val="22"/>
          <w:lang w:val="en-GB"/>
        </w:rPr>
        <w:t>Findings and recommendations of this evaluation will be instrumental for bringing improvement in the overall project design and execution strategy for similar future interventions. FAO will arrange for the evaluation in consultation with the project partners. The evaluation will, inter alia:</w:t>
      </w:r>
    </w:p>
    <w:p w14:paraId="6199DC88" w14:textId="77777777" w:rsidR="0042652A" w:rsidRPr="00AA2617" w:rsidRDefault="0042652A" w:rsidP="00AA2617">
      <w:pPr>
        <w:pStyle w:val="NumberedParagraph"/>
        <w:numPr>
          <w:ilvl w:val="0"/>
          <w:numId w:val="47"/>
        </w:numPr>
        <w:rPr>
          <w:rFonts w:eastAsia="SimSun"/>
          <w:lang w:eastAsia="en-GB"/>
        </w:rPr>
      </w:pPr>
      <w:r w:rsidRPr="00AA2617">
        <w:rPr>
          <w:rFonts w:eastAsia="SimSun"/>
          <w:lang w:eastAsia="en-GB"/>
        </w:rPr>
        <w:t>review the relevance, effectiveness, efficiency and sustainability of project results; and</w:t>
      </w:r>
    </w:p>
    <w:p w14:paraId="66AE4178" w14:textId="77777777" w:rsidR="0042652A" w:rsidRPr="00AA2617" w:rsidRDefault="0042652A" w:rsidP="00AA2617">
      <w:pPr>
        <w:pStyle w:val="NumberedParagraph"/>
        <w:numPr>
          <w:ilvl w:val="0"/>
          <w:numId w:val="47"/>
        </w:numPr>
        <w:rPr>
          <w:rFonts w:eastAsia="SimSun"/>
          <w:lang w:eastAsia="en-GB"/>
        </w:rPr>
      </w:pPr>
      <w:r w:rsidRPr="00AA2617">
        <w:rPr>
          <w:rFonts w:eastAsia="SimSun"/>
          <w:lang w:eastAsia="en-GB"/>
        </w:rPr>
        <w:t>highlight results and lessons learned derived from project design, implementation, and management.</w:t>
      </w:r>
    </w:p>
    <w:p w14:paraId="4612804B" w14:textId="77777777" w:rsidR="0042652A" w:rsidRPr="00AA2617" w:rsidRDefault="0042652A" w:rsidP="00AA2617">
      <w:r w:rsidRPr="00AA2617">
        <w:t>Separate analysis, reporting ratings and co-funding tables will be produced for each project.</w:t>
      </w:r>
    </w:p>
    <w:p w14:paraId="1F6B8DF2" w14:textId="77777777" w:rsidR="00E65645" w:rsidRPr="00AA2617" w:rsidRDefault="0058639F" w:rsidP="00AA2617">
      <w:pPr>
        <w:pStyle w:val="Heading3"/>
        <w:spacing w:before="40" w:after="0"/>
        <w:rPr>
          <w:b/>
          <w:szCs w:val="22"/>
          <w:lang w:val="en-GB"/>
        </w:rPr>
      </w:pPr>
      <w:bookmarkStart w:id="164" w:name="_Toc510013456"/>
      <w:bookmarkStart w:id="165" w:name="_Toc513464461"/>
      <w:bookmarkStart w:id="166" w:name="_Toc9249212"/>
      <w:r w:rsidRPr="00AA2617">
        <w:rPr>
          <w:b/>
          <w:szCs w:val="22"/>
          <w:lang w:val="en-GB"/>
        </w:rPr>
        <w:t>Summary of M&amp;E A</w:t>
      </w:r>
      <w:r w:rsidR="00E65645" w:rsidRPr="00AA2617">
        <w:rPr>
          <w:b/>
          <w:szCs w:val="22"/>
          <w:lang w:val="en-GB"/>
        </w:rPr>
        <w:t>rrangement</w:t>
      </w:r>
      <w:bookmarkEnd w:id="164"/>
      <w:bookmarkEnd w:id="165"/>
      <w:r w:rsidRPr="00AA2617">
        <w:rPr>
          <w:b/>
          <w:szCs w:val="22"/>
          <w:lang w:val="en-GB"/>
        </w:rPr>
        <w:t>s</w:t>
      </w:r>
      <w:bookmarkEnd w:id="166"/>
    </w:p>
    <w:p w14:paraId="7C312CDD" w14:textId="0FBC2B16" w:rsidR="00E65645" w:rsidRPr="00AA2617" w:rsidRDefault="007D0F3F" w:rsidP="00AA2617">
      <w:pPr>
        <w:pStyle w:val="Caption"/>
        <w:keepNext/>
        <w:spacing w:before="240" w:after="120"/>
        <w:jc w:val="center"/>
        <w:rPr>
          <w:i w:val="0"/>
          <w:color w:val="auto"/>
          <w:sz w:val="22"/>
          <w:szCs w:val="22"/>
          <w:lang w:val="en-GB"/>
        </w:rPr>
      </w:pPr>
      <w:r w:rsidRPr="00AA2617">
        <w:rPr>
          <w:i w:val="0"/>
          <w:color w:val="auto"/>
          <w:sz w:val="22"/>
          <w:szCs w:val="22"/>
          <w:lang w:val="en-GB"/>
        </w:rPr>
        <w:t xml:space="preserve">Table </w:t>
      </w:r>
      <w:r w:rsidR="00685CC4" w:rsidRPr="00AA2617">
        <w:rPr>
          <w:i w:val="0"/>
          <w:color w:val="auto"/>
          <w:sz w:val="22"/>
          <w:szCs w:val="22"/>
          <w:lang w:val="en-GB"/>
        </w:rPr>
        <w:t>10</w:t>
      </w:r>
      <w:r w:rsidRPr="00AA2617">
        <w:rPr>
          <w:i w:val="0"/>
          <w:color w:val="auto"/>
          <w:sz w:val="22"/>
          <w:szCs w:val="22"/>
          <w:lang w:val="en-GB"/>
        </w:rPr>
        <w:t>.  Summary of M&amp;E Arrangements</w:t>
      </w:r>
    </w:p>
    <w:tbl>
      <w:tblPr>
        <w:tblStyle w:val="TableGrid"/>
        <w:tblW w:w="0" w:type="auto"/>
        <w:jc w:val="center"/>
        <w:tblLook w:val="04A0" w:firstRow="1" w:lastRow="0" w:firstColumn="1" w:lastColumn="0" w:noHBand="0" w:noVBand="1"/>
      </w:tblPr>
      <w:tblGrid>
        <w:gridCol w:w="1844"/>
        <w:gridCol w:w="2406"/>
        <w:gridCol w:w="2469"/>
        <w:gridCol w:w="2029"/>
      </w:tblGrid>
      <w:tr w:rsidR="00E65645" w:rsidRPr="00AA2617" w14:paraId="76F2F8EC" w14:textId="77777777" w:rsidTr="00FD7D0F">
        <w:trPr>
          <w:tblHeader/>
          <w:jc w:val="center"/>
        </w:trPr>
        <w:tc>
          <w:tcPr>
            <w:tcW w:w="1844" w:type="dxa"/>
            <w:shd w:val="clear" w:color="auto" w:fill="B4C6E7" w:themeFill="accent1" w:themeFillTint="66"/>
            <w:vAlign w:val="center"/>
          </w:tcPr>
          <w:p w14:paraId="05932415" w14:textId="77777777" w:rsidR="00E65645" w:rsidRPr="00AA2617" w:rsidRDefault="00E65645" w:rsidP="00AA2617">
            <w:pPr>
              <w:keepNext/>
              <w:spacing w:before="40" w:after="40"/>
              <w:jc w:val="left"/>
              <w:rPr>
                <w:rFonts w:cs="Times New Roman"/>
                <w:sz w:val="22"/>
                <w:lang w:val="en-GB"/>
              </w:rPr>
            </w:pPr>
            <w:bookmarkStart w:id="167" w:name="_Hlk8911907"/>
            <w:r w:rsidRPr="00AA2617">
              <w:rPr>
                <w:rFonts w:cs="Times New Roman"/>
                <w:sz w:val="22"/>
                <w:lang w:val="en-GB"/>
              </w:rPr>
              <w:t>M&amp;E activity</w:t>
            </w:r>
          </w:p>
        </w:tc>
        <w:tc>
          <w:tcPr>
            <w:tcW w:w="2406" w:type="dxa"/>
            <w:shd w:val="clear" w:color="auto" w:fill="B4C6E7" w:themeFill="accent1" w:themeFillTint="66"/>
            <w:vAlign w:val="center"/>
          </w:tcPr>
          <w:p w14:paraId="78DBEE9A" w14:textId="77777777" w:rsidR="00E65645" w:rsidRPr="00AA2617" w:rsidRDefault="00E65645" w:rsidP="00AA2617">
            <w:pPr>
              <w:keepNext/>
              <w:spacing w:before="40" w:after="40"/>
              <w:jc w:val="left"/>
              <w:rPr>
                <w:rFonts w:cs="Times New Roman"/>
                <w:sz w:val="22"/>
                <w:lang w:val="en-GB"/>
              </w:rPr>
            </w:pPr>
            <w:r w:rsidRPr="00AA2617">
              <w:rPr>
                <w:rFonts w:cs="Times New Roman"/>
                <w:sz w:val="22"/>
                <w:lang w:val="en-GB"/>
              </w:rPr>
              <w:t>Responsible party(ies)</w:t>
            </w:r>
          </w:p>
        </w:tc>
        <w:tc>
          <w:tcPr>
            <w:tcW w:w="2469" w:type="dxa"/>
            <w:shd w:val="clear" w:color="auto" w:fill="B4C6E7" w:themeFill="accent1" w:themeFillTint="66"/>
            <w:vAlign w:val="center"/>
          </w:tcPr>
          <w:p w14:paraId="285D73E5" w14:textId="77777777" w:rsidR="00E65645" w:rsidRPr="00AA2617" w:rsidRDefault="007D0F3F" w:rsidP="00AA2617">
            <w:pPr>
              <w:keepNext/>
              <w:spacing w:before="40" w:after="40"/>
              <w:jc w:val="left"/>
              <w:rPr>
                <w:rFonts w:cs="Times New Roman"/>
                <w:sz w:val="22"/>
                <w:lang w:val="en-GB"/>
              </w:rPr>
            </w:pPr>
            <w:r w:rsidRPr="00AA2617">
              <w:rPr>
                <w:rFonts w:cs="Times New Roman"/>
                <w:sz w:val="22"/>
                <w:lang w:val="en-GB"/>
              </w:rPr>
              <w:t>Schedule or Deadline</w:t>
            </w:r>
          </w:p>
        </w:tc>
        <w:tc>
          <w:tcPr>
            <w:tcW w:w="2029" w:type="dxa"/>
            <w:shd w:val="clear" w:color="auto" w:fill="B4C6E7" w:themeFill="accent1" w:themeFillTint="66"/>
            <w:vAlign w:val="center"/>
          </w:tcPr>
          <w:p w14:paraId="2433EC0A" w14:textId="77777777" w:rsidR="00E65645" w:rsidRPr="00AA2617" w:rsidRDefault="00E65645" w:rsidP="00AA2617">
            <w:pPr>
              <w:keepNext/>
              <w:spacing w:before="40" w:after="40"/>
              <w:jc w:val="left"/>
              <w:rPr>
                <w:rFonts w:cs="Times New Roman"/>
                <w:sz w:val="22"/>
                <w:lang w:val="en-GB"/>
              </w:rPr>
            </w:pPr>
            <w:r w:rsidRPr="00AA2617">
              <w:rPr>
                <w:rFonts w:cs="Times New Roman"/>
                <w:sz w:val="22"/>
                <w:lang w:val="en-GB"/>
              </w:rPr>
              <w:t>Budget</w:t>
            </w:r>
          </w:p>
        </w:tc>
      </w:tr>
      <w:tr w:rsidR="00E65645" w:rsidRPr="00AA2617" w14:paraId="14846EE0" w14:textId="77777777" w:rsidTr="0058639F">
        <w:trPr>
          <w:cantSplit/>
          <w:jc w:val="center"/>
        </w:trPr>
        <w:tc>
          <w:tcPr>
            <w:tcW w:w="1844" w:type="dxa"/>
          </w:tcPr>
          <w:p w14:paraId="624465E6"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Inception Workshop</w:t>
            </w:r>
            <w:r w:rsidR="00306A68" w:rsidRPr="00AA2617">
              <w:rPr>
                <w:rFonts w:cs="Times New Roman"/>
                <w:sz w:val="20"/>
                <w:lang w:val="en-GB"/>
              </w:rPr>
              <w:t xml:space="preserve"> &amp; Report</w:t>
            </w:r>
          </w:p>
        </w:tc>
        <w:tc>
          <w:tcPr>
            <w:tcW w:w="2406" w:type="dxa"/>
          </w:tcPr>
          <w:p w14:paraId="7506259B" w14:textId="77777777" w:rsidR="00E65645" w:rsidRPr="00AA2617" w:rsidRDefault="007D0F3F" w:rsidP="00AA2617">
            <w:pPr>
              <w:keepLines/>
              <w:spacing w:before="40" w:after="40"/>
              <w:jc w:val="left"/>
              <w:rPr>
                <w:rFonts w:cs="Times New Roman"/>
                <w:sz w:val="20"/>
                <w:lang w:val="en-GB"/>
              </w:rPr>
            </w:pPr>
            <w:r w:rsidRPr="00AA2617">
              <w:rPr>
                <w:rFonts w:cs="Times New Roman"/>
                <w:sz w:val="20"/>
                <w:lang w:val="en-GB"/>
              </w:rPr>
              <w:t>PMU</w:t>
            </w:r>
            <w:r w:rsidR="00E65645" w:rsidRPr="00AA2617">
              <w:rPr>
                <w:rFonts w:cs="Times New Roman"/>
                <w:sz w:val="20"/>
                <w:lang w:val="en-GB"/>
              </w:rPr>
              <w:t xml:space="preserve"> in consultation with the </w:t>
            </w:r>
            <w:r w:rsidRPr="00AA2617">
              <w:rPr>
                <w:rFonts w:cs="Times New Roman"/>
                <w:sz w:val="20"/>
                <w:lang w:val="en-GB"/>
              </w:rPr>
              <w:t>PTF</w:t>
            </w:r>
            <w:r w:rsidR="00E65645" w:rsidRPr="00AA2617">
              <w:rPr>
                <w:rFonts w:cs="Times New Roman"/>
                <w:sz w:val="20"/>
                <w:lang w:val="en-GB"/>
              </w:rPr>
              <w:t xml:space="preserve"> and PSC</w:t>
            </w:r>
          </w:p>
        </w:tc>
        <w:tc>
          <w:tcPr>
            <w:tcW w:w="2469" w:type="dxa"/>
          </w:tcPr>
          <w:p w14:paraId="07DDB195"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Within one month following project start-up</w:t>
            </w:r>
          </w:p>
        </w:tc>
        <w:tc>
          <w:tcPr>
            <w:tcW w:w="2029" w:type="dxa"/>
          </w:tcPr>
          <w:p w14:paraId="5EF267C9" w14:textId="77777777" w:rsidR="00E65645" w:rsidRPr="00AA2617" w:rsidRDefault="00306A68" w:rsidP="00AA2617">
            <w:pPr>
              <w:keepLines/>
              <w:spacing w:before="40" w:after="40"/>
              <w:jc w:val="left"/>
              <w:rPr>
                <w:rFonts w:cs="Times New Roman"/>
                <w:sz w:val="20"/>
                <w:lang w:val="en-GB"/>
              </w:rPr>
            </w:pPr>
            <w:r w:rsidRPr="00AA2617">
              <w:rPr>
                <w:rFonts w:cs="Times New Roman"/>
                <w:sz w:val="20"/>
                <w:lang w:val="en-GB"/>
              </w:rPr>
              <w:t>USD 5</w:t>
            </w:r>
            <w:r w:rsidR="00E65645" w:rsidRPr="00AA2617">
              <w:rPr>
                <w:rFonts w:cs="Times New Roman"/>
                <w:sz w:val="20"/>
                <w:lang w:val="en-GB"/>
              </w:rPr>
              <w:t>,000</w:t>
            </w:r>
          </w:p>
        </w:tc>
      </w:tr>
      <w:tr w:rsidR="00E65645" w:rsidRPr="00AA2617" w14:paraId="638262EC" w14:textId="77777777" w:rsidTr="0058639F">
        <w:trPr>
          <w:cantSplit/>
          <w:jc w:val="center"/>
        </w:trPr>
        <w:tc>
          <w:tcPr>
            <w:tcW w:w="1844" w:type="dxa"/>
          </w:tcPr>
          <w:p w14:paraId="379E4D95"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Results-based Annual Work Plan and Budget (AWP/B)</w:t>
            </w:r>
          </w:p>
        </w:tc>
        <w:tc>
          <w:tcPr>
            <w:tcW w:w="2406" w:type="dxa"/>
          </w:tcPr>
          <w:p w14:paraId="4F132E89" w14:textId="10704141" w:rsidR="00E65645" w:rsidRPr="00AA2617" w:rsidRDefault="007D0F3F" w:rsidP="00AA2617">
            <w:pPr>
              <w:keepLines/>
              <w:spacing w:before="40" w:after="40"/>
              <w:jc w:val="left"/>
              <w:rPr>
                <w:rFonts w:cs="Times New Roman"/>
                <w:sz w:val="20"/>
                <w:lang w:val="en-GB"/>
              </w:rPr>
            </w:pPr>
            <w:r w:rsidRPr="00AA2617">
              <w:rPr>
                <w:rFonts w:cs="Times New Roman"/>
                <w:sz w:val="20"/>
                <w:lang w:val="en-GB"/>
              </w:rPr>
              <w:t>PMU</w:t>
            </w:r>
            <w:r w:rsidR="00E65645" w:rsidRPr="00AA2617">
              <w:rPr>
                <w:rFonts w:cs="Times New Roman"/>
                <w:sz w:val="20"/>
                <w:lang w:val="en-GB"/>
              </w:rPr>
              <w:t xml:space="preserve"> i</w:t>
            </w:r>
            <w:r w:rsidRPr="00AA2617">
              <w:rPr>
                <w:rFonts w:cs="Times New Roman"/>
                <w:sz w:val="20"/>
                <w:lang w:val="en-GB"/>
              </w:rPr>
              <w:t xml:space="preserve">n consultation with the </w:t>
            </w:r>
            <w:r w:rsidR="00EE12A8" w:rsidRPr="00AA2617">
              <w:rPr>
                <w:rFonts w:cs="Times New Roman"/>
                <w:sz w:val="20"/>
                <w:lang w:val="en-GB"/>
              </w:rPr>
              <w:t>LTO</w:t>
            </w:r>
          </w:p>
        </w:tc>
        <w:tc>
          <w:tcPr>
            <w:tcW w:w="2469" w:type="dxa"/>
          </w:tcPr>
          <w:p w14:paraId="2DED1CB5" w14:textId="77777777" w:rsidR="00E65645" w:rsidRPr="00AA2617" w:rsidRDefault="007D0F3F" w:rsidP="00AA2617">
            <w:pPr>
              <w:keepLines/>
              <w:spacing w:before="40" w:after="40"/>
              <w:jc w:val="left"/>
              <w:rPr>
                <w:rFonts w:cs="Times New Roman"/>
                <w:sz w:val="20"/>
                <w:lang w:val="en-GB"/>
              </w:rPr>
            </w:pPr>
            <w:r w:rsidRPr="00AA2617">
              <w:rPr>
                <w:rFonts w:cs="Times New Roman"/>
                <w:sz w:val="20"/>
                <w:lang w:val="en-GB"/>
              </w:rPr>
              <w:t>Within one month of</w:t>
            </w:r>
            <w:r w:rsidR="00E65645" w:rsidRPr="00AA2617">
              <w:rPr>
                <w:rFonts w:cs="Times New Roman"/>
                <w:sz w:val="20"/>
                <w:lang w:val="en-GB"/>
              </w:rPr>
              <w:t xml:space="preserve"> project start</w:t>
            </w:r>
            <w:r w:rsidR="00E65645" w:rsidRPr="00AA2617">
              <w:rPr>
                <w:rFonts w:cs="Times New Roman"/>
                <w:sz w:val="20"/>
                <w:lang w:val="en-GB"/>
              </w:rPr>
              <w:noBreakHyphen/>
              <w:t xml:space="preserve">up and on an annual basis thereafter </w:t>
            </w:r>
            <w:r w:rsidRPr="00AA2617">
              <w:rPr>
                <w:rFonts w:cs="Times New Roman"/>
                <w:sz w:val="20"/>
                <w:lang w:val="en-GB"/>
              </w:rPr>
              <w:t>covering</w:t>
            </w:r>
            <w:r w:rsidR="00E65645" w:rsidRPr="00AA2617">
              <w:rPr>
                <w:rFonts w:cs="Times New Roman"/>
                <w:sz w:val="20"/>
                <w:lang w:val="en-GB"/>
              </w:rPr>
              <w:t xml:space="preserve"> the July to June reporting period</w:t>
            </w:r>
          </w:p>
        </w:tc>
        <w:tc>
          <w:tcPr>
            <w:tcW w:w="2029" w:type="dxa"/>
          </w:tcPr>
          <w:p w14:paraId="7C73048C"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USD 2,500</w:t>
            </w:r>
          </w:p>
        </w:tc>
      </w:tr>
      <w:tr w:rsidR="00E65645" w:rsidRPr="00AA2617" w14:paraId="36618AB2" w14:textId="77777777" w:rsidTr="0058639F">
        <w:trPr>
          <w:cantSplit/>
          <w:jc w:val="center"/>
        </w:trPr>
        <w:tc>
          <w:tcPr>
            <w:tcW w:w="1844" w:type="dxa"/>
          </w:tcPr>
          <w:p w14:paraId="1C19DF83" w14:textId="77777777" w:rsidR="00E65645" w:rsidRPr="00AA2617" w:rsidRDefault="00D25DD2" w:rsidP="00AA2617">
            <w:pPr>
              <w:keepLines/>
              <w:spacing w:before="40" w:after="40"/>
              <w:jc w:val="left"/>
              <w:rPr>
                <w:rFonts w:cs="Times New Roman"/>
                <w:sz w:val="20"/>
                <w:lang w:val="en-GB"/>
              </w:rPr>
            </w:pPr>
            <w:r w:rsidRPr="00AA2617">
              <w:rPr>
                <w:rFonts w:cs="Times New Roman"/>
                <w:sz w:val="20"/>
                <w:lang w:val="en-GB"/>
              </w:rPr>
              <w:t>Updated</w:t>
            </w:r>
            <w:r w:rsidR="00E65645" w:rsidRPr="00AA2617">
              <w:rPr>
                <w:rFonts w:cs="Times New Roman"/>
                <w:sz w:val="20"/>
                <w:lang w:val="en-GB"/>
              </w:rPr>
              <w:t xml:space="preserve"> baseline</w:t>
            </w:r>
            <w:r w:rsidRPr="00AA2617">
              <w:rPr>
                <w:rFonts w:cs="Times New Roman"/>
                <w:sz w:val="20"/>
                <w:lang w:val="en-GB"/>
              </w:rPr>
              <w:t xml:space="preserve"> information</w:t>
            </w:r>
          </w:p>
        </w:tc>
        <w:tc>
          <w:tcPr>
            <w:tcW w:w="2406" w:type="dxa"/>
          </w:tcPr>
          <w:p w14:paraId="27A06E05" w14:textId="7392E4E9" w:rsidR="00E65645" w:rsidRPr="00AA2617" w:rsidRDefault="00D25DD2" w:rsidP="00AA2617">
            <w:pPr>
              <w:keepLines/>
              <w:spacing w:before="40" w:after="40"/>
              <w:jc w:val="left"/>
              <w:rPr>
                <w:rFonts w:cs="Times New Roman"/>
                <w:sz w:val="20"/>
                <w:lang w:val="en-GB"/>
              </w:rPr>
            </w:pPr>
            <w:r w:rsidRPr="00AA2617">
              <w:rPr>
                <w:rFonts w:cs="Times New Roman"/>
                <w:sz w:val="20"/>
                <w:lang w:val="en-GB"/>
              </w:rPr>
              <w:t>PMU</w:t>
            </w:r>
            <w:r w:rsidR="009E7DBE" w:rsidRPr="00AA2617">
              <w:rPr>
                <w:rFonts w:cs="Times New Roman"/>
                <w:sz w:val="20"/>
                <w:lang w:val="en-GB"/>
              </w:rPr>
              <w:t>, LTO</w:t>
            </w:r>
          </w:p>
        </w:tc>
        <w:tc>
          <w:tcPr>
            <w:tcW w:w="2469" w:type="dxa"/>
          </w:tcPr>
          <w:p w14:paraId="50A98FF4" w14:textId="77777777" w:rsidR="00E65645" w:rsidRPr="00AA2617" w:rsidRDefault="00D25DD2" w:rsidP="00AA2617">
            <w:pPr>
              <w:keepLines/>
              <w:spacing w:before="40" w:after="40"/>
              <w:jc w:val="left"/>
              <w:rPr>
                <w:rFonts w:cs="Times New Roman"/>
                <w:sz w:val="20"/>
                <w:lang w:val="en-GB"/>
              </w:rPr>
            </w:pPr>
            <w:r w:rsidRPr="00AA2617">
              <w:rPr>
                <w:rFonts w:cs="Times New Roman"/>
                <w:sz w:val="20"/>
                <w:lang w:val="en-GB"/>
              </w:rPr>
              <w:t>Inception and end of e</w:t>
            </w:r>
            <w:r w:rsidR="00E65645" w:rsidRPr="00AA2617">
              <w:rPr>
                <w:rFonts w:cs="Times New Roman"/>
                <w:sz w:val="20"/>
                <w:lang w:val="en-GB"/>
              </w:rPr>
              <w:t>ach project year</w:t>
            </w:r>
          </w:p>
        </w:tc>
        <w:tc>
          <w:tcPr>
            <w:tcW w:w="2029" w:type="dxa"/>
          </w:tcPr>
          <w:p w14:paraId="14047130"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USD 7,500</w:t>
            </w:r>
          </w:p>
          <w:p w14:paraId="09770759" w14:textId="77777777" w:rsidR="00D25DD2" w:rsidRPr="00AA2617" w:rsidRDefault="00D25DD2" w:rsidP="00AA2617">
            <w:pPr>
              <w:keepLines/>
              <w:spacing w:before="40" w:after="40"/>
              <w:jc w:val="left"/>
              <w:rPr>
                <w:rFonts w:cs="Times New Roman"/>
                <w:sz w:val="20"/>
                <w:lang w:val="en-GB"/>
              </w:rPr>
            </w:pPr>
            <w:r w:rsidRPr="00AA2617">
              <w:rPr>
                <w:rFonts w:cs="Times New Roman"/>
                <w:sz w:val="20"/>
                <w:lang w:val="en-GB"/>
              </w:rPr>
              <w:t>(PMU staff time)</w:t>
            </w:r>
          </w:p>
        </w:tc>
      </w:tr>
      <w:tr w:rsidR="00E65645" w:rsidRPr="00AA2617" w14:paraId="0E22D581" w14:textId="77777777" w:rsidTr="0058639F">
        <w:trPr>
          <w:cantSplit/>
          <w:jc w:val="center"/>
        </w:trPr>
        <w:tc>
          <w:tcPr>
            <w:tcW w:w="1844" w:type="dxa"/>
          </w:tcPr>
          <w:p w14:paraId="57128C54"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Supervision visits</w:t>
            </w:r>
          </w:p>
        </w:tc>
        <w:tc>
          <w:tcPr>
            <w:tcW w:w="2406" w:type="dxa"/>
          </w:tcPr>
          <w:p w14:paraId="7D9E5F29" w14:textId="0E3738DE" w:rsidR="00E65645" w:rsidRPr="00AA2617" w:rsidRDefault="00EE12A8" w:rsidP="00AA2617">
            <w:pPr>
              <w:keepLines/>
              <w:spacing w:before="40" w:after="40"/>
              <w:jc w:val="left"/>
              <w:rPr>
                <w:rFonts w:cs="Times New Roman"/>
                <w:sz w:val="20"/>
                <w:lang w:val="en-GB"/>
              </w:rPr>
            </w:pPr>
            <w:r w:rsidRPr="00AA2617">
              <w:rPr>
                <w:rFonts w:cs="Times New Roman"/>
                <w:sz w:val="20"/>
                <w:lang w:val="en-GB"/>
              </w:rPr>
              <w:t>PMU, LTO, FLO</w:t>
            </w:r>
          </w:p>
        </w:tc>
        <w:tc>
          <w:tcPr>
            <w:tcW w:w="2469" w:type="dxa"/>
          </w:tcPr>
          <w:p w14:paraId="3FB59045"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Annual</w:t>
            </w:r>
          </w:p>
        </w:tc>
        <w:tc>
          <w:tcPr>
            <w:tcW w:w="2029" w:type="dxa"/>
          </w:tcPr>
          <w:p w14:paraId="336C81F5" w14:textId="77777777" w:rsidR="00E65645" w:rsidRPr="00AA2617" w:rsidRDefault="00FD7D0F" w:rsidP="00AA2617">
            <w:pPr>
              <w:keepLines/>
              <w:spacing w:before="40" w:after="40"/>
              <w:jc w:val="left"/>
              <w:rPr>
                <w:rFonts w:cs="Times New Roman"/>
                <w:sz w:val="20"/>
                <w:lang w:val="en-GB"/>
              </w:rPr>
            </w:pPr>
            <w:r w:rsidRPr="00AA2617">
              <w:rPr>
                <w:rFonts w:cs="Times New Roman"/>
                <w:sz w:val="20"/>
                <w:lang w:val="en-GB"/>
              </w:rPr>
              <w:t>FAO visits via GEF A</w:t>
            </w:r>
            <w:r w:rsidR="00E65645" w:rsidRPr="00AA2617">
              <w:rPr>
                <w:rFonts w:cs="Times New Roman"/>
                <w:sz w:val="20"/>
                <w:lang w:val="en-GB"/>
              </w:rPr>
              <w:t>gency fees</w:t>
            </w:r>
          </w:p>
          <w:p w14:paraId="64C25424" w14:textId="77777777" w:rsidR="00E65645" w:rsidRPr="00AA2617" w:rsidRDefault="00FD7D0F" w:rsidP="00AA2617">
            <w:pPr>
              <w:keepLines/>
              <w:spacing w:before="40" w:after="40"/>
              <w:jc w:val="left"/>
              <w:rPr>
                <w:rFonts w:cs="Times New Roman"/>
                <w:sz w:val="20"/>
                <w:lang w:val="en-GB"/>
              </w:rPr>
            </w:pPr>
            <w:r w:rsidRPr="00AA2617">
              <w:rPr>
                <w:rFonts w:cs="Times New Roman"/>
                <w:sz w:val="20"/>
                <w:lang w:val="en-GB"/>
              </w:rPr>
              <w:t>(others via</w:t>
            </w:r>
            <w:r w:rsidR="00E65645" w:rsidRPr="00AA2617">
              <w:rPr>
                <w:rFonts w:cs="Times New Roman"/>
                <w:sz w:val="20"/>
                <w:lang w:val="en-GB"/>
              </w:rPr>
              <w:t xml:space="preserve"> project’s travel budget</w:t>
            </w:r>
            <w:r w:rsidRPr="00AA2617">
              <w:rPr>
                <w:rFonts w:cs="Times New Roman"/>
                <w:sz w:val="20"/>
                <w:lang w:val="en-GB"/>
              </w:rPr>
              <w:t xml:space="preserve"> as needed)</w:t>
            </w:r>
          </w:p>
        </w:tc>
      </w:tr>
      <w:tr w:rsidR="00E65645" w:rsidRPr="00AA2617" w14:paraId="0FC827A7" w14:textId="77777777" w:rsidTr="0058639F">
        <w:trPr>
          <w:cantSplit/>
          <w:jc w:val="center"/>
        </w:trPr>
        <w:tc>
          <w:tcPr>
            <w:tcW w:w="1844" w:type="dxa"/>
          </w:tcPr>
          <w:p w14:paraId="696562F8"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Project Progress Reports (PPRs)</w:t>
            </w:r>
          </w:p>
        </w:tc>
        <w:tc>
          <w:tcPr>
            <w:tcW w:w="2406" w:type="dxa"/>
          </w:tcPr>
          <w:p w14:paraId="7192AB44" w14:textId="42164702" w:rsidR="00E65645" w:rsidRPr="00AA2617" w:rsidRDefault="00D25DD2" w:rsidP="00AA2617">
            <w:pPr>
              <w:keepLines/>
              <w:spacing w:before="40" w:after="40"/>
              <w:jc w:val="left"/>
              <w:rPr>
                <w:rFonts w:cs="Times New Roman"/>
                <w:sz w:val="20"/>
                <w:lang w:val="en-GB"/>
              </w:rPr>
            </w:pPr>
            <w:r w:rsidRPr="00AA2617">
              <w:rPr>
                <w:rFonts w:cs="Times New Roman"/>
                <w:sz w:val="20"/>
                <w:lang w:val="en-GB"/>
              </w:rPr>
              <w:t>PMU</w:t>
            </w:r>
            <w:r w:rsidR="009E7DBE" w:rsidRPr="00AA2617">
              <w:rPr>
                <w:rFonts w:cs="Times New Roman"/>
                <w:sz w:val="20"/>
                <w:lang w:val="en-GB"/>
              </w:rPr>
              <w:t>, LTO, BH</w:t>
            </w:r>
          </w:p>
        </w:tc>
        <w:tc>
          <w:tcPr>
            <w:tcW w:w="2469" w:type="dxa"/>
          </w:tcPr>
          <w:p w14:paraId="22C1547A"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 xml:space="preserve">No later than </w:t>
            </w:r>
            <w:r w:rsidR="00D25DD2" w:rsidRPr="00AA2617">
              <w:rPr>
                <w:rFonts w:cs="Times New Roman"/>
                <w:sz w:val="20"/>
                <w:lang w:val="en-GB"/>
              </w:rPr>
              <w:t>one month after each biannual reporting period (Jan-Jun and Jul-</w:t>
            </w:r>
            <w:r w:rsidRPr="00AA2617">
              <w:rPr>
                <w:rFonts w:cs="Times New Roman"/>
                <w:sz w:val="20"/>
                <w:lang w:val="en-GB"/>
              </w:rPr>
              <w:t>Dec)</w:t>
            </w:r>
          </w:p>
        </w:tc>
        <w:tc>
          <w:tcPr>
            <w:tcW w:w="2029" w:type="dxa"/>
          </w:tcPr>
          <w:p w14:paraId="6DD2A110"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USD 15,000</w:t>
            </w:r>
          </w:p>
          <w:p w14:paraId="4479CD5C" w14:textId="77777777" w:rsidR="00D25DD2" w:rsidRPr="00AA2617" w:rsidRDefault="00D25DD2" w:rsidP="00AA2617">
            <w:pPr>
              <w:keepLines/>
              <w:spacing w:before="40" w:after="40"/>
              <w:jc w:val="left"/>
              <w:rPr>
                <w:rFonts w:cs="Times New Roman"/>
                <w:sz w:val="20"/>
                <w:lang w:val="en-GB"/>
              </w:rPr>
            </w:pPr>
            <w:r w:rsidRPr="00AA2617">
              <w:rPr>
                <w:rFonts w:cs="Times New Roman"/>
                <w:sz w:val="20"/>
                <w:lang w:val="en-GB"/>
              </w:rPr>
              <w:t>(PMU staff time)</w:t>
            </w:r>
          </w:p>
        </w:tc>
      </w:tr>
      <w:tr w:rsidR="00E65645" w:rsidRPr="00AA2617" w14:paraId="23A10CD0" w14:textId="77777777" w:rsidTr="0058639F">
        <w:trPr>
          <w:cantSplit/>
          <w:jc w:val="center"/>
        </w:trPr>
        <w:tc>
          <w:tcPr>
            <w:tcW w:w="1844" w:type="dxa"/>
          </w:tcPr>
          <w:p w14:paraId="0CA5F45C"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lastRenderedPageBreak/>
              <w:t>Project Im</w:t>
            </w:r>
            <w:r w:rsidR="00D25DD2" w:rsidRPr="00AA2617">
              <w:rPr>
                <w:rFonts w:cs="Times New Roman"/>
                <w:sz w:val="20"/>
                <w:lang w:val="en-GB"/>
              </w:rPr>
              <w:t>plementation Review (PIR)</w:t>
            </w:r>
          </w:p>
        </w:tc>
        <w:tc>
          <w:tcPr>
            <w:tcW w:w="2406" w:type="dxa"/>
          </w:tcPr>
          <w:p w14:paraId="559C13DC" w14:textId="76545117" w:rsidR="00E65645" w:rsidRPr="00AA2617" w:rsidRDefault="00EE12A8" w:rsidP="00AA2617">
            <w:pPr>
              <w:keepLines/>
              <w:spacing w:before="40" w:after="40"/>
              <w:jc w:val="left"/>
              <w:rPr>
                <w:rFonts w:cs="Times New Roman"/>
                <w:sz w:val="20"/>
                <w:lang w:val="en-GB"/>
              </w:rPr>
            </w:pPr>
            <w:r w:rsidRPr="00AA2617">
              <w:rPr>
                <w:rFonts w:asciiTheme="majorBidi" w:hAnsiTheme="majorBidi" w:cstheme="majorBidi"/>
                <w:sz w:val="20"/>
                <w:szCs w:val="20"/>
              </w:rPr>
              <w:t>Drafted by the NPD, with the supervision of the LTO and BH. Approved and submitted to GEF by the FAO-GEF Coordination Unit</w:t>
            </w:r>
          </w:p>
        </w:tc>
        <w:tc>
          <w:tcPr>
            <w:tcW w:w="2469" w:type="dxa"/>
          </w:tcPr>
          <w:p w14:paraId="5FB2BFBA"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1 August of each reporting year</w:t>
            </w:r>
          </w:p>
        </w:tc>
        <w:tc>
          <w:tcPr>
            <w:tcW w:w="2029" w:type="dxa"/>
          </w:tcPr>
          <w:p w14:paraId="6772367B" w14:textId="77777777" w:rsidR="00E65645" w:rsidRPr="00AA2617" w:rsidRDefault="00D25DD2" w:rsidP="00AA2617">
            <w:pPr>
              <w:keepLines/>
              <w:spacing w:before="40" w:after="40"/>
              <w:jc w:val="left"/>
              <w:rPr>
                <w:rFonts w:cs="Times New Roman"/>
                <w:sz w:val="20"/>
                <w:lang w:val="en-GB"/>
              </w:rPr>
            </w:pPr>
            <w:r w:rsidRPr="00AA2617">
              <w:rPr>
                <w:rFonts w:cs="Times New Roman"/>
                <w:sz w:val="20"/>
                <w:lang w:val="en-GB"/>
              </w:rPr>
              <w:t>GEF Agency fees</w:t>
            </w:r>
          </w:p>
        </w:tc>
      </w:tr>
      <w:tr w:rsidR="00134C04" w:rsidRPr="00AA2617" w14:paraId="2F632E0E" w14:textId="77777777" w:rsidTr="0058639F">
        <w:trPr>
          <w:cantSplit/>
          <w:jc w:val="center"/>
        </w:trPr>
        <w:tc>
          <w:tcPr>
            <w:tcW w:w="1844" w:type="dxa"/>
          </w:tcPr>
          <w:p w14:paraId="31875CFA" w14:textId="400702A0" w:rsidR="00134C04" w:rsidRPr="00AA2617" w:rsidRDefault="00134C04" w:rsidP="00AA2617">
            <w:pPr>
              <w:keepLines/>
              <w:spacing w:before="40" w:after="40"/>
              <w:jc w:val="left"/>
              <w:rPr>
                <w:rFonts w:cs="Times New Roman"/>
                <w:sz w:val="20"/>
                <w:lang w:val="en-GB"/>
              </w:rPr>
            </w:pPr>
            <w:r w:rsidRPr="00AA2617">
              <w:rPr>
                <w:rFonts w:cs="Times New Roman"/>
                <w:sz w:val="20"/>
                <w:lang w:val="en-GB"/>
              </w:rPr>
              <w:t xml:space="preserve">Independent Midterm Review (MTR) </w:t>
            </w:r>
          </w:p>
        </w:tc>
        <w:tc>
          <w:tcPr>
            <w:tcW w:w="2406" w:type="dxa"/>
          </w:tcPr>
          <w:p w14:paraId="3106C0C8" w14:textId="67FC7C34" w:rsidR="00134C04" w:rsidRPr="00AA2617" w:rsidRDefault="00134C04" w:rsidP="00AA2617">
            <w:pPr>
              <w:keepLines/>
              <w:spacing w:before="40" w:after="40"/>
              <w:jc w:val="left"/>
              <w:rPr>
                <w:rFonts w:asciiTheme="majorBidi" w:hAnsiTheme="majorBidi" w:cstheme="majorBidi"/>
                <w:sz w:val="20"/>
                <w:szCs w:val="20"/>
              </w:rPr>
            </w:pPr>
            <w:r w:rsidRPr="00AA2617">
              <w:rPr>
                <w:rFonts w:cs="Times New Roman"/>
                <w:sz w:val="20"/>
                <w:lang w:val="en-GB"/>
              </w:rPr>
              <w:t xml:space="preserve">FAO </w:t>
            </w:r>
          </w:p>
        </w:tc>
        <w:tc>
          <w:tcPr>
            <w:tcW w:w="2469" w:type="dxa"/>
          </w:tcPr>
          <w:p w14:paraId="6B1E89F3" w14:textId="5C35CD0D" w:rsidR="00134C04" w:rsidRPr="00AA2617" w:rsidRDefault="00134C04" w:rsidP="00AA2617">
            <w:pPr>
              <w:keepLines/>
              <w:spacing w:before="40" w:after="40"/>
              <w:jc w:val="left"/>
              <w:rPr>
                <w:rFonts w:cs="Times New Roman"/>
                <w:sz w:val="20"/>
                <w:lang w:val="en-GB"/>
              </w:rPr>
            </w:pPr>
            <w:r w:rsidRPr="00AA2617">
              <w:rPr>
                <w:rFonts w:cs="Times New Roman"/>
                <w:sz w:val="20"/>
                <w:lang w:val="en-GB"/>
              </w:rPr>
              <w:t xml:space="preserve">End of first year </w:t>
            </w:r>
          </w:p>
        </w:tc>
        <w:tc>
          <w:tcPr>
            <w:tcW w:w="2029" w:type="dxa"/>
          </w:tcPr>
          <w:p w14:paraId="0D9F328E" w14:textId="77777777" w:rsidR="00134C04" w:rsidRPr="00AA2617" w:rsidRDefault="00134C04" w:rsidP="00AA2617">
            <w:pPr>
              <w:keepLines/>
              <w:spacing w:before="40" w:after="40"/>
              <w:jc w:val="left"/>
              <w:rPr>
                <w:rFonts w:cs="Times New Roman"/>
                <w:sz w:val="20"/>
                <w:lang w:val="en-GB"/>
              </w:rPr>
            </w:pPr>
          </w:p>
        </w:tc>
      </w:tr>
      <w:tr w:rsidR="00E65645" w:rsidRPr="00AA2617" w14:paraId="1BDFFA43" w14:textId="77777777" w:rsidTr="0058639F">
        <w:trPr>
          <w:cantSplit/>
          <w:jc w:val="center"/>
        </w:trPr>
        <w:tc>
          <w:tcPr>
            <w:tcW w:w="1844" w:type="dxa"/>
          </w:tcPr>
          <w:p w14:paraId="74755243"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Co-financing Reports</w:t>
            </w:r>
          </w:p>
        </w:tc>
        <w:tc>
          <w:tcPr>
            <w:tcW w:w="2406" w:type="dxa"/>
          </w:tcPr>
          <w:p w14:paraId="53E1D836" w14:textId="77777777" w:rsidR="00E65645" w:rsidRPr="00AA2617" w:rsidRDefault="00D25DD2" w:rsidP="00AA2617">
            <w:pPr>
              <w:keepLines/>
              <w:spacing w:before="40" w:after="40"/>
              <w:jc w:val="left"/>
              <w:rPr>
                <w:rFonts w:cs="Times New Roman"/>
                <w:sz w:val="20"/>
                <w:lang w:val="en-GB"/>
              </w:rPr>
            </w:pPr>
            <w:r w:rsidRPr="00AA2617">
              <w:rPr>
                <w:rFonts w:cs="Times New Roman"/>
                <w:sz w:val="20"/>
                <w:lang w:val="en-GB"/>
              </w:rPr>
              <w:t>PMU</w:t>
            </w:r>
          </w:p>
        </w:tc>
        <w:tc>
          <w:tcPr>
            <w:tcW w:w="2469" w:type="dxa"/>
          </w:tcPr>
          <w:p w14:paraId="1A3083D5"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Annual together with PIR</w:t>
            </w:r>
          </w:p>
        </w:tc>
        <w:tc>
          <w:tcPr>
            <w:tcW w:w="2029" w:type="dxa"/>
          </w:tcPr>
          <w:p w14:paraId="523E51A7"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USD 7,500</w:t>
            </w:r>
          </w:p>
          <w:p w14:paraId="3BCF5440" w14:textId="77777777" w:rsidR="00D25DD2" w:rsidRPr="00AA2617" w:rsidRDefault="00D25DD2" w:rsidP="00AA2617">
            <w:pPr>
              <w:keepLines/>
              <w:spacing w:before="40" w:after="40"/>
              <w:jc w:val="left"/>
              <w:rPr>
                <w:rFonts w:cs="Times New Roman"/>
                <w:sz w:val="20"/>
                <w:lang w:val="en-GB"/>
              </w:rPr>
            </w:pPr>
            <w:r w:rsidRPr="00AA2617">
              <w:rPr>
                <w:rFonts w:cs="Times New Roman"/>
                <w:sz w:val="20"/>
                <w:lang w:val="en-GB"/>
              </w:rPr>
              <w:t>(PMU staff time)</w:t>
            </w:r>
          </w:p>
        </w:tc>
      </w:tr>
      <w:tr w:rsidR="00E65645" w:rsidRPr="00AA2617" w14:paraId="706D9B9F" w14:textId="77777777" w:rsidTr="0058639F">
        <w:trPr>
          <w:cantSplit/>
          <w:jc w:val="center"/>
        </w:trPr>
        <w:tc>
          <w:tcPr>
            <w:tcW w:w="1844" w:type="dxa"/>
          </w:tcPr>
          <w:p w14:paraId="7A909C1A"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GEF Tracking Tools</w:t>
            </w:r>
          </w:p>
        </w:tc>
        <w:tc>
          <w:tcPr>
            <w:tcW w:w="2406" w:type="dxa"/>
          </w:tcPr>
          <w:p w14:paraId="18C18164" w14:textId="77777777" w:rsidR="00E65645" w:rsidRPr="00AA2617" w:rsidRDefault="00D25DD2" w:rsidP="00AA2617">
            <w:pPr>
              <w:keepLines/>
              <w:spacing w:before="40" w:after="40"/>
              <w:jc w:val="left"/>
              <w:rPr>
                <w:rFonts w:cs="Times New Roman"/>
                <w:sz w:val="20"/>
                <w:lang w:val="en-GB"/>
              </w:rPr>
            </w:pPr>
            <w:r w:rsidRPr="00AA2617">
              <w:rPr>
                <w:rFonts w:cs="Times New Roman"/>
                <w:sz w:val="20"/>
                <w:lang w:val="en-GB"/>
              </w:rPr>
              <w:t>LTO</w:t>
            </w:r>
          </w:p>
        </w:tc>
        <w:tc>
          <w:tcPr>
            <w:tcW w:w="2469" w:type="dxa"/>
          </w:tcPr>
          <w:p w14:paraId="528D9B30"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Mid-point and end-of-project</w:t>
            </w:r>
          </w:p>
        </w:tc>
        <w:tc>
          <w:tcPr>
            <w:tcW w:w="2029" w:type="dxa"/>
          </w:tcPr>
          <w:p w14:paraId="1D8773AE" w14:textId="77777777" w:rsidR="00E65645" w:rsidRPr="00AA2617" w:rsidRDefault="00D25DD2" w:rsidP="00AA2617">
            <w:pPr>
              <w:keepLines/>
              <w:spacing w:before="40" w:after="40"/>
              <w:jc w:val="left"/>
              <w:rPr>
                <w:rFonts w:cs="Times New Roman"/>
                <w:sz w:val="20"/>
                <w:lang w:val="en-GB"/>
              </w:rPr>
            </w:pPr>
            <w:r w:rsidRPr="00AA2617">
              <w:rPr>
                <w:rFonts w:cs="Times New Roman"/>
                <w:sz w:val="20"/>
                <w:lang w:val="en-GB"/>
              </w:rPr>
              <w:t>GEF Agency fees</w:t>
            </w:r>
          </w:p>
        </w:tc>
      </w:tr>
      <w:tr w:rsidR="00E65645" w:rsidRPr="00AA2617" w14:paraId="73287B29" w14:textId="77777777" w:rsidTr="0058639F">
        <w:trPr>
          <w:cantSplit/>
          <w:jc w:val="center"/>
        </w:trPr>
        <w:tc>
          <w:tcPr>
            <w:tcW w:w="1844" w:type="dxa"/>
          </w:tcPr>
          <w:p w14:paraId="37F8128E"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Technical Reports</w:t>
            </w:r>
          </w:p>
        </w:tc>
        <w:tc>
          <w:tcPr>
            <w:tcW w:w="2406" w:type="dxa"/>
          </w:tcPr>
          <w:p w14:paraId="42ECABBA" w14:textId="77777777" w:rsidR="00E65645" w:rsidRPr="00AA2617" w:rsidRDefault="00C664F3" w:rsidP="00AA2617">
            <w:pPr>
              <w:keepLines/>
              <w:spacing w:before="40" w:after="40"/>
              <w:jc w:val="left"/>
              <w:rPr>
                <w:rFonts w:cs="Times New Roman"/>
                <w:sz w:val="20"/>
                <w:lang w:val="en-GB"/>
              </w:rPr>
            </w:pPr>
            <w:r w:rsidRPr="00AA2617">
              <w:rPr>
                <w:rFonts w:cs="Times New Roman"/>
                <w:sz w:val="20"/>
                <w:lang w:val="en-GB"/>
              </w:rPr>
              <w:t xml:space="preserve">PMU (staff or LOAs); reviewed by LTO, </w:t>
            </w:r>
            <w:r w:rsidR="00E65645" w:rsidRPr="00AA2617">
              <w:rPr>
                <w:rFonts w:cs="Times New Roman"/>
                <w:sz w:val="20"/>
                <w:lang w:val="en-GB"/>
              </w:rPr>
              <w:t>TWGs</w:t>
            </w:r>
          </w:p>
        </w:tc>
        <w:tc>
          <w:tcPr>
            <w:tcW w:w="2469" w:type="dxa"/>
          </w:tcPr>
          <w:p w14:paraId="0C84C5C1"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As appropriate</w:t>
            </w:r>
          </w:p>
        </w:tc>
        <w:tc>
          <w:tcPr>
            <w:tcW w:w="2029" w:type="dxa"/>
          </w:tcPr>
          <w:p w14:paraId="5CA34604" w14:textId="77777777" w:rsidR="00E65645" w:rsidRPr="00AA2617" w:rsidRDefault="00306A68" w:rsidP="00AA2617">
            <w:pPr>
              <w:keepLines/>
              <w:spacing w:before="40" w:after="40"/>
              <w:jc w:val="left"/>
              <w:rPr>
                <w:rFonts w:cs="Times New Roman"/>
                <w:sz w:val="20"/>
                <w:lang w:val="en-GB"/>
              </w:rPr>
            </w:pPr>
            <w:r w:rsidRPr="00AA2617">
              <w:rPr>
                <w:rFonts w:cs="Times New Roman"/>
                <w:sz w:val="20"/>
                <w:lang w:val="en-GB"/>
              </w:rPr>
              <w:t xml:space="preserve">PMU </w:t>
            </w:r>
            <w:r w:rsidR="00C664F3" w:rsidRPr="00AA2617">
              <w:rPr>
                <w:rFonts w:cs="Times New Roman"/>
                <w:sz w:val="20"/>
                <w:lang w:val="en-GB"/>
              </w:rPr>
              <w:t xml:space="preserve">staff </w:t>
            </w:r>
            <w:r w:rsidRPr="00AA2617">
              <w:rPr>
                <w:rFonts w:cs="Times New Roman"/>
                <w:sz w:val="20"/>
                <w:lang w:val="en-GB"/>
              </w:rPr>
              <w:t xml:space="preserve">time and </w:t>
            </w:r>
            <w:r w:rsidR="00C664F3" w:rsidRPr="00AA2617">
              <w:rPr>
                <w:rFonts w:cs="Times New Roman"/>
                <w:sz w:val="20"/>
                <w:lang w:val="en-GB"/>
              </w:rPr>
              <w:t>corresponding LOAs</w:t>
            </w:r>
          </w:p>
          <w:p w14:paraId="7EC1FD89" w14:textId="77777777" w:rsidR="00FD7D0F" w:rsidRPr="00AA2617" w:rsidRDefault="00FD7D0F" w:rsidP="00AA2617">
            <w:pPr>
              <w:keepLines/>
              <w:spacing w:before="40" w:after="40"/>
              <w:jc w:val="left"/>
              <w:rPr>
                <w:rFonts w:cs="Times New Roman"/>
                <w:sz w:val="20"/>
                <w:lang w:val="en-GB"/>
              </w:rPr>
            </w:pPr>
            <w:r w:rsidRPr="00AA2617">
              <w:rPr>
                <w:rFonts w:cs="Times New Roman"/>
                <w:sz w:val="20"/>
                <w:lang w:val="en-GB"/>
              </w:rPr>
              <w:t>USD 20,000</w:t>
            </w:r>
          </w:p>
        </w:tc>
      </w:tr>
      <w:tr w:rsidR="00E65645" w:rsidRPr="00AA2617" w14:paraId="1D888444" w14:textId="77777777" w:rsidTr="0058639F">
        <w:trPr>
          <w:cantSplit/>
          <w:jc w:val="center"/>
        </w:trPr>
        <w:tc>
          <w:tcPr>
            <w:tcW w:w="1844" w:type="dxa"/>
          </w:tcPr>
          <w:p w14:paraId="7309C09D"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Final workshop</w:t>
            </w:r>
          </w:p>
        </w:tc>
        <w:tc>
          <w:tcPr>
            <w:tcW w:w="2406" w:type="dxa"/>
          </w:tcPr>
          <w:p w14:paraId="582F3674" w14:textId="74BF3CFB" w:rsidR="00E65645" w:rsidRPr="00AA2617" w:rsidRDefault="00306A68" w:rsidP="00AA2617">
            <w:pPr>
              <w:keepLines/>
              <w:spacing w:before="40" w:after="40"/>
              <w:jc w:val="left"/>
              <w:rPr>
                <w:rFonts w:cs="Times New Roman"/>
                <w:sz w:val="20"/>
                <w:lang w:val="en-GB"/>
              </w:rPr>
            </w:pPr>
            <w:r w:rsidRPr="00AA2617">
              <w:rPr>
                <w:rFonts w:cs="Times New Roman"/>
                <w:sz w:val="20"/>
                <w:lang w:val="en-GB"/>
              </w:rPr>
              <w:t>PMU</w:t>
            </w:r>
            <w:r w:rsidR="00EE12A8" w:rsidRPr="00AA2617">
              <w:rPr>
                <w:rFonts w:cs="Times New Roman"/>
                <w:sz w:val="20"/>
                <w:lang w:val="en-GB"/>
              </w:rPr>
              <w:t>, BH, LTO, FLO</w:t>
            </w:r>
          </w:p>
        </w:tc>
        <w:tc>
          <w:tcPr>
            <w:tcW w:w="2469" w:type="dxa"/>
          </w:tcPr>
          <w:p w14:paraId="2648DDE1"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At the end of the project</w:t>
            </w:r>
          </w:p>
        </w:tc>
        <w:tc>
          <w:tcPr>
            <w:tcW w:w="2029" w:type="dxa"/>
          </w:tcPr>
          <w:p w14:paraId="5474BD21"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 xml:space="preserve">USD </w:t>
            </w:r>
            <w:r w:rsidR="00306A68" w:rsidRPr="00AA2617">
              <w:rPr>
                <w:rFonts w:cs="Times New Roman"/>
                <w:sz w:val="20"/>
                <w:lang w:val="en-GB"/>
              </w:rPr>
              <w:t>5</w:t>
            </w:r>
            <w:r w:rsidRPr="00AA2617">
              <w:rPr>
                <w:rFonts w:cs="Times New Roman"/>
                <w:sz w:val="20"/>
                <w:lang w:val="en-GB"/>
              </w:rPr>
              <w:t>,000</w:t>
            </w:r>
          </w:p>
        </w:tc>
      </w:tr>
      <w:tr w:rsidR="00E65645" w:rsidRPr="00AA2617" w14:paraId="68DDA3FF" w14:textId="77777777" w:rsidTr="0058639F">
        <w:trPr>
          <w:cantSplit/>
          <w:jc w:val="center"/>
        </w:trPr>
        <w:tc>
          <w:tcPr>
            <w:tcW w:w="1844" w:type="dxa"/>
          </w:tcPr>
          <w:p w14:paraId="1946E00D"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Independent Terminal Evaluation (TE)</w:t>
            </w:r>
          </w:p>
        </w:tc>
        <w:tc>
          <w:tcPr>
            <w:tcW w:w="2406" w:type="dxa"/>
          </w:tcPr>
          <w:p w14:paraId="4F0E00CE" w14:textId="67934DBC" w:rsidR="00E65645" w:rsidRPr="00AA2617" w:rsidRDefault="00FD7D0F" w:rsidP="00AA2617">
            <w:pPr>
              <w:keepLines/>
              <w:spacing w:before="40" w:after="40"/>
              <w:jc w:val="left"/>
              <w:rPr>
                <w:rFonts w:cs="Times New Roman"/>
                <w:sz w:val="20"/>
                <w:lang w:val="en-GB"/>
              </w:rPr>
            </w:pPr>
            <w:r w:rsidRPr="00AA2617">
              <w:rPr>
                <w:rFonts w:cs="Times New Roman"/>
                <w:sz w:val="20"/>
                <w:lang w:val="en-GB"/>
              </w:rPr>
              <w:t>BH</w:t>
            </w:r>
          </w:p>
        </w:tc>
        <w:tc>
          <w:tcPr>
            <w:tcW w:w="2469" w:type="dxa"/>
          </w:tcPr>
          <w:p w14:paraId="6741AD82" w14:textId="77777777" w:rsidR="00E65645" w:rsidRPr="00AA2617" w:rsidRDefault="003F0788" w:rsidP="00AA2617">
            <w:pPr>
              <w:keepLines/>
              <w:spacing w:before="40" w:after="40"/>
              <w:jc w:val="left"/>
              <w:rPr>
                <w:rFonts w:cs="Times New Roman"/>
                <w:sz w:val="20"/>
                <w:lang w:val="en-GB"/>
              </w:rPr>
            </w:pPr>
            <w:r w:rsidRPr="00AA2617">
              <w:rPr>
                <w:rFonts w:cs="Times New Roman"/>
                <w:sz w:val="20"/>
                <w:lang w:val="en-GB"/>
              </w:rPr>
              <w:t>Six months prior to the actual project completion date</w:t>
            </w:r>
          </w:p>
        </w:tc>
        <w:tc>
          <w:tcPr>
            <w:tcW w:w="2029" w:type="dxa"/>
          </w:tcPr>
          <w:p w14:paraId="5DAA49CA"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USD 2</w:t>
            </w:r>
            <w:r w:rsidR="00F64133" w:rsidRPr="00AA2617">
              <w:rPr>
                <w:rFonts w:cs="Times New Roman"/>
                <w:sz w:val="20"/>
                <w:lang w:val="en-GB"/>
              </w:rPr>
              <w:t>0</w:t>
            </w:r>
            <w:r w:rsidRPr="00AA2617">
              <w:rPr>
                <w:rFonts w:cs="Times New Roman"/>
                <w:sz w:val="20"/>
                <w:lang w:val="en-GB"/>
              </w:rPr>
              <w:t>,000</w:t>
            </w:r>
          </w:p>
        </w:tc>
      </w:tr>
      <w:tr w:rsidR="00E65645" w:rsidRPr="00AA2617" w14:paraId="75B2110D" w14:textId="77777777" w:rsidTr="0058639F">
        <w:trPr>
          <w:cantSplit/>
          <w:jc w:val="center"/>
        </w:trPr>
        <w:tc>
          <w:tcPr>
            <w:tcW w:w="1844" w:type="dxa"/>
          </w:tcPr>
          <w:p w14:paraId="19E950C5"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Processing of Ter</w:t>
            </w:r>
            <w:r w:rsidR="00FD7D0F" w:rsidRPr="00AA2617">
              <w:rPr>
                <w:rFonts w:cs="Times New Roman"/>
                <w:sz w:val="20"/>
                <w:lang w:val="en-GB"/>
              </w:rPr>
              <w:t>minal Report</w:t>
            </w:r>
          </w:p>
        </w:tc>
        <w:tc>
          <w:tcPr>
            <w:tcW w:w="2406" w:type="dxa"/>
          </w:tcPr>
          <w:p w14:paraId="26CC54F5" w14:textId="77777777" w:rsidR="00E65645" w:rsidRPr="00AA2617" w:rsidRDefault="00271A6B" w:rsidP="00AA2617">
            <w:pPr>
              <w:keepLines/>
              <w:spacing w:before="40" w:after="40"/>
              <w:jc w:val="left"/>
              <w:rPr>
                <w:rFonts w:cs="Times New Roman"/>
                <w:sz w:val="20"/>
                <w:lang w:val="en-GB"/>
              </w:rPr>
            </w:pPr>
            <w:r w:rsidRPr="00AA2617">
              <w:rPr>
                <w:rFonts w:cs="Times New Roman"/>
                <w:sz w:val="20"/>
                <w:lang w:val="en-GB"/>
              </w:rPr>
              <w:t>PMU, BH, LTO, GEF Coordination Unit, TCS Report Group</w:t>
            </w:r>
          </w:p>
        </w:tc>
        <w:tc>
          <w:tcPr>
            <w:tcW w:w="2469" w:type="dxa"/>
          </w:tcPr>
          <w:p w14:paraId="07E4081C"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At the end of project implementation</w:t>
            </w:r>
          </w:p>
        </w:tc>
        <w:tc>
          <w:tcPr>
            <w:tcW w:w="2029" w:type="dxa"/>
          </w:tcPr>
          <w:p w14:paraId="5217CA20" w14:textId="77777777" w:rsidR="00E65645" w:rsidRPr="00AA2617" w:rsidRDefault="00E65645" w:rsidP="00AA2617">
            <w:pPr>
              <w:keepLines/>
              <w:spacing w:before="40" w:after="40"/>
              <w:jc w:val="left"/>
              <w:rPr>
                <w:rFonts w:cs="Times New Roman"/>
                <w:sz w:val="20"/>
                <w:lang w:val="en-GB"/>
              </w:rPr>
            </w:pPr>
            <w:r w:rsidRPr="00AA2617">
              <w:rPr>
                <w:rFonts w:cs="Times New Roman"/>
                <w:sz w:val="20"/>
                <w:lang w:val="en-GB"/>
              </w:rPr>
              <w:t>USD 6,600</w:t>
            </w:r>
          </w:p>
        </w:tc>
      </w:tr>
      <w:tr w:rsidR="00E65645" w:rsidRPr="00AA2617" w14:paraId="19BF329F" w14:textId="77777777" w:rsidTr="00FD7D0F">
        <w:trPr>
          <w:jc w:val="center"/>
        </w:trPr>
        <w:tc>
          <w:tcPr>
            <w:tcW w:w="6719" w:type="dxa"/>
            <w:gridSpan w:val="3"/>
            <w:shd w:val="clear" w:color="auto" w:fill="B4C6E7" w:themeFill="accent1" w:themeFillTint="66"/>
          </w:tcPr>
          <w:p w14:paraId="4B452159" w14:textId="77777777" w:rsidR="00E65645" w:rsidRPr="00AA2617" w:rsidRDefault="00E65645" w:rsidP="00AA2617">
            <w:pPr>
              <w:spacing w:before="40" w:after="40"/>
              <w:jc w:val="left"/>
              <w:rPr>
                <w:rFonts w:cs="Times New Roman"/>
                <w:color w:val="0070C0"/>
                <w:sz w:val="20"/>
                <w:lang w:val="en-GB"/>
              </w:rPr>
            </w:pPr>
            <w:r w:rsidRPr="00AA2617">
              <w:rPr>
                <w:rFonts w:cs="Times New Roman"/>
                <w:sz w:val="20"/>
                <w:lang w:val="en-GB"/>
              </w:rPr>
              <w:t xml:space="preserve">Total </w:t>
            </w:r>
            <w:r w:rsidR="00D25DD2" w:rsidRPr="00AA2617">
              <w:rPr>
                <w:rFonts w:cs="Times New Roman"/>
                <w:sz w:val="20"/>
                <w:lang w:val="en-GB"/>
              </w:rPr>
              <w:t>Project B</w:t>
            </w:r>
            <w:r w:rsidRPr="00AA2617">
              <w:rPr>
                <w:rFonts w:cs="Times New Roman"/>
                <w:sz w:val="20"/>
                <w:lang w:val="en-GB"/>
              </w:rPr>
              <w:t>udget for M&amp;E</w:t>
            </w:r>
          </w:p>
        </w:tc>
        <w:tc>
          <w:tcPr>
            <w:tcW w:w="2029" w:type="dxa"/>
            <w:shd w:val="clear" w:color="auto" w:fill="B4C6E7" w:themeFill="accent1" w:themeFillTint="66"/>
          </w:tcPr>
          <w:p w14:paraId="361D3677" w14:textId="77777777" w:rsidR="00E65645" w:rsidRPr="00AA2617" w:rsidRDefault="00FD7D0F" w:rsidP="00AA2617">
            <w:pPr>
              <w:spacing w:before="40" w:after="40"/>
              <w:jc w:val="left"/>
              <w:rPr>
                <w:rFonts w:cs="Times New Roman"/>
                <w:color w:val="0070C0"/>
                <w:sz w:val="20"/>
                <w:lang w:val="en-GB"/>
              </w:rPr>
            </w:pPr>
            <w:r w:rsidRPr="00AA2617">
              <w:rPr>
                <w:rFonts w:cs="Times New Roman"/>
                <w:sz w:val="20"/>
                <w:lang w:val="en-GB"/>
              </w:rPr>
              <w:t xml:space="preserve">USD </w:t>
            </w:r>
            <w:r w:rsidR="00F64133" w:rsidRPr="00AA2617">
              <w:rPr>
                <w:rFonts w:cs="Times New Roman"/>
                <w:sz w:val="20"/>
                <w:lang w:val="en-GB"/>
              </w:rPr>
              <w:t>89</w:t>
            </w:r>
            <w:r w:rsidR="00B73A13" w:rsidRPr="00AA2617">
              <w:rPr>
                <w:rFonts w:cs="Times New Roman"/>
                <w:sz w:val="20"/>
                <w:lang w:val="en-GB"/>
              </w:rPr>
              <w:t>,100</w:t>
            </w:r>
          </w:p>
        </w:tc>
      </w:tr>
      <w:bookmarkEnd w:id="167"/>
    </w:tbl>
    <w:p w14:paraId="5705CADD" w14:textId="77777777" w:rsidR="00E65645" w:rsidRPr="00AA2617" w:rsidRDefault="00E65645" w:rsidP="00AA2617">
      <w:pPr>
        <w:rPr>
          <w:rFonts w:cs="Times New Roman"/>
          <w:color w:val="0070C0"/>
          <w:lang w:val="en-GB"/>
        </w:rPr>
      </w:pPr>
    </w:p>
    <w:p w14:paraId="1444569B" w14:textId="77777777" w:rsidR="00E65645" w:rsidRPr="00AA2617" w:rsidRDefault="00E65645" w:rsidP="00AA2617">
      <w:pPr>
        <w:pStyle w:val="Heading3"/>
        <w:spacing w:before="40" w:after="0"/>
        <w:rPr>
          <w:b/>
          <w:szCs w:val="22"/>
          <w:lang w:val="en-GB"/>
        </w:rPr>
      </w:pPr>
      <w:bookmarkStart w:id="168" w:name="_Toc510013457"/>
      <w:bookmarkStart w:id="169" w:name="_Toc513464462"/>
      <w:bookmarkStart w:id="170" w:name="_Toc9249213"/>
      <w:r w:rsidRPr="00AA2617">
        <w:rPr>
          <w:b/>
          <w:szCs w:val="22"/>
          <w:lang w:val="en-GB"/>
        </w:rPr>
        <w:t>Communication</w:t>
      </w:r>
      <w:bookmarkEnd w:id="168"/>
      <w:bookmarkEnd w:id="169"/>
      <w:bookmarkEnd w:id="170"/>
    </w:p>
    <w:p w14:paraId="1CBB3561" w14:textId="32F5A1BF" w:rsidR="00E65645" w:rsidRPr="00AA2617" w:rsidRDefault="00693C10" w:rsidP="00AA2617">
      <w:pPr>
        <w:pStyle w:val="NumberedParagraph"/>
        <w:spacing w:before="120"/>
        <w:rPr>
          <w:sz w:val="22"/>
          <w:lang w:val="en-GB"/>
        </w:rPr>
      </w:pPr>
      <w:r w:rsidRPr="00AA2617">
        <w:rPr>
          <w:sz w:val="22"/>
          <w:lang w:val="en-GB"/>
        </w:rPr>
        <w:t>In coordination with the activities under Output 1.2, a communication and knowledge-</w:t>
      </w:r>
      <w:r w:rsidR="00E65645" w:rsidRPr="00AA2617">
        <w:rPr>
          <w:sz w:val="22"/>
          <w:lang w:val="en-GB"/>
        </w:rPr>
        <w:t xml:space="preserve">sharing plan will be developed early in the project. </w:t>
      </w:r>
      <w:r w:rsidRPr="00AA2617">
        <w:rPr>
          <w:sz w:val="22"/>
          <w:lang w:val="en-GB"/>
        </w:rPr>
        <w:t xml:space="preserve"> </w:t>
      </w:r>
      <w:r w:rsidR="00E65645" w:rsidRPr="00AA2617">
        <w:rPr>
          <w:sz w:val="22"/>
          <w:lang w:val="en-GB"/>
        </w:rPr>
        <w:t>A work</w:t>
      </w:r>
      <w:r w:rsidRPr="00AA2617">
        <w:rPr>
          <w:sz w:val="22"/>
          <w:lang w:val="en-GB"/>
        </w:rPr>
        <w:t>-</w:t>
      </w:r>
      <w:r w:rsidR="00E65645" w:rsidRPr="00AA2617">
        <w:rPr>
          <w:sz w:val="22"/>
          <w:lang w:val="en-GB"/>
        </w:rPr>
        <w:t xml:space="preserve">plan will be </w:t>
      </w:r>
      <w:r w:rsidRPr="00AA2617">
        <w:rPr>
          <w:sz w:val="22"/>
          <w:lang w:val="en-GB"/>
        </w:rPr>
        <w:t>designed and enacted</w:t>
      </w:r>
      <w:r w:rsidR="00E65645" w:rsidRPr="00AA2617">
        <w:rPr>
          <w:sz w:val="22"/>
          <w:lang w:val="en-GB"/>
        </w:rPr>
        <w:t xml:space="preserve"> to share the results of the project and the lessons learned over the three years of project</w:t>
      </w:r>
      <w:r w:rsidRPr="00AA2617">
        <w:rPr>
          <w:sz w:val="22"/>
          <w:lang w:val="en-GB"/>
        </w:rPr>
        <w:t>’s</w:t>
      </w:r>
      <w:r w:rsidR="00E65645" w:rsidRPr="00AA2617">
        <w:rPr>
          <w:sz w:val="22"/>
          <w:lang w:val="en-GB"/>
        </w:rPr>
        <w:t xml:space="preserve"> implementation</w:t>
      </w:r>
      <w:r w:rsidRPr="00AA2617">
        <w:rPr>
          <w:sz w:val="22"/>
          <w:lang w:val="en-GB"/>
        </w:rPr>
        <w:t>.  Best practices, lessons learned, and relevant case studies</w:t>
      </w:r>
      <w:r w:rsidR="00E65645" w:rsidRPr="00AA2617">
        <w:rPr>
          <w:sz w:val="22"/>
          <w:lang w:val="en-GB"/>
        </w:rPr>
        <w:t xml:space="preserve"> will be documented and disseminated to </w:t>
      </w:r>
      <w:r w:rsidRPr="00AA2617">
        <w:rPr>
          <w:sz w:val="22"/>
          <w:lang w:val="en-GB"/>
        </w:rPr>
        <w:t xml:space="preserve">representatives of the project’s </w:t>
      </w:r>
      <w:r w:rsidR="00E65645" w:rsidRPr="00AA2617">
        <w:rPr>
          <w:sz w:val="22"/>
          <w:lang w:val="en-GB"/>
        </w:rPr>
        <w:t>stakeholders</w:t>
      </w:r>
      <w:r w:rsidRPr="00AA2617">
        <w:rPr>
          <w:sz w:val="22"/>
          <w:lang w:val="en-GB"/>
        </w:rPr>
        <w:t xml:space="preserve"> as well as to counterparts in other sectors and other countries, largely via the global CBIT projects.  The communication plan will align with the g</w:t>
      </w:r>
      <w:r w:rsidR="00E65645" w:rsidRPr="00AA2617">
        <w:rPr>
          <w:sz w:val="22"/>
          <w:lang w:val="en-GB"/>
        </w:rPr>
        <w:t>lobal CBIT projec</w:t>
      </w:r>
      <w:r w:rsidRPr="00AA2617">
        <w:rPr>
          <w:sz w:val="22"/>
          <w:lang w:val="en-GB"/>
        </w:rPr>
        <w:t>t’s communication and knowledge-sharing framework</w:t>
      </w:r>
      <w:r w:rsidR="00E65645" w:rsidRPr="00AA2617">
        <w:rPr>
          <w:sz w:val="22"/>
          <w:lang w:val="en-GB"/>
        </w:rPr>
        <w:t xml:space="preserve"> to disseminate the </w:t>
      </w:r>
      <w:r w:rsidRPr="00AA2617">
        <w:rPr>
          <w:sz w:val="22"/>
          <w:lang w:val="en-GB"/>
        </w:rPr>
        <w:t>project’s results,</w:t>
      </w:r>
      <w:r w:rsidR="00E65645" w:rsidRPr="00AA2617">
        <w:rPr>
          <w:sz w:val="22"/>
          <w:lang w:val="en-GB"/>
        </w:rPr>
        <w:t xml:space="preserve"> achievements</w:t>
      </w:r>
      <w:r w:rsidRPr="00AA2617">
        <w:rPr>
          <w:sz w:val="22"/>
          <w:lang w:val="en-GB"/>
        </w:rPr>
        <w:t xml:space="preserve">, and </w:t>
      </w:r>
      <w:r w:rsidR="00E65645" w:rsidRPr="00AA2617">
        <w:rPr>
          <w:sz w:val="22"/>
          <w:lang w:val="en-GB"/>
        </w:rPr>
        <w:t>lessons learned</w:t>
      </w:r>
      <w:r w:rsidR="00134C04" w:rsidRPr="00AA2617">
        <w:rPr>
          <w:sz w:val="22"/>
          <w:lang w:val="en-GB"/>
        </w:rPr>
        <w:t xml:space="preserve"> in line with the global reporting and communication requirements</w:t>
      </w:r>
      <w:r w:rsidR="00E65645" w:rsidRPr="00AA2617">
        <w:rPr>
          <w:sz w:val="22"/>
          <w:lang w:val="en-GB"/>
        </w:rPr>
        <w:t>.</w:t>
      </w:r>
    </w:p>
    <w:p w14:paraId="54FB7F23" w14:textId="77777777" w:rsidR="00084F30" w:rsidRPr="00AA2617" w:rsidRDefault="00693C10" w:rsidP="00AA2617">
      <w:pPr>
        <w:pStyle w:val="NumberedParagraph"/>
        <w:spacing w:before="120"/>
        <w:rPr>
          <w:sz w:val="22"/>
          <w:lang w:val="en-GB"/>
        </w:rPr>
      </w:pPr>
      <w:r w:rsidRPr="00AA2617">
        <w:rPr>
          <w:sz w:val="22"/>
          <w:lang w:val="en-GB"/>
        </w:rPr>
        <w:t>The</w:t>
      </w:r>
      <w:r w:rsidR="00E65645" w:rsidRPr="00AA2617">
        <w:rPr>
          <w:sz w:val="22"/>
          <w:lang w:val="en-GB"/>
        </w:rPr>
        <w:t xml:space="preserve"> communication plan will be developed jointly with key stakeholders. </w:t>
      </w:r>
      <w:r w:rsidR="002A0E5F" w:rsidRPr="00AA2617">
        <w:rPr>
          <w:sz w:val="22"/>
          <w:lang w:val="en-GB"/>
        </w:rPr>
        <w:t xml:space="preserve"> Diverse</w:t>
      </w:r>
      <w:r w:rsidR="00E65645" w:rsidRPr="00AA2617">
        <w:rPr>
          <w:sz w:val="22"/>
          <w:lang w:val="en-GB"/>
        </w:rPr>
        <w:t xml:space="preserve"> communication and visibility tools and approaches </w:t>
      </w:r>
      <w:r w:rsidR="002A0E5F" w:rsidRPr="00AA2617">
        <w:rPr>
          <w:sz w:val="22"/>
          <w:lang w:val="en-GB"/>
        </w:rPr>
        <w:t xml:space="preserve">(e.g., website, radio, press releases, leaflets/ pamphlets, training materials) </w:t>
      </w:r>
      <w:r w:rsidR="00E65645" w:rsidRPr="00AA2617">
        <w:rPr>
          <w:sz w:val="22"/>
          <w:lang w:val="en-GB"/>
        </w:rPr>
        <w:t>will be employed throughout the project</w:t>
      </w:r>
      <w:r w:rsidR="002A0E5F" w:rsidRPr="00AA2617">
        <w:rPr>
          <w:sz w:val="22"/>
          <w:lang w:val="en-GB"/>
        </w:rPr>
        <w:t>’s</w:t>
      </w:r>
      <w:r w:rsidR="00E65645" w:rsidRPr="00AA2617">
        <w:rPr>
          <w:sz w:val="22"/>
          <w:lang w:val="en-GB"/>
        </w:rPr>
        <w:t xml:space="preserve"> implementation to raise awareness of the proj</w:t>
      </w:r>
      <w:r w:rsidR="002A0E5F" w:rsidRPr="00AA2617">
        <w:rPr>
          <w:sz w:val="22"/>
          <w:lang w:val="en-GB"/>
        </w:rPr>
        <w:t>ect's key messages</w:t>
      </w:r>
      <w:r w:rsidR="00E65645" w:rsidRPr="00AA2617">
        <w:rPr>
          <w:sz w:val="22"/>
          <w:lang w:val="en-GB"/>
        </w:rPr>
        <w:t xml:space="preserve"> and support scaling-</w:t>
      </w:r>
      <w:r w:rsidR="002A0E5F" w:rsidRPr="00AA2617">
        <w:rPr>
          <w:sz w:val="22"/>
          <w:lang w:val="en-GB"/>
        </w:rPr>
        <w:t xml:space="preserve">up of the results.  </w:t>
      </w:r>
      <w:r w:rsidR="00E65645" w:rsidRPr="00AA2617">
        <w:rPr>
          <w:sz w:val="22"/>
          <w:lang w:val="en-GB"/>
        </w:rPr>
        <w:t>During the final workshop, consolidated information will be disseminated</w:t>
      </w:r>
      <w:r w:rsidR="002A0E5F" w:rsidRPr="00AA2617">
        <w:rPr>
          <w:sz w:val="22"/>
          <w:lang w:val="en-GB"/>
        </w:rPr>
        <w:t>,</w:t>
      </w:r>
      <w:r w:rsidR="00E65645" w:rsidRPr="00AA2617">
        <w:rPr>
          <w:sz w:val="22"/>
          <w:lang w:val="en-GB"/>
        </w:rPr>
        <w:t xml:space="preserve"> including the project</w:t>
      </w:r>
      <w:r w:rsidR="002A0E5F" w:rsidRPr="00AA2617">
        <w:rPr>
          <w:sz w:val="22"/>
          <w:lang w:val="en-GB"/>
        </w:rPr>
        <w:t>’s results, best practices, and lessons learned</w:t>
      </w:r>
      <w:r w:rsidR="00E65645" w:rsidRPr="00AA2617">
        <w:rPr>
          <w:sz w:val="22"/>
          <w:lang w:val="en-GB"/>
        </w:rPr>
        <w:t xml:space="preserve">. </w:t>
      </w:r>
    </w:p>
    <w:p w14:paraId="4F4944B2" w14:textId="77777777" w:rsidR="0010018B" w:rsidRPr="00AA2617" w:rsidRDefault="00084F30" w:rsidP="00AA2617">
      <w:pPr>
        <w:pStyle w:val="Heading2"/>
        <w:rPr>
          <w:b/>
          <w:lang w:val="en-GB"/>
        </w:rPr>
      </w:pPr>
      <w:bookmarkStart w:id="171" w:name="_Toc9249214"/>
      <w:r w:rsidRPr="00AA2617">
        <w:rPr>
          <w:b/>
          <w:lang w:val="en-GB"/>
        </w:rPr>
        <w:lastRenderedPageBreak/>
        <w:t>Risk Management</w:t>
      </w:r>
      <w:bookmarkEnd w:id="171"/>
    </w:p>
    <w:p w14:paraId="48DD387B" w14:textId="77777777" w:rsidR="00084F30" w:rsidRPr="00AA2617" w:rsidRDefault="00084F30" w:rsidP="00AA2617">
      <w:pPr>
        <w:pStyle w:val="Heading3"/>
        <w:rPr>
          <w:b/>
          <w:lang w:val="en-GB"/>
        </w:rPr>
      </w:pPr>
      <w:bookmarkStart w:id="172" w:name="_Toc9249215"/>
      <w:r w:rsidRPr="00AA2617">
        <w:rPr>
          <w:b/>
          <w:lang w:val="en-GB"/>
        </w:rPr>
        <w:t>Incorporation of lessons learned</w:t>
      </w:r>
      <w:bookmarkEnd w:id="172"/>
    </w:p>
    <w:p w14:paraId="69CC9C06" w14:textId="1640E9D5" w:rsidR="004769E8" w:rsidRPr="00AA2617" w:rsidRDefault="006A08C8" w:rsidP="00AA2617">
      <w:pPr>
        <w:keepNext/>
        <w:jc w:val="center"/>
        <w:rPr>
          <w:lang w:val="en-GB"/>
        </w:rPr>
      </w:pPr>
      <w:r w:rsidRPr="00AA2617">
        <w:rPr>
          <w:lang w:val="en-GB"/>
        </w:rPr>
        <w:t xml:space="preserve">Table </w:t>
      </w:r>
      <w:r w:rsidR="00BE79EE" w:rsidRPr="00AA2617">
        <w:rPr>
          <w:lang w:val="en-GB"/>
        </w:rPr>
        <w:t>1</w:t>
      </w:r>
      <w:r w:rsidR="00685CC4" w:rsidRPr="00AA2617">
        <w:rPr>
          <w:lang w:val="en-GB"/>
        </w:rPr>
        <w:t>1</w:t>
      </w:r>
      <w:r w:rsidRPr="00AA2617">
        <w:rPr>
          <w:lang w:val="en-GB"/>
        </w:rPr>
        <w:t>.  Incorporation of Lessons Learned from Relevant Prior Projects</w:t>
      </w:r>
    </w:p>
    <w:tbl>
      <w:tblPr>
        <w:tblStyle w:val="TableGrid"/>
        <w:tblW w:w="0" w:type="auto"/>
        <w:tblLook w:val="04A0" w:firstRow="1" w:lastRow="0" w:firstColumn="1" w:lastColumn="0" w:noHBand="0" w:noVBand="1"/>
      </w:tblPr>
      <w:tblGrid>
        <w:gridCol w:w="2501"/>
        <w:gridCol w:w="3235"/>
        <w:gridCol w:w="3280"/>
      </w:tblGrid>
      <w:tr w:rsidR="00134C04" w:rsidRPr="00AA2617" w14:paraId="4186A20F" w14:textId="77777777" w:rsidTr="00BA3E1F">
        <w:trPr>
          <w:tblHeader/>
        </w:trPr>
        <w:tc>
          <w:tcPr>
            <w:tcW w:w="2501" w:type="dxa"/>
            <w:shd w:val="clear" w:color="auto" w:fill="B4C6E7" w:themeFill="accent1" w:themeFillTint="66"/>
            <w:vAlign w:val="center"/>
          </w:tcPr>
          <w:p w14:paraId="3DEBA8E9" w14:textId="77777777" w:rsidR="00134C04" w:rsidRPr="00AA2617" w:rsidRDefault="00134C04" w:rsidP="00AA2617">
            <w:pPr>
              <w:keepNext/>
              <w:jc w:val="center"/>
              <w:rPr>
                <w:szCs w:val="21"/>
                <w:lang w:val="en-GB"/>
              </w:rPr>
            </w:pPr>
            <w:bookmarkStart w:id="173" w:name="_Hlk3543308"/>
            <w:r w:rsidRPr="00AA2617">
              <w:rPr>
                <w:szCs w:val="21"/>
                <w:lang w:val="en-GB"/>
              </w:rPr>
              <w:t>Project Title</w:t>
            </w:r>
          </w:p>
          <w:p w14:paraId="14BBB7CE" w14:textId="77777777" w:rsidR="00134C04" w:rsidRPr="00AA2617" w:rsidRDefault="00134C04" w:rsidP="00AA2617">
            <w:pPr>
              <w:keepNext/>
              <w:jc w:val="center"/>
              <w:rPr>
                <w:szCs w:val="21"/>
                <w:lang w:val="en-GB"/>
              </w:rPr>
            </w:pPr>
            <w:r w:rsidRPr="00AA2617">
              <w:rPr>
                <w:szCs w:val="21"/>
                <w:lang w:val="en-GB"/>
              </w:rPr>
              <w:t>(Agency; Document; Date)</w:t>
            </w:r>
          </w:p>
        </w:tc>
        <w:tc>
          <w:tcPr>
            <w:tcW w:w="3235" w:type="dxa"/>
            <w:shd w:val="clear" w:color="auto" w:fill="B4C6E7" w:themeFill="accent1" w:themeFillTint="66"/>
            <w:vAlign w:val="center"/>
          </w:tcPr>
          <w:p w14:paraId="0087266B" w14:textId="77777777" w:rsidR="00134C04" w:rsidRPr="00AA2617" w:rsidRDefault="00134C04" w:rsidP="00AA2617">
            <w:pPr>
              <w:keepNext/>
              <w:jc w:val="center"/>
              <w:rPr>
                <w:szCs w:val="21"/>
                <w:lang w:val="en-GB"/>
              </w:rPr>
            </w:pPr>
            <w:r w:rsidRPr="00AA2617">
              <w:rPr>
                <w:szCs w:val="21"/>
                <w:lang w:val="en-GB"/>
              </w:rPr>
              <w:t>Relevant Recommendation</w:t>
            </w:r>
          </w:p>
        </w:tc>
        <w:tc>
          <w:tcPr>
            <w:tcW w:w="3280" w:type="dxa"/>
            <w:shd w:val="clear" w:color="auto" w:fill="B4C6E7" w:themeFill="accent1" w:themeFillTint="66"/>
            <w:vAlign w:val="center"/>
          </w:tcPr>
          <w:p w14:paraId="5BD97C69" w14:textId="77777777" w:rsidR="00134C04" w:rsidRPr="00AA2617" w:rsidRDefault="00134C04" w:rsidP="00AA2617">
            <w:pPr>
              <w:keepNext/>
              <w:jc w:val="center"/>
              <w:rPr>
                <w:szCs w:val="21"/>
                <w:lang w:val="en-GB"/>
              </w:rPr>
            </w:pPr>
            <w:r w:rsidRPr="00AA2617">
              <w:rPr>
                <w:szCs w:val="21"/>
                <w:lang w:val="en-GB"/>
              </w:rPr>
              <w:t>Incorporation</w:t>
            </w:r>
          </w:p>
        </w:tc>
      </w:tr>
      <w:tr w:rsidR="00134C04" w:rsidRPr="00AA2617" w14:paraId="39C3F5AA" w14:textId="77777777" w:rsidTr="00BA3E1F">
        <w:trPr>
          <w:cantSplit/>
        </w:trPr>
        <w:tc>
          <w:tcPr>
            <w:tcW w:w="2501" w:type="dxa"/>
            <w:vMerge w:val="restart"/>
          </w:tcPr>
          <w:p w14:paraId="6503FD8D" w14:textId="77777777" w:rsidR="00134C04" w:rsidRPr="00AA2617" w:rsidRDefault="00134C04" w:rsidP="00AA2617">
            <w:pPr>
              <w:contextualSpacing/>
              <w:jc w:val="left"/>
              <w:rPr>
                <w:rFonts w:cs="Arial"/>
                <w:bCs/>
                <w:sz w:val="20"/>
                <w:szCs w:val="20"/>
                <w:lang w:eastAsia="ja-JP"/>
              </w:rPr>
            </w:pPr>
            <w:r w:rsidRPr="00AA2617">
              <w:rPr>
                <w:rFonts w:cs="Arial"/>
                <w:bCs/>
                <w:sz w:val="20"/>
                <w:szCs w:val="20"/>
                <w:lang w:eastAsia="ja-JP"/>
              </w:rPr>
              <w:t>UNJP/SRL/064/UNJ Under the Reducing Emissions from Deforestation and Degradation (UN-REDD) Sri Lanka National Programme (2013-2017)</w:t>
            </w:r>
          </w:p>
        </w:tc>
        <w:tc>
          <w:tcPr>
            <w:tcW w:w="3235" w:type="dxa"/>
          </w:tcPr>
          <w:p w14:paraId="6522FDD6" w14:textId="77777777" w:rsidR="00134C04" w:rsidRPr="00AA2617" w:rsidRDefault="00134C04" w:rsidP="00AA2617">
            <w:pPr>
              <w:jc w:val="left"/>
              <w:rPr>
                <w:rFonts w:cstheme="minorHAnsi"/>
                <w:lang w:val="en-GB"/>
              </w:rPr>
            </w:pPr>
            <w:r w:rsidRPr="00AA2617">
              <w:rPr>
                <w:rFonts w:cstheme="minorHAnsi"/>
                <w:lang w:val="en-GB"/>
              </w:rPr>
              <w:t>There is high interest in technically specific capacity development, especially for relevant application at local level</w:t>
            </w:r>
          </w:p>
          <w:p w14:paraId="0A70DF00" w14:textId="77777777" w:rsidR="00134C04" w:rsidRPr="00AA2617" w:rsidRDefault="00134C04" w:rsidP="00AA2617">
            <w:pPr>
              <w:jc w:val="left"/>
              <w:rPr>
                <w:szCs w:val="21"/>
                <w:lang w:val="en-GB"/>
              </w:rPr>
            </w:pPr>
          </w:p>
        </w:tc>
        <w:tc>
          <w:tcPr>
            <w:tcW w:w="3280" w:type="dxa"/>
          </w:tcPr>
          <w:p w14:paraId="2727B7D4" w14:textId="77777777" w:rsidR="00134C04" w:rsidRPr="00AA2617" w:rsidRDefault="00134C04" w:rsidP="00AA2617">
            <w:pPr>
              <w:pStyle w:val="ListParagraph"/>
              <w:numPr>
                <w:ilvl w:val="0"/>
                <w:numId w:val="26"/>
              </w:numPr>
              <w:ind w:left="139" w:hanging="180"/>
              <w:jc w:val="left"/>
              <w:rPr>
                <w:szCs w:val="21"/>
                <w:lang w:val="en-GB"/>
              </w:rPr>
            </w:pPr>
            <w:r w:rsidRPr="00AA2617">
              <w:rPr>
                <w:lang w:val="en-GB"/>
              </w:rPr>
              <w:t>Project specifically strengthens relevant decentralized technological and human capacities</w:t>
            </w:r>
          </w:p>
        </w:tc>
      </w:tr>
      <w:tr w:rsidR="00134C04" w:rsidRPr="00AA2617" w14:paraId="6FD15CCF" w14:textId="77777777" w:rsidTr="00BA3E1F">
        <w:trPr>
          <w:cantSplit/>
        </w:trPr>
        <w:tc>
          <w:tcPr>
            <w:tcW w:w="2501" w:type="dxa"/>
            <w:vMerge/>
          </w:tcPr>
          <w:p w14:paraId="2DB456B2" w14:textId="77777777" w:rsidR="00134C04" w:rsidRPr="00AA2617" w:rsidRDefault="00134C04" w:rsidP="00AA2617">
            <w:pPr>
              <w:contextualSpacing/>
              <w:jc w:val="left"/>
              <w:rPr>
                <w:rFonts w:cs="Arial"/>
                <w:bCs/>
                <w:sz w:val="20"/>
                <w:szCs w:val="20"/>
                <w:lang w:eastAsia="ja-JP"/>
              </w:rPr>
            </w:pPr>
          </w:p>
        </w:tc>
        <w:tc>
          <w:tcPr>
            <w:tcW w:w="3235" w:type="dxa"/>
          </w:tcPr>
          <w:p w14:paraId="7A6EBFA1" w14:textId="77777777" w:rsidR="00134C04" w:rsidRPr="00AA2617" w:rsidRDefault="00134C04" w:rsidP="00AA2617">
            <w:pPr>
              <w:jc w:val="left"/>
              <w:rPr>
                <w:rFonts w:cs="Arial"/>
                <w:sz w:val="20"/>
                <w:szCs w:val="20"/>
                <w:lang w:eastAsia="ja-JP"/>
              </w:rPr>
            </w:pPr>
            <w:r w:rsidRPr="00AA2617">
              <w:rPr>
                <w:rFonts w:cs="Arial"/>
                <w:sz w:val="20"/>
                <w:szCs w:val="20"/>
                <w:lang w:eastAsia="ja-JP"/>
              </w:rPr>
              <w:t xml:space="preserve">National Forest Reference Emissions Level (FREL) and National Forest Monitoring System (NFMS) has been developed and available for adaptation </w:t>
            </w:r>
          </w:p>
          <w:p w14:paraId="05BA82F2" w14:textId="77777777" w:rsidR="00134C04" w:rsidRPr="00AA2617" w:rsidRDefault="00134C04" w:rsidP="00AA2617">
            <w:pPr>
              <w:jc w:val="left"/>
              <w:rPr>
                <w:rFonts w:cstheme="minorHAnsi"/>
                <w:lang w:val="en-GB"/>
              </w:rPr>
            </w:pPr>
          </w:p>
        </w:tc>
        <w:tc>
          <w:tcPr>
            <w:tcW w:w="3280" w:type="dxa"/>
          </w:tcPr>
          <w:p w14:paraId="5F3E3057" w14:textId="77777777" w:rsidR="00134C04" w:rsidRPr="00AA2617" w:rsidRDefault="00134C04" w:rsidP="00AA2617">
            <w:pPr>
              <w:pStyle w:val="ListParagraph"/>
              <w:numPr>
                <w:ilvl w:val="0"/>
                <w:numId w:val="26"/>
              </w:numPr>
              <w:ind w:left="139" w:hanging="180"/>
              <w:jc w:val="left"/>
              <w:rPr>
                <w:lang w:val="en-GB"/>
              </w:rPr>
            </w:pPr>
            <w:r w:rsidRPr="00AA2617">
              <w:rPr>
                <w:rFonts w:cs="Arial"/>
                <w:sz w:val="20"/>
                <w:szCs w:val="20"/>
                <w:lang w:eastAsia="ja-JP"/>
              </w:rPr>
              <w:t>This CBIT project will build upon REDD+ capacity needs assessments at national and regional levels and expand to other land-use types with a particular focus on agriculture</w:t>
            </w:r>
          </w:p>
        </w:tc>
      </w:tr>
      <w:tr w:rsidR="00134C04" w:rsidRPr="00AA2617" w14:paraId="2224F771" w14:textId="77777777" w:rsidTr="00BA3E1F">
        <w:trPr>
          <w:cantSplit/>
        </w:trPr>
        <w:tc>
          <w:tcPr>
            <w:tcW w:w="2501" w:type="dxa"/>
            <w:vMerge/>
          </w:tcPr>
          <w:p w14:paraId="4DE25DEB" w14:textId="77777777" w:rsidR="00134C04" w:rsidRPr="00AA2617" w:rsidRDefault="00134C04" w:rsidP="00AA2617">
            <w:pPr>
              <w:contextualSpacing/>
              <w:jc w:val="left"/>
              <w:rPr>
                <w:rFonts w:cs="Arial"/>
                <w:bCs/>
                <w:sz w:val="20"/>
                <w:szCs w:val="20"/>
                <w:lang w:eastAsia="ja-JP"/>
              </w:rPr>
            </w:pPr>
          </w:p>
        </w:tc>
        <w:tc>
          <w:tcPr>
            <w:tcW w:w="3235" w:type="dxa"/>
          </w:tcPr>
          <w:p w14:paraId="0039EFCB" w14:textId="77777777" w:rsidR="00134C04" w:rsidRPr="00AA2617" w:rsidRDefault="00134C04" w:rsidP="00AA2617">
            <w:pPr>
              <w:jc w:val="left"/>
              <w:rPr>
                <w:rFonts w:cs="Arial"/>
                <w:sz w:val="20"/>
                <w:szCs w:val="20"/>
                <w:lang w:val="en-GB" w:eastAsia="ja-JP"/>
              </w:rPr>
            </w:pPr>
            <w:r w:rsidRPr="00AA2617">
              <w:rPr>
                <w:rFonts w:cs="Arial"/>
                <w:sz w:val="20"/>
                <w:szCs w:val="20"/>
                <w:lang w:val="en-GB" w:eastAsia="ja-JP"/>
              </w:rPr>
              <w:t xml:space="preserve">Stakeholders capacity increased towards working on MRV in Agriculture sector. </w:t>
            </w:r>
          </w:p>
          <w:p w14:paraId="49B0F60B" w14:textId="77777777" w:rsidR="00134C04" w:rsidRPr="00AA2617" w:rsidRDefault="00134C04" w:rsidP="00AA2617">
            <w:pPr>
              <w:jc w:val="left"/>
              <w:rPr>
                <w:rFonts w:cstheme="minorHAnsi"/>
                <w:lang w:val="en-GB"/>
              </w:rPr>
            </w:pPr>
          </w:p>
        </w:tc>
        <w:tc>
          <w:tcPr>
            <w:tcW w:w="3280" w:type="dxa"/>
          </w:tcPr>
          <w:p w14:paraId="24DBDFC9" w14:textId="77777777" w:rsidR="00134C04" w:rsidRPr="00AA2617" w:rsidRDefault="00134C04" w:rsidP="00AA2617">
            <w:pPr>
              <w:pStyle w:val="ListParagraph"/>
              <w:numPr>
                <w:ilvl w:val="0"/>
                <w:numId w:val="26"/>
              </w:numPr>
              <w:ind w:left="139" w:hanging="180"/>
              <w:jc w:val="left"/>
              <w:rPr>
                <w:szCs w:val="21"/>
                <w:lang w:val="en-GB"/>
              </w:rPr>
            </w:pPr>
            <w:r w:rsidRPr="00AA2617">
              <w:rPr>
                <w:rFonts w:cs="Arial"/>
                <w:sz w:val="20"/>
                <w:szCs w:val="20"/>
                <w:lang w:eastAsia="ja-JP"/>
              </w:rPr>
              <w:t>Experiences accumulated by FAO and partners in developing REDD+ MRV systems including Forest Reference Emission Levels (FREL) will be used as the basis for designing and implementing MRV systems for agriculture activities identified in Sri Lanka’s NDC.</w:t>
            </w:r>
          </w:p>
        </w:tc>
      </w:tr>
      <w:tr w:rsidR="00134C04" w:rsidRPr="00AA2617" w14:paraId="5B1217FA" w14:textId="77777777" w:rsidTr="00BA3E1F">
        <w:trPr>
          <w:cantSplit/>
        </w:trPr>
        <w:tc>
          <w:tcPr>
            <w:tcW w:w="2501" w:type="dxa"/>
            <w:vMerge/>
          </w:tcPr>
          <w:p w14:paraId="7F356038" w14:textId="77777777" w:rsidR="00134C04" w:rsidRPr="00AA2617" w:rsidRDefault="00134C04" w:rsidP="00AA2617">
            <w:pPr>
              <w:contextualSpacing/>
              <w:jc w:val="left"/>
              <w:rPr>
                <w:rFonts w:cs="Arial"/>
                <w:bCs/>
                <w:sz w:val="20"/>
                <w:szCs w:val="20"/>
                <w:lang w:eastAsia="ja-JP"/>
              </w:rPr>
            </w:pPr>
          </w:p>
        </w:tc>
        <w:tc>
          <w:tcPr>
            <w:tcW w:w="3235" w:type="dxa"/>
          </w:tcPr>
          <w:p w14:paraId="3DB9510F" w14:textId="77777777" w:rsidR="00134C04" w:rsidRPr="00AA2617" w:rsidRDefault="00134C04" w:rsidP="00AA2617">
            <w:pPr>
              <w:jc w:val="left"/>
              <w:rPr>
                <w:rFonts w:cs="Arial"/>
                <w:sz w:val="20"/>
                <w:szCs w:val="20"/>
                <w:lang w:eastAsia="ja-JP"/>
              </w:rPr>
            </w:pPr>
            <w:r w:rsidRPr="00AA2617">
              <w:rPr>
                <w:rFonts w:cs="Arial"/>
                <w:sz w:val="20"/>
                <w:szCs w:val="20"/>
                <w:lang w:eastAsia="ja-JP"/>
              </w:rPr>
              <w:t xml:space="preserve">The understanding on importance of collaboration among the government stakeholders improved. </w:t>
            </w:r>
          </w:p>
          <w:p w14:paraId="09678B16" w14:textId="77777777" w:rsidR="00134C04" w:rsidRPr="00AA2617" w:rsidRDefault="00134C04" w:rsidP="00AA2617">
            <w:pPr>
              <w:jc w:val="left"/>
              <w:rPr>
                <w:rFonts w:cstheme="minorHAnsi"/>
                <w:lang w:val="en-GB"/>
              </w:rPr>
            </w:pPr>
          </w:p>
        </w:tc>
        <w:tc>
          <w:tcPr>
            <w:tcW w:w="3280" w:type="dxa"/>
          </w:tcPr>
          <w:p w14:paraId="644F8E47" w14:textId="77777777" w:rsidR="00134C04" w:rsidRPr="00AA2617" w:rsidRDefault="00134C04" w:rsidP="00AA2617">
            <w:pPr>
              <w:jc w:val="left"/>
              <w:rPr>
                <w:szCs w:val="21"/>
                <w:lang w:val="en-GB"/>
              </w:rPr>
            </w:pPr>
            <w:r w:rsidRPr="00AA2617">
              <w:rPr>
                <w:rFonts w:eastAsia="SimSun"/>
                <w:iCs/>
                <w:color w:val="000000"/>
                <w:sz w:val="20"/>
                <w:szCs w:val="20"/>
                <w:lang w:val="en-GB"/>
              </w:rPr>
              <w:t>The proposed CBIT will ensure coordination to ensure contributing to enhance transparency-related processes; and building upon the existing capacity available through this programme. The horizon of GHG inventory will be expended to agriculture, livestock and other relevant sectors to enable Sri Lanka to report in its National Communications.</w:t>
            </w:r>
          </w:p>
        </w:tc>
      </w:tr>
      <w:tr w:rsidR="00134C04" w:rsidRPr="00AA2617" w14:paraId="35AD4F82" w14:textId="77777777" w:rsidTr="00BA3E1F">
        <w:trPr>
          <w:cantSplit/>
          <w:trHeight w:val="1741"/>
        </w:trPr>
        <w:tc>
          <w:tcPr>
            <w:tcW w:w="2501" w:type="dxa"/>
            <w:vMerge w:val="restart"/>
          </w:tcPr>
          <w:p w14:paraId="602EB805" w14:textId="77777777" w:rsidR="00134C04" w:rsidRPr="00AA2617" w:rsidRDefault="00134C04" w:rsidP="00AA2617">
            <w:pPr>
              <w:contextualSpacing/>
              <w:jc w:val="left"/>
              <w:rPr>
                <w:rFonts w:cs="Arial"/>
                <w:bCs/>
                <w:sz w:val="20"/>
                <w:szCs w:val="20"/>
                <w:lang w:eastAsia="ja-JP"/>
              </w:rPr>
            </w:pPr>
            <w:r w:rsidRPr="00AA2617">
              <w:rPr>
                <w:rFonts w:cs="Arial"/>
                <w:bCs/>
                <w:sz w:val="20"/>
                <w:szCs w:val="20"/>
                <w:lang w:eastAsia="ja-JP"/>
              </w:rPr>
              <w:t xml:space="preserve">GCP/SRL/063/GFF, Rehabilitation of degraded agricultural lands in Kandy, Badulla and Nuwara Eliya Districts in the Central Highlands (2015 to 2019) </w:t>
            </w:r>
          </w:p>
        </w:tc>
        <w:tc>
          <w:tcPr>
            <w:tcW w:w="3235" w:type="dxa"/>
          </w:tcPr>
          <w:p w14:paraId="7B568EB9" w14:textId="77777777" w:rsidR="00134C04" w:rsidRPr="00AA2617" w:rsidRDefault="00134C04" w:rsidP="00AA2617">
            <w:pPr>
              <w:autoSpaceDE w:val="0"/>
              <w:autoSpaceDN w:val="0"/>
              <w:adjustRightInd w:val="0"/>
              <w:jc w:val="left"/>
              <w:rPr>
                <w:rFonts w:cs="Arial"/>
                <w:sz w:val="20"/>
                <w:szCs w:val="20"/>
                <w:lang w:eastAsia="ja-JP"/>
              </w:rPr>
            </w:pPr>
            <w:r w:rsidRPr="00AA2617">
              <w:rPr>
                <w:rFonts w:cs="Arial"/>
                <w:sz w:val="20"/>
                <w:szCs w:val="20"/>
                <w:lang w:eastAsia="ja-JP"/>
              </w:rPr>
              <w:t xml:space="preserve">Local communities gain awareness agro-ecosystem and reducing pressure on natural resources and adopted environment friendly vegetable cultivation in Central Province </w:t>
            </w:r>
          </w:p>
        </w:tc>
        <w:tc>
          <w:tcPr>
            <w:tcW w:w="3280" w:type="dxa"/>
          </w:tcPr>
          <w:p w14:paraId="42AE5986" w14:textId="77777777" w:rsidR="00134C04" w:rsidRPr="00AA2617" w:rsidRDefault="00134C04" w:rsidP="00AA2617">
            <w:pPr>
              <w:jc w:val="left"/>
              <w:rPr>
                <w:lang w:val="en-GB"/>
              </w:rPr>
            </w:pPr>
            <w:r w:rsidRPr="00AA2617">
              <w:rPr>
                <w:lang w:val="en-GB"/>
              </w:rPr>
              <w:t xml:space="preserve">CBIT project will improve the capacity of stakeholders to report on the GHG emission in agriculture taking into account of the positive contribution of organic vegetable cultivation in central province  </w:t>
            </w:r>
          </w:p>
        </w:tc>
      </w:tr>
      <w:tr w:rsidR="00134C04" w:rsidRPr="00AA2617" w14:paraId="35A8F42A" w14:textId="77777777" w:rsidTr="00BA3E1F">
        <w:trPr>
          <w:cantSplit/>
          <w:trHeight w:val="1741"/>
        </w:trPr>
        <w:tc>
          <w:tcPr>
            <w:tcW w:w="2501" w:type="dxa"/>
            <w:vMerge/>
          </w:tcPr>
          <w:p w14:paraId="54D0024C" w14:textId="77777777" w:rsidR="00134C04" w:rsidRPr="00AA2617" w:rsidRDefault="00134C04" w:rsidP="00AA2617">
            <w:pPr>
              <w:contextualSpacing/>
              <w:jc w:val="left"/>
              <w:rPr>
                <w:rFonts w:cs="Arial"/>
                <w:bCs/>
                <w:sz w:val="20"/>
                <w:szCs w:val="20"/>
                <w:lang w:eastAsia="ja-JP"/>
              </w:rPr>
            </w:pPr>
          </w:p>
        </w:tc>
        <w:tc>
          <w:tcPr>
            <w:tcW w:w="3235" w:type="dxa"/>
          </w:tcPr>
          <w:p w14:paraId="4AF4EFCE" w14:textId="77777777" w:rsidR="00134C04" w:rsidRPr="00AA2617" w:rsidRDefault="00134C04" w:rsidP="00AA2617">
            <w:pPr>
              <w:autoSpaceDE w:val="0"/>
              <w:autoSpaceDN w:val="0"/>
              <w:adjustRightInd w:val="0"/>
              <w:jc w:val="left"/>
              <w:rPr>
                <w:rFonts w:cs="Arial"/>
                <w:sz w:val="20"/>
                <w:szCs w:val="20"/>
                <w:lang w:eastAsia="ja-JP"/>
              </w:rPr>
            </w:pPr>
            <w:r w:rsidRPr="00AA2617">
              <w:rPr>
                <w:lang w:val="en"/>
              </w:rPr>
              <w:t>Number of technical best practices can be acknowledged, such as seed and crop selection, agronomic practices such as improving soil quality, crop-livestock integration, land management, water harvesting and improving kitchen gardens were successfully undertaken through the project. These have enhanced the knowledge of marginalized farmers mainly on resilient agriculture and water management.</w:t>
            </w:r>
          </w:p>
          <w:p w14:paraId="31A095A4" w14:textId="77777777" w:rsidR="00134C04" w:rsidRPr="00AA2617" w:rsidRDefault="00134C04" w:rsidP="00AA2617">
            <w:pPr>
              <w:autoSpaceDE w:val="0"/>
              <w:autoSpaceDN w:val="0"/>
              <w:adjustRightInd w:val="0"/>
              <w:jc w:val="left"/>
              <w:rPr>
                <w:rFonts w:cs="Arial"/>
                <w:sz w:val="20"/>
                <w:szCs w:val="20"/>
                <w:lang w:eastAsia="ja-JP"/>
              </w:rPr>
            </w:pPr>
          </w:p>
        </w:tc>
        <w:tc>
          <w:tcPr>
            <w:tcW w:w="3280" w:type="dxa"/>
          </w:tcPr>
          <w:p w14:paraId="78998C51" w14:textId="77777777" w:rsidR="00134C04" w:rsidRPr="00AA2617" w:rsidRDefault="00134C04" w:rsidP="00AA2617">
            <w:pPr>
              <w:jc w:val="left"/>
              <w:rPr>
                <w:lang w:val="en-GB"/>
              </w:rPr>
            </w:pPr>
            <w:r w:rsidRPr="00AA2617">
              <w:rPr>
                <w:lang w:val="en-GB"/>
              </w:rPr>
              <w:t>Agriculture sector improve its contribution toward reporting NDCs and better use the support of CBIT project to build on the reporting structure and tools.</w:t>
            </w:r>
          </w:p>
        </w:tc>
      </w:tr>
      <w:tr w:rsidR="00134C04" w:rsidRPr="00AA2617" w14:paraId="55117D26" w14:textId="77777777" w:rsidTr="00BA3E1F">
        <w:trPr>
          <w:cantSplit/>
          <w:trHeight w:val="1741"/>
        </w:trPr>
        <w:tc>
          <w:tcPr>
            <w:tcW w:w="2501" w:type="dxa"/>
            <w:vMerge w:val="restart"/>
          </w:tcPr>
          <w:p w14:paraId="2DABC919" w14:textId="77777777" w:rsidR="00134C04" w:rsidRPr="00AA2617" w:rsidRDefault="00134C04" w:rsidP="00AA2617">
            <w:pPr>
              <w:contextualSpacing/>
              <w:jc w:val="left"/>
              <w:rPr>
                <w:bCs/>
                <w:sz w:val="20"/>
                <w:szCs w:val="20"/>
              </w:rPr>
            </w:pPr>
            <w:r w:rsidRPr="00AA2617">
              <w:rPr>
                <w:bCs/>
                <w:sz w:val="20"/>
                <w:szCs w:val="20"/>
              </w:rPr>
              <w:t xml:space="preserve">GCP/SRL/048/GEF, Promoting Sustainable Biomass Production and the Modern Bio-Energy Technologies, (2014 to 2017). </w:t>
            </w:r>
          </w:p>
          <w:p w14:paraId="324E95C1" w14:textId="77777777" w:rsidR="00134C04" w:rsidRPr="00AA2617" w:rsidRDefault="00134C04" w:rsidP="00AA2617">
            <w:pPr>
              <w:jc w:val="left"/>
              <w:rPr>
                <w:lang w:val="en-GB"/>
              </w:rPr>
            </w:pPr>
          </w:p>
        </w:tc>
        <w:tc>
          <w:tcPr>
            <w:tcW w:w="3235" w:type="dxa"/>
          </w:tcPr>
          <w:p w14:paraId="0BD3E682" w14:textId="77777777" w:rsidR="00134C04" w:rsidRPr="00AA2617" w:rsidRDefault="00134C04" w:rsidP="00AA2617">
            <w:pPr>
              <w:autoSpaceDE w:val="0"/>
              <w:autoSpaceDN w:val="0"/>
              <w:adjustRightInd w:val="0"/>
              <w:jc w:val="left"/>
              <w:rPr>
                <w:rFonts w:cs="Arial"/>
                <w:sz w:val="20"/>
                <w:szCs w:val="20"/>
                <w:lang w:eastAsia="ja-JP"/>
              </w:rPr>
            </w:pPr>
            <w:r w:rsidRPr="00AA2617">
              <w:rPr>
                <w:rFonts w:cs="Arial"/>
                <w:sz w:val="20"/>
                <w:szCs w:val="20"/>
                <w:lang w:eastAsia="ja-JP"/>
              </w:rPr>
              <w:t xml:space="preserve">Biomass energy generation and adaptation of bio-mass based energy technologies improved </w:t>
            </w:r>
          </w:p>
          <w:p w14:paraId="5B3EB116" w14:textId="77777777" w:rsidR="00134C04" w:rsidRPr="00AA2617" w:rsidRDefault="00134C04" w:rsidP="00AA2617">
            <w:pPr>
              <w:autoSpaceDE w:val="0"/>
              <w:autoSpaceDN w:val="0"/>
              <w:adjustRightInd w:val="0"/>
              <w:jc w:val="left"/>
              <w:rPr>
                <w:rFonts w:cstheme="minorHAnsi"/>
                <w:lang w:val="en-GB"/>
              </w:rPr>
            </w:pPr>
          </w:p>
        </w:tc>
        <w:tc>
          <w:tcPr>
            <w:tcW w:w="3280" w:type="dxa"/>
          </w:tcPr>
          <w:p w14:paraId="0F1C8B1C" w14:textId="77777777" w:rsidR="00134C04" w:rsidRPr="00AA2617" w:rsidRDefault="00134C04" w:rsidP="00AA2617">
            <w:pPr>
              <w:pStyle w:val="ListParagraph"/>
              <w:numPr>
                <w:ilvl w:val="0"/>
                <w:numId w:val="26"/>
              </w:numPr>
              <w:ind w:left="139" w:hanging="180"/>
              <w:jc w:val="left"/>
              <w:rPr>
                <w:szCs w:val="21"/>
                <w:lang w:val="en-GB"/>
              </w:rPr>
            </w:pPr>
            <w:r w:rsidRPr="00AA2617">
              <w:rPr>
                <w:rFonts w:eastAsia="SimSun"/>
                <w:iCs/>
                <w:color w:val="000000"/>
                <w:sz w:val="20"/>
                <w:szCs w:val="20"/>
                <w:lang w:val="en-GB"/>
              </w:rPr>
              <w:t>The proposed CBIT will help in transfer of knowledge for GHG inventory to set baseline for future monitoring and reporting purposes</w:t>
            </w:r>
          </w:p>
        </w:tc>
      </w:tr>
      <w:tr w:rsidR="00134C04" w:rsidRPr="00AA2617" w14:paraId="02395DE3" w14:textId="77777777" w:rsidTr="00BA3E1F">
        <w:trPr>
          <w:cantSplit/>
          <w:trHeight w:val="1741"/>
        </w:trPr>
        <w:tc>
          <w:tcPr>
            <w:tcW w:w="2501" w:type="dxa"/>
            <w:vMerge/>
          </w:tcPr>
          <w:p w14:paraId="1AFAFBB1" w14:textId="77777777" w:rsidR="00134C04" w:rsidRPr="00AA2617" w:rsidRDefault="00134C04" w:rsidP="00AA2617">
            <w:pPr>
              <w:contextualSpacing/>
              <w:jc w:val="left"/>
              <w:rPr>
                <w:bCs/>
                <w:sz w:val="20"/>
                <w:szCs w:val="20"/>
              </w:rPr>
            </w:pPr>
          </w:p>
        </w:tc>
        <w:tc>
          <w:tcPr>
            <w:tcW w:w="3235" w:type="dxa"/>
          </w:tcPr>
          <w:p w14:paraId="29966375" w14:textId="77777777" w:rsidR="00134C04" w:rsidRPr="00AA2617" w:rsidRDefault="00134C04" w:rsidP="00AA2617">
            <w:pPr>
              <w:autoSpaceDE w:val="0"/>
              <w:autoSpaceDN w:val="0"/>
              <w:adjustRightInd w:val="0"/>
              <w:jc w:val="left"/>
              <w:rPr>
                <w:rFonts w:cs="Arial"/>
                <w:sz w:val="20"/>
                <w:szCs w:val="20"/>
                <w:lang w:eastAsia="ja-JP"/>
              </w:rPr>
            </w:pPr>
            <w:r w:rsidRPr="00AA2617">
              <w:rPr>
                <w:rFonts w:cstheme="minorHAnsi"/>
                <w:lang w:val="en-GB"/>
              </w:rPr>
              <w:t>Link with other project and initiatives to ensure post-project sustainability</w:t>
            </w:r>
          </w:p>
        </w:tc>
        <w:tc>
          <w:tcPr>
            <w:tcW w:w="3280" w:type="dxa"/>
          </w:tcPr>
          <w:p w14:paraId="09725527" w14:textId="77777777" w:rsidR="00134C04" w:rsidRPr="00AA2617" w:rsidRDefault="00134C04" w:rsidP="00AA2617">
            <w:pPr>
              <w:pStyle w:val="ListParagraph"/>
              <w:numPr>
                <w:ilvl w:val="0"/>
                <w:numId w:val="26"/>
              </w:numPr>
              <w:ind w:left="139" w:hanging="180"/>
              <w:jc w:val="left"/>
              <w:rPr>
                <w:rFonts w:eastAsia="SimSun"/>
                <w:iCs/>
                <w:color w:val="000000"/>
                <w:sz w:val="20"/>
                <w:szCs w:val="20"/>
                <w:lang w:val="en-GB"/>
              </w:rPr>
            </w:pPr>
            <w:r w:rsidRPr="00AA2617">
              <w:rPr>
                <w:szCs w:val="21"/>
                <w:lang w:val="en-GB"/>
              </w:rPr>
              <w:t>The project also seeks to address the underlying issue of financial sustainability by facilitating alternative funding (e.g., greater access to international environmental off-set markets via strengthened MRV; clearer substantiation of funding via linkages to governmental revenues based on strengthened MRV) and reducing costs (e.g., efficiencies of reducing redundancies; use of proxy measures; strengthening existing operational arrangements).</w:t>
            </w:r>
          </w:p>
        </w:tc>
      </w:tr>
      <w:tr w:rsidR="00134C04" w:rsidRPr="00AA2617" w14:paraId="13ACE186" w14:textId="77777777" w:rsidTr="00BA3E1F">
        <w:trPr>
          <w:cantSplit/>
          <w:trHeight w:val="1051"/>
        </w:trPr>
        <w:tc>
          <w:tcPr>
            <w:tcW w:w="2501" w:type="dxa"/>
            <w:vMerge w:val="restart"/>
          </w:tcPr>
          <w:p w14:paraId="6DD38117" w14:textId="77777777" w:rsidR="00134C04" w:rsidRPr="00AA2617" w:rsidRDefault="00134C04" w:rsidP="00AA2617">
            <w:pPr>
              <w:contextualSpacing/>
              <w:jc w:val="left"/>
              <w:rPr>
                <w:bCs/>
                <w:sz w:val="20"/>
                <w:szCs w:val="20"/>
              </w:rPr>
            </w:pPr>
            <w:r w:rsidRPr="00AA2617">
              <w:rPr>
                <w:bCs/>
                <w:sz w:val="20"/>
                <w:szCs w:val="20"/>
              </w:rPr>
              <w:t>GCP/SRL/069/CAN, Agro-Economic Development Project, (2015 to 2017).</w:t>
            </w:r>
          </w:p>
          <w:p w14:paraId="660C2EF7" w14:textId="77777777" w:rsidR="00134C04" w:rsidRPr="00AA2617" w:rsidRDefault="00134C04" w:rsidP="00AA2617">
            <w:pPr>
              <w:jc w:val="left"/>
              <w:rPr>
                <w:lang w:val="en-GB"/>
              </w:rPr>
            </w:pPr>
          </w:p>
        </w:tc>
        <w:tc>
          <w:tcPr>
            <w:tcW w:w="3235" w:type="dxa"/>
          </w:tcPr>
          <w:p w14:paraId="7C72A1F4" w14:textId="77777777" w:rsidR="00134C04" w:rsidRPr="00AA2617" w:rsidRDefault="00134C04" w:rsidP="00AA2617">
            <w:pPr>
              <w:tabs>
                <w:tab w:val="left" w:pos="773"/>
              </w:tabs>
              <w:rPr>
                <w:rFonts w:cs="Arial"/>
                <w:sz w:val="20"/>
                <w:szCs w:val="20"/>
                <w:lang w:eastAsia="ja-JP"/>
              </w:rPr>
            </w:pPr>
            <w:r w:rsidRPr="00AA2617">
              <w:rPr>
                <w:rFonts w:cs="Arial"/>
                <w:sz w:val="20"/>
                <w:szCs w:val="20"/>
                <w:lang w:eastAsia="ja-JP"/>
              </w:rPr>
              <w:t xml:space="preserve">Community based- sustainable agro-economic livelihood development opportunities improved in Northern Province in Sri Lanka </w:t>
            </w:r>
          </w:p>
          <w:p w14:paraId="54BC00E1" w14:textId="77777777" w:rsidR="00134C04" w:rsidRPr="00AA2617" w:rsidRDefault="00134C04" w:rsidP="00AA2617">
            <w:pPr>
              <w:tabs>
                <w:tab w:val="left" w:pos="773"/>
              </w:tabs>
              <w:rPr>
                <w:rFonts w:cs="Arial"/>
                <w:sz w:val="20"/>
                <w:szCs w:val="20"/>
                <w:lang w:eastAsia="ja-JP"/>
              </w:rPr>
            </w:pPr>
          </w:p>
          <w:p w14:paraId="4B7A9FAA" w14:textId="77777777" w:rsidR="00134C04" w:rsidRPr="00AA2617" w:rsidRDefault="00134C04" w:rsidP="00AA2617">
            <w:pPr>
              <w:tabs>
                <w:tab w:val="left" w:pos="773"/>
              </w:tabs>
              <w:rPr>
                <w:rFonts w:cstheme="minorHAnsi"/>
                <w:lang w:val="en-GB"/>
              </w:rPr>
            </w:pPr>
          </w:p>
        </w:tc>
        <w:tc>
          <w:tcPr>
            <w:tcW w:w="3280" w:type="dxa"/>
          </w:tcPr>
          <w:p w14:paraId="3A4C1420" w14:textId="77777777" w:rsidR="00134C04" w:rsidRPr="00AA2617" w:rsidRDefault="00134C04" w:rsidP="00AA2617">
            <w:pPr>
              <w:jc w:val="left"/>
              <w:rPr>
                <w:lang w:val="en-GB"/>
              </w:rPr>
            </w:pPr>
            <w:r w:rsidRPr="00AA2617">
              <w:rPr>
                <w:rFonts w:eastAsia="SimSun"/>
                <w:iCs/>
                <w:color w:val="000000"/>
                <w:sz w:val="20"/>
                <w:szCs w:val="20"/>
                <w:lang w:val="en-GB"/>
              </w:rPr>
              <w:t>Sustainable agro-economic model will play a vital role in reducing pressure on forestry sector leading to reduced GHG emission and enhanced sequestration. Through CBIT better accountability of emission reduction targets can be set by technology transfer (Example EX-ACT).</w:t>
            </w:r>
          </w:p>
        </w:tc>
      </w:tr>
      <w:tr w:rsidR="00134C04" w:rsidRPr="00AA2617" w14:paraId="16349CBD" w14:textId="77777777" w:rsidTr="00BA3E1F">
        <w:trPr>
          <w:cantSplit/>
          <w:trHeight w:val="1051"/>
        </w:trPr>
        <w:tc>
          <w:tcPr>
            <w:tcW w:w="2501" w:type="dxa"/>
            <w:vMerge/>
          </w:tcPr>
          <w:p w14:paraId="6A54999C" w14:textId="77777777" w:rsidR="00134C04" w:rsidRPr="00AA2617" w:rsidRDefault="00134C04" w:rsidP="00AA2617">
            <w:pPr>
              <w:contextualSpacing/>
              <w:jc w:val="left"/>
              <w:rPr>
                <w:bCs/>
                <w:sz w:val="20"/>
                <w:szCs w:val="20"/>
              </w:rPr>
            </w:pPr>
          </w:p>
        </w:tc>
        <w:tc>
          <w:tcPr>
            <w:tcW w:w="3235" w:type="dxa"/>
          </w:tcPr>
          <w:p w14:paraId="4A95DDE6" w14:textId="77777777" w:rsidR="00134C04" w:rsidRPr="00AA2617" w:rsidRDefault="00134C04" w:rsidP="00AA2617">
            <w:pPr>
              <w:tabs>
                <w:tab w:val="left" w:pos="773"/>
              </w:tabs>
              <w:rPr>
                <w:rFonts w:cs="Arial"/>
                <w:sz w:val="20"/>
                <w:szCs w:val="20"/>
                <w:lang w:eastAsia="ja-JP"/>
              </w:rPr>
            </w:pPr>
            <w:r w:rsidRPr="00AA2617">
              <w:rPr>
                <w:rFonts w:cs="Arial"/>
                <w:sz w:val="20"/>
                <w:szCs w:val="20"/>
                <w:lang w:eastAsia="ja-JP"/>
              </w:rPr>
              <w:t xml:space="preserve">Community resilient sustainable agriculture opportunities contributes for the effective land management best practices in the Norther Province </w:t>
            </w:r>
          </w:p>
        </w:tc>
        <w:tc>
          <w:tcPr>
            <w:tcW w:w="3280" w:type="dxa"/>
          </w:tcPr>
          <w:p w14:paraId="726E8D6E" w14:textId="77777777" w:rsidR="00134C04" w:rsidRPr="00AA2617" w:rsidRDefault="00134C04" w:rsidP="00AA2617">
            <w:pPr>
              <w:jc w:val="left"/>
              <w:rPr>
                <w:rFonts w:eastAsia="SimSun"/>
                <w:iCs/>
                <w:color w:val="000000"/>
                <w:sz w:val="20"/>
                <w:szCs w:val="20"/>
                <w:lang w:val="en-GB"/>
              </w:rPr>
            </w:pPr>
            <w:r w:rsidRPr="00AA2617">
              <w:rPr>
                <w:lang w:val="en-GB"/>
              </w:rPr>
              <w:t>Stakeholders have been proactively engaged in the design phase and are included in the PSC and TWG</w:t>
            </w:r>
          </w:p>
        </w:tc>
      </w:tr>
      <w:tr w:rsidR="00134C04" w:rsidRPr="00AA2617" w14:paraId="32FA29E6" w14:textId="77777777" w:rsidTr="00BA3E1F">
        <w:trPr>
          <w:cantSplit/>
          <w:trHeight w:val="1051"/>
        </w:trPr>
        <w:tc>
          <w:tcPr>
            <w:tcW w:w="2501" w:type="dxa"/>
          </w:tcPr>
          <w:p w14:paraId="7B6DC829" w14:textId="77777777" w:rsidR="00134C04" w:rsidRPr="00AA2617" w:rsidRDefault="00134C04" w:rsidP="00AA2617">
            <w:pPr>
              <w:contextualSpacing/>
              <w:jc w:val="left"/>
              <w:rPr>
                <w:bCs/>
                <w:sz w:val="20"/>
                <w:szCs w:val="20"/>
              </w:rPr>
            </w:pPr>
          </w:p>
        </w:tc>
        <w:tc>
          <w:tcPr>
            <w:tcW w:w="3235" w:type="dxa"/>
          </w:tcPr>
          <w:p w14:paraId="3DA4D45E" w14:textId="77777777" w:rsidR="00134C04" w:rsidRPr="00AA2617" w:rsidRDefault="00134C04" w:rsidP="00AA2617">
            <w:pPr>
              <w:tabs>
                <w:tab w:val="left" w:pos="773"/>
              </w:tabs>
              <w:rPr>
                <w:rFonts w:cs="Arial"/>
                <w:sz w:val="20"/>
                <w:szCs w:val="20"/>
                <w:lang w:eastAsia="ja-JP"/>
              </w:rPr>
            </w:pPr>
            <w:r w:rsidRPr="00AA2617">
              <w:rPr>
                <w:rFonts w:cstheme="minorHAnsi"/>
                <w:lang w:val="en-GB"/>
              </w:rPr>
              <w:t>Use of ICT is effective and cost-efficient</w:t>
            </w:r>
          </w:p>
        </w:tc>
        <w:tc>
          <w:tcPr>
            <w:tcW w:w="3280" w:type="dxa"/>
          </w:tcPr>
          <w:p w14:paraId="7773DD35" w14:textId="77777777" w:rsidR="00134C04" w:rsidRPr="00AA2617" w:rsidRDefault="00134C04" w:rsidP="00AA2617">
            <w:pPr>
              <w:jc w:val="left"/>
              <w:rPr>
                <w:rFonts w:eastAsia="SimSun"/>
                <w:iCs/>
                <w:color w:val="000000"/>
                <w:sz w:val="20"/>
                <w:szCs w:val="20"/>
                <w:lang w:val="en-GB"/>
              </w:rPr>
            </w:pPr>
            <w:r w:rsidRPr="00AA2617">
              <w:rPr>
                <w:lang w:val="en-GB"/>
              </w:rPr>
              <w:t>Project seeks to increase cost-efficiency through ICT for decentralized measurements (reducing costs, errors, and delays associated with transcription) and proxy measures (e.g., feedback from land users via mobile devices; remote-sensing)</w:t>
            </w:r>
          </w:p>
        </w:tc>
      </w:tr>
      <w:tr w:rsidR="00134C04" w:rsidRPr="00AA2617" w14:paraId="4F71EBBC" w14:textId="77777777" w:rsidTr="00BA3E1F">
        <w:trPr>
          <w:cantSplit/>
          <w:trHeight w:val="1051"/>
        </w:trPr>
        <w:tc>
          <w:tcPr>
            <w:tcW w:w="2501" w:type="dxa"/>
          </w:tcPr>
          <w:p w14:paraId="422628E8" w14:textId="77777777" w:rsidR="00134C04" w:rsidRPr="00AA2617" w:rsidRDefault="00134C04" w:rsidP="00AA2617">
            <w:pPr>
              <w:contextualSpacing/>
              <w:jc w:val="left"/>
              <w:rPr>
                <w:bCs/>
                <w:sz w:val="20"/>
                <w:szCs w:val="20"/>
              </w:rPr>
            </w:pPr>
          </w:p>
        </w:tc>
        <w:tc>
          <w:tcPr>
            <w:tcW w:w="3235" w:type="dxa"/>
          </w:tcPr>
          <w:p w14:paraId="4CFC29A4" w14:textId="77777777" w:rsidR="00134C04" w:rsidRPr="00AA2617" w:rsidRDefault="00134C04" w:rsidP="00AA2617">
            <w:pPr>
              <w:tabs>
                <w:tab w:val="left" w:pos="773"/>
              </w:tabs>
              <w:rPr>
                <w:rFonts w:cstheme="minorHAnsi"/>
                <w:lang w:val="en-GB"/>
              </w:rPr>
            </w:pPr>
            <w:r w:rsidRPr="00AA2617">
              <w:rPr>
                <w:rFonts w:cstheme="minorHAnsi"/>
                <w:lang w:val="en-GB"/>
              </w:rPr>
              <w:t>Need adaptability to national evolving national circumstances</w:t>
            </w:r>
          </w:p>
        </w:tc>
        <w:tc>
          <w:tcPr>
            <w:tcW w:w="3280" w:type="dxa"/>
          </w:tcPr>
          <w:p w14:paraId="00D65EDC" w14:textId="77777777" w:rsidR="00134C04" w:rsidRPr="00AA2617" w:rsidRDefault="00134C04" w:rsidP="00AA2617">
            <w:pPr>
              <w:pStyle w:val="ListParagraph"/>
              <w:ind w:left="139"/>
              <w:jc w:val="left"/>
              <w:rPr>
                <w:szCs w:val="21"/>
                <w:lang w:val="en-GB"/>
              </w:rPr>
            </w:pPr>
            <w:r w:rsidRPr="00AA2617">
              <w:rPr>
                <w:szCs w:val="21"/>
                <w:lang w:val="en-GB"/>
              </w:rPr>
              <w:t>The project has been designed to allow operational and budgetary flexibility to adjust to evolving circumstances, given that (i) the project will need to respond to the clarification of priorities and targets (especially true for CCA), (ii) several stakeholders are pursuing related initiatives, and (iii) the project will need to respond to feedback from improved measures.</w:t>
            </w:r>
          </w:p>
          <w:p w14:paraId="3B01CF13" w14:textId="77777777" w:rsidR="00134C04" w:rsidRPr="00AA2617" w:rsidRDefault="00134C04" w:rsidP="00AA2617">
            <w:pPr>
              <w:pStyle w:val="ListParagraph"/>
              <w:numPr>
                <w:ilvl w:val="0"/>
                <w:numId w:val="26"/>
              </w:numPr>
              <w:ind w:left="139" w:hanging="180"/>
              <w:jc w:val="left"/>
              <w:rPr>
                <w:lang w:val="en-GB"/>
              </w:rPr>
            </w:pPr>
            <w:r w:rsidRPr="00AA2617">
              <w:rPr>
                <w:szCs w:val="21"/>
                <w:lang w:val="en-GB"/>
              </w:rPr>
              <w:t>The project’s PSC is explicitly tasked with ensuring that the project’s design, budgeting, and execution adapts to evolving circumstances and priorities.</w:t>
            </w:r>
          </w:p>
        </w:tc>
      </w:tr>
      <w:bookmarkEnd w:id="173"/>
    </w:tbl>
    <w:p w14:paraId="53575310" w14:textId="581A7FFA" w:rsidR="00134C04" w:rsidRPr="00AA2617" w:rsidRDefault="00134C04" w:rsidP="00AA2617">
      <w:pPr>
        <w:keepNext/>
        <w:jc w:val="center"/>
        <w:rPr>
          <w:lang w:val="en-GB"/>
        </w:rPr>
      </w:pPr>
    </w:p>
    <w:p w14:paraId="0BAC7AA2" w14:textId="72E94009" w:rsidR="00134C04" w:rsidRPr="00AA2617" w:rsidRDefault="00134C04" w:rsidP="00AA2617">
      <w:pPr>
        <w:keepNext/>
        <w:jc w:val="center"/>
        <w:rPr>
          <w:lang w:val="en-GB"/>
        </w:rPr>
      </w:pPr>
    </w:p>
    <w:p w14:paraId="7D5563DB" w14:textId="77777777" w:rsidR="00084F30" w:rsidRPr="00AA2617" w:rsidRDefault="00B06345" w:rsidP="00AA2617">
      <w:pPr>
        <w:pStyle w:val="Heading3"/>
        <w:rPr>
          <w:b/>
          <w:lang w:val="en-GB"/>
        </w:rPr>
      </w:pPr>
      <w:bookmarkStart w:id="174" w:name="_Toc9249216"/>
      <w:r w:rsidRPr="00AA2617">
        <w:rPr>
          <w:b/>
          <w:lang w:val="en-GB"/>
        </w:rPr>
        <w:t>Risks and risk-mitigation measures</w:t>
      </w:r>
      <w:bookmarkEnd w:id="174"/>
    </w:p>
    <w:p w14:paraId="4FE4C23E" w14:textId="1DE99699" w:rsidR="00672E37" w:rsidRPr="00AA2617" w:rsidRDefault="00B06345" w:rsidP="00AA2617">
      <w:pPr>
        <w:pStyle w:val="NumberedParagraph"/>
        <w:keepNext/>
        <w:keepLines/>
        <w:numPr>
          <w:ilvl w:val="0"/>
          <w:numId w:val="0"/>
        </w:numPr>
        <w:spacing w:before="240"/>
        <w:ind w:left="360" w:hanging="360"/>
        <w:jc w:val="center"/>
        <w:rPr>
          <w:sz w:val="22"/>
          <w:lang w:val="en-GB"/>
        </w:rPr>
      </w:pPr>
      <w:r w:rsidRPr="00AA2617">
        <w:rPr>
          <w:sz w:val="22"/>
          <w:lang w:val="en-GB"/>
        </w:rPr>
        <w:t xml:space="preserve">Table </w:t>
      </w:r>
      <w:r w:rsidR="00BE79EE" w:rsidRPr="00AA2617">
        <w:rPr>
          <w:sz w:val="22"/>
          <w:lang w:val="en-GB"/>
        </w:rPr>
        <w:t>1</w:t>
      </w:r>
      <w:r w:rsidR="00685CC4" w:rsidRPr="00AA2617">
        <w:rPr>
          <w:sz w:val="22"/>
          <w:lang w:val="en-GB"/>
        </w:rPr>
        <w:t>2</w:t>
      </w:r>
      <w:r w:rsidRPr="00AA2617">
        <w:rPr>
          <w:sz w:val="22"/>
          <w:lang w:val="en-GB"/>
        </w:rPr>
        <w:t>.  Risks and Risk-mitigation Measures</w:t>
      </w:r>
    </w:p>
    <w:tbl>
      <w:tblPr>
        <w:tblW w:w="87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1890"/>
        <w:gridCol w:w="1350"/>
        <w:gridCol w:w="1170"/>
        <w:gridCol w:w="3741"/>
      </w:tblGrid>
      <w:tr w:rsidR="00564247" w:rsidRPr="00AA2617" w14:paraId="2F54465F" w14:textId="77777777" w:rsidTr="00BA3E1F">
        <w:trPr>
          <w:cantSplit/>
          <w:trHeight w:val="251"/>
          <w:tblHeader/>
          <w:jc w:val="center"/>
        </w:trPr>
        <w:tc>
          <w:tcPr>
            <w:tcW w:w="565" w:type="dxa"/>
            <w:shd w:val="clear" w:color="auto" w:fill="B4C6E7" w:themeFill="accent1" w:themeFillTint="66"/>
            <w:vAlign w:val="center"/>
          </w:tcPr>
          <w:p w14:paraId="2A4F694B" w14:textId="77777777" w:rsidR="00564247" w:rsidRPr="00AA2617" w:rsidRDefault="00564247" w:rsidP="00AA2617">
            <w:pPr>
              <w:keepNext/>
              <w:keepLines/>
              <w:jc w:val="center"/>
              <w:rPr>
                <w:szCs w:val="21"/>
                <w:lang w:val="en-GB"/>
              </w:rPr>
            </w:pPr>
            <w:r w:rsidRPr="00AA2617">
              <w:rPr>
                <w:szCs w:val="21"/>
                <w:lang w:val="en-GB"/>
              </w:rPr>
              <w:t>No.</w:t>
            </w:r>
          </w:p>
        </w:tc>
        <w:tc>
          <w:tcPr>
            <w:tcW w:w="1890" w:type="dxa"/>
            <w:shd w:val="clear" w:color="auto" w:fill="B4C6E7" w:themeFill="accent1" w:themeFillTint="66"/>
            <w:vAlign w:val="center"/>
          </w:tcPr>
          <w:p w14:paraId="438731AC" w14:textId="77777777" w:rsidR="00564247" w:rsidRPr="00AA2617" w:rsidRDefault="00564247" w:rsidP="00AA2617">
            <w:pPr>
              <w:keepNext/>
              <w:keepLines/>
              <w:jc w:val="center"/>
              <w:rPr>
                <w:szCs w:val="21"/>
                <w:lang w:val="en-GB"/>
              </w:rPr>
            </w:pPr>
            <w:r w:rsidRPr="00AA2617">
              <w:rPr>
                <w:szCs w:val="21"/>
                <w:lang w:val="en-GB"/>
              </w:rPr>
              <w:t>Description of Risk</w:t>
            </w:r>
          </w:p>
        </w:tc>
        <w:tc>
          <w:tcPr>
            <w:tcW w:w="1350" w:type="dxa"/>
            <w:shd w:val="clear" w:color="auto" w:fill="B4C6E7" w:themeFill="accent1" w:themeFillTint="66"/>
            <w:vAlign w:val="center"/>
          </w:tcPr>
          <w:p w14:paraId="34895BA4" w14:textId="77777777" w:rsidR="00564247" w:rsidRPr="00AA2617" w:rsidRDefault="00564247" w:rsidP="00AA2617">
            <w:pPr>
              <w:keepNext/>
              <w:keepLines/>
              <w:jc w:val="center"/>
              <w:rPr>
                <w:szCs w:val="21"/>
                <w:lang w:val="en-GB"/>
              </w:rPr>
            </w:pPr>
            <w:r w:rsidRPr="00AA2617">
              <w:rPr>
                <w:szCs w:val="21"/>
                <w:lang w:val="en-GB"/>
              </w:rPr>
              <w:t>Type of Risk</w:t>
            </w:r>
          </w:p>
        </w:tc>
        <w:tc>
          <w:tcPr>
            <w:tcW w:w="1170" w:type="dxa"/>
            <w:shd w:val="clear" w:color="auto" w:fill="B4C6E7" w:themeFill="accent1" w:themeFillTint="66"/>
            <w:vAlign w:val="center"/>
          </w:tcPr>
          <w:p w14:paraId="148D7959" w14:textId="77777777" w:rsidR="00564247" w:rsidRPr="00AA2617" w:rsidRDefault="00564247" w:rsidP="00AA2617">
            <w:pPr>
              <w:keepNext/>
              <w:keepLines/>
              <w:jc w:val="center"/>
              <w:rPr>
                <w:szCs w:val="21"/>
                <w:lang w:val="en-GB"/>
              </w:rPr>
            </w:pPr>
            <w:r w:rsidRPr="00AA2617">
              <w:rPr>
                <w:szCs w:val="21"/>
                <w:lang w:val="en-GB"/>
              </w:rPr>
              <w:t>Probability and Impact (1-5)</w:t>
            </w:r>
          </w:p>
        </w:tc>
        <w:tc>
          <w:tcPr>
            <w:tcW w:w="3741" w:type="dxa"/>
            <w:shd w:val="clear" w:color="auto" w:fill="B4C6E7" w:themeFill="accent1" w:themeFillTint="66"/>
            <w:vAlign w:val="center"/>
          </w:tcPr>
          <w:p w14:paraId="12750BD9" w14:textId="77777777" w:rsidR="00564247" w:rsidRPr="00AA2617" w:rsidRDefault="00564247" w:rsidP="00AA2617">
            <w:pPr>
              <w:keepNext/>
              <w:keepLines/>
              <w:jc w:val="center"/>
              <w:rPr>
                <w:szCs w:val="21"/>
                <w:lang w:val="en-GB"/>
              </w:rPr>
            </w:pPr>
            <w:r w:rsidRPr="00AA2617">
              <w:rPr>
                <w:szCs w:val="21"/>
                <w:lang w:val="en-GB"/>
              </w:rPr>
              <w:t>Measures to Mitigate the Risk</w:t>
            </w:r>
          </w:p>
        </w:tc>
      </w:tr>
      <w:tr w:rsidR="00564247" w:rsidRPr="00AA2617" w14:paraId="654CC9CE" w14:textId="77777777" w:rsidTr="00BA3E1F">
        <w:trPr>
          <w:cantSplit/>
          <w:trHeight w:val="251"/>
          <w:jc w:val="center"/>
        </w:trPr>
        <w:tc>
          <w:tcPr>
            <w:tcW w:w="565" w:type="dxa"/>
            <w:shd w:val="clear" w:color="auto" w:fill="auto"/>
          </w:tcPr>
          <w:p w14:paraId="4F1C6960" w14:textId="77777777" w:rsidR="00564247" w:rsidRPr="00AA2617" w:rsidRDefault="00564247" w:rsidP="00AA2617">
            <w:pPr>
              <w:jc w:val="center"/>
              <w:rPr>
                <w:szCs w:val="21"/>
                <w:lang w:val="en-GB"/>
              </w:rPr>
            </w:pPr>
            <w:r w:rsidRPr="00AA2617">
              <w:rPr>
                <w:szCs w:val="21"/>
                <w:lang w:val="en-GB"/>
              </w:rPr>
              <w:t>1</w:t>
            </w:r>
          </w:p>
        </w:tc>
        <w:tc>
          <w:tcPr>
            <w:tcW w:w="1890" w:type="dxa"/>
            <w:shd w:val="clear" w:color="auto" w:fill="auto"/>
          </w:tcPr>
          <w:p w14:paraId="100370ED" w14:textId="77777777" w:rsidR="00564247" w:rsidRPr="00AA2617" w:rsidRDefault="00564247" w:rsidP="00AA2617">
            <w:pPr>
              <w:jc w:val="left"/>
              <w:rPr>
                <w:szCs w:val="21"/>
                <w:lang w:val="en-GB"/>
              </w:rPr>
            </w:pPr>
            <w:r w:rsidRPr="00AA2617">
              <w:rPr>
                <w:sz w:val="20"/>
                <w:szCs w:val="20"/>
              </w:rPr>
              <w:t>Lack of coordination among concerned ministries and local government authorities</w:t>
            </w:r>
          </w:p>
        </w:tc>
        <w:tc>
          <w:tcPr>
            <w:tcW w:w="1350" w:type="dxa"/>
          </w:tcPr>
          <w:p w14:paraId="6F1000E6" w14:textId="77777777" w:rsidR="00564247" w:rsidRPr="00AA2617" w:rsidRDefault="00564247" w:rsidP="00AA2617">
            <w:pPr>
              <w:jc w:val="center"/>
              <w:rPr>
                <w:szCs w:val="21"/>
                <w:lang w:val="en-GB"/>
              </w:rPr>
            </w:pPr>
            <w:r w:rsidRPr="00AA2617">
              <w:rPr>
                <w:szCs w:val="21"/>
                <w:lang w:val="en-GB"/>
              </w:rPr>
              <w:t>Institutional</w:t>
            </w:r>
          </w:p>
        </w:tc>
        <w:tc>
          <w:tcPr>
            <w:tcW w:w="1170" w:type="dxa"/>
          </w:tcPr>
          <w:p w14:paraId="53FF585C" w14:textId="77777777" w:rsidR="00564247" w:rsidRPr="00AA2617" w:rsidRDefault="00564247" w:rsidP="00AA2617">
            <w:pPr>
              <w:jc w:val="center"/>
              <w:rPr>
                <w:szCs w:val="21"/>
                <w:lang w:val="en-GB"/>
              </w:rPr>
            </w:pPr>
            <w:r w:rsidRPr="00AA2617">
              <w:rPr>
                <w:szCs w:val="21"/>
                <w:lang w:val="en-GB"/>
              </w:rPr>
              <w:t>P = 4</w:t>
            </w:r>
          </w:p>
          <w:p w14:paraId="05EDB557" w14:textId="77777777" w:rsidR="00564247" w:rsidRPr="00AA2617" w:rsidRDefault="00564247" w:rsidP="00AA2617">
            <w:pPr>
              <w:jc w:val="center"/>
              <w:rPr>
                <w:szCs w:val="21"/>
                <w:lang w:val="en-GB"/>
              </w:rPr>
            </w:pPr>
            <w:r w:rsidRPr="00AA2617">
              <w:rPr>
                <w:szCs w:val="21"/>
                <w:lang w:val="en-GB"/>
              </w:rPr>
              <w:t>I = 3</w:t>
            </w:r>
          </w:p>
        </w:tc>
        <w:tc>
          <w:tcPr>
            <w:tcW w:w="3741" w:type="dxa"/>
            <w:shd w:val="clear" w:color="auto" w:fill="auto"/>
          </w:tcPr>
          <w:p w14:paraId="0B527E03" w14:textId="3B04E660" w:rsidR="00564247" w:rsidRPr="00AA2617" w:rsidRDefault="00564247" w:rsidP="00AA2617">
            <w:pPr>
              <w:pStyle w:val="ListParagraph"/>
              <w:numPr>
                <w:ilvl w:val="0"/>
                <w:numId w:val="21"/>
              </w:numPr>
              <w:ind w:left="162" w:hanging="198"/>
              <w:jc w:val="left"/>
              <w:rPr>
                <w:szCs w:val="21"/>
                <w:lang w:val="en-GB"/>
              </w:rPr>
            </w:pPr>
            <w:r w:rsidRPr="00AA2617">
              <w:rPr>
                <w:sz w:val="20"/>
                <w:szCs w:val="20"/>
              </w:rPr>
              <w:t>To address risks associated with coordination the project will work through existing coordination mechanisms established under the UN-REDD Programme. That will help in ensuring smooth functioning of activities.</w:t>
            </w:r>
          </w:p>
          <w:p w14:paraId="76B8DD6D" w14:textId="77777777" w:rsidR="00564247" w:rsidRPr="00AA2617" w:rsidRDefault="00564247" w:rsidP="00AA2617">
            <w:pPr>
              <w:pStyle w:val="ListParagraph"/>
              <w:numPr>
                <w:ilvl w:val="0"/>
                <w:numId w:val="21"/>
              </w:numPr>
              <w:ind w:left="162" w:hanging="198"/>
              <w:jc w:val="left"/>
              <w:rPr>
                <w:szCs w:val="21"/>
                <w:lang w:val="en-GB"/>
              </w:rPr>
            </w:pPr>
            <w:r w:rsidRPr="00AA2617">
              <w:rPr>
                <w:szCs w:val="21"/>
                <w:lang w:val="en-GB"/>
              </w:rPr>
              <w:t>Project will work largely through LOAs with the PPRSs, so that such tasks are institutionalized and related capacities are strengthened.</w:t>
            </w:r>
          </w:p>
          <w:p w14:paraId="2D13A279" w14:textId="77777777" w:rsidR="00564247" w:rsidRPr="00AA2617" w:rsidRDefault="00564247" w:rsidP="00AA2617">
            <w:pPr>
              <w:pStyle w:val="ListParagraph"/>
              <w:numPr>
                <w:ilvl w:val="0"/>
                <w:numId w:val="21"/>
              </w:numPr>
              <w:ind w:left="162" w:hanging="198"/>
              <w:jc w:val="left"/>
              <w:rPr>
                <w:szCs w:val="21"/>
                <w:lang w:val="en-GB"/>
              </w:rPr>
            </w:pPr>
            <w:r w:rsidRPr="00AA2617">
              <w:rPr>
                <w:szCs w:val="21"/>
                <w:lang w:val="en-GB"/>
              </w:rPr>
              <w:t xml:space="preserve">Project will pilot approaches in order to identify and rectify operational challenges. </w:t>
            </w:r>
          </w:p>
        </w:tc>
      </w:tr>
      <w:tr w:rsidR="00564247" w:rsidRPr="00AA2617" w14:paraId="0EF23B8C" w14:textId="77777777" w:rsidTr="00BA3E1F">
        <w:trPr>
          <w:cantSplit/>
          <w:trHeight w:val="251"/>
          <w:jc w:val="center"/>
        </w:trPr>
        <w:tc>
          <w:tcPr>
            <w:tcW w:w="565" w:type="dxa"/>
            <w:shd w:val="clear" w:color="auto" w:fill="auto"/>
          </w:tcPr>
          <w:p w14:paraId="4DE6D979" w14:textId="77777777" w:rsidR="00564247" w:rsidRPr="00AA2617" w:rsidRDefault="00564247" w:rsidP="00AA2617">
            <w:pPr>
              <w:jc w:val="center"/>
              <w:rPr>
                <w:szCs w:val="21"/>
                <w:lang w:val="en-GB"/>
              </w:rPr>
            </w:pPr>
            <w:r w:rsidRPr="00AA2617">
              <w:rPr>
                <w:szCs w:val="21"/>
                <w:lang w:val="en-GB"/>
              </w:rPr>
              <w:lastRenderedPageBreak/>
              <w:t>2</w:t>
            </w:r>
          </w:p>
        </w:tc>
        <w:tc>
          <w:tcPr>
            <w:tcW w:w="1890" w:type="dxa"/>
            <w:shd w:val="clear" w:color="auto" w:fill="auto"/>
          </w:tcPr>
          <w:p w14:paraId="2C31D78B" w14:textId="77777777" w:rsidR="00564247" w:rsidRPr="00AA2617" w:rsidRDefault="00564247" w:rsidP="00AA2617">
            <w:pPr>
              <w:jc w:val="left"/>
              <w:rPr>
                <w:szCs w:val="21"/>
                <w:lang w:val="en-GB"/>
              </w:rPr>
            </w:pPr>
            <w:r w:rsidRPr="00AA2617">
              <w:rPr>
                <w:sz w:val="20"/>
                <w:szCs w:val="20"/>
              </w:rPr>
              <w:t xml:space="preserve">Limited cooperation on data and information sharing among stakeholders </w:t>
            </w:r>
          </w:p>
        </w:tc>
        <w:tc>
          <w:tcPr>
            <w:tcW w:w="1350" w:type="dxa"/>
          </w:tcPr>
          <w:p w14:paraId="0F26A825" w14:textId="77777777" w:rsidR="00564247" w:rsidRPr="00AA2617" w:rsidRDefault="00564247" w:rsidP="00AA2617">
            <w:pPr>
              <w:jc w:val="center"/>
              <w:rPr>
                <w:szCs w:val="21"/>
                <w:lang w:val="en-GB"/>
              </w:rPr>
            </w:pPr>
            <w:r w:rsidRPr="00AA2617">
              <w:rPr>
                <w:szCs w:val="21"/>
                <w:lang w:val="en-GB"/>
              </w:rPr>
              <w:t>Institutional</w:t>
            </w:r>
          </w:p>
        </w:tc>
        <w:tc>
          <w:tcPr>
            <w:tcW w:w="1170" w:type="dxa"/>
          </w:tcPr>
          <w:p w14:paraId="590D5334" w14:textId="77777777" w:rsidR="00564247" w:rsidRPr="00AA2617" w:rsidRDefault="00564247" w:rsidP="00AA2617">
            <w:pPr>
              <w:jc w:val="center"/>
              <w:rPr>
                <w:szCs w:val="21"/>
                <w:lang w:val="en-GB"/>
              </w:rPr>
            </w:pPr>
            <w:r w:rsidRPr="00AA2617">
              <w:rPr>
                <w:szCs w:val="21"/>
                <w:lang w:val="en-GB"/>
              </w:rPr>
              <w:t>P = 3</w:t>
            </w:r>
          </w:p>
          <w:p w14:paraId="6F3DE1D5" w14:textId="77777777" w:rsidR="00564247" w:rsidRPr="00AA2617" w:rsidRDefault="00564247" w:rsidP="00AA2617">
            <w:pPr>
              <w:jc w:val="center"/>
              <w:rPr>
                <w:szCs w:val="21"/>
                <w:lang w:val="en-GB"/>
              </w:rPr>
            </w:pPr>
            <w:r w:rsidRPr="00AA2617">
              <w:rPr>
                <w:szCs w:val="21"/>
                <w:lang w:val="en-GB"/>
              </w:rPr>
              <w:t>I = 5</w:t>
            </w:r>
          </w:p>
        </w:tc>
        <w:tc>
          <w:tcPr>
            <w:tcW w:w="3741" w:type="dxa"/>
            <w:shd w:val="clear" w:color="auto" w:fill="auto"/>
          </w:tcPr>
          <w:p w14:paraId="340D9075" w14:textId="77777777" w:rsidR="00564247" w:rsidRPr="00AA2617" w:rsidRDefault="00564247" w:rsidP="00AA2617">
            <w:pPr>
              <w:pStyle w:val="ListParagraph"/>
              <w:numPr>
                <w:ilvl w:val="0"/>
                <w:numId w:val="21"/>
              </w:numPr>
              <w:ind w:left="162" w:hanging="198"/>
              <w:jc w:val="left"/>
              <w:rPr>
                <w:szCs w:val="21"/>
                <w:lang w:val="en-GB"/>
              </w:rPr>
            </w:pPr>
            <w:r w:rsidRPr="00AA2617">
              <w:rPr>
                <w:sz w:val="20"/>
                <w:szCs w:val="20"/>
              </w:rPr>
              <w:t xml:space="preserve">To address risks associated with data management consultation and data system assessments will be crucial elements of activities under Outputs 2.1.2 and 3.1.3. The project will also build on existing systems where possible developed for REDD+ with respect to mitigation and for NAP. Clear data sharing agreement of the stakeholders to collect and hand over required data and information. </w:t>
            </w:r>
          </w:p>
          <w:p w14:paraId="076B9786" w14:textId="77777777" w:rsidR="00564247" w:rsidRPr="00AA2617" w:rsidRDefault="00564247" w:rsidP="00AA2617">
            <w:pPr>
              <w:pStyle w:val="ListParagraph"/>
              <w:numPr>
                <w:ilvl w:val="0"/>
                <w:numId w:val="21"/>
              </w:numPr>
              <w:ind w:left="162" w:hanging="198"/>
              <w:jc w:val="left"/>
              <w:rPr>
                <w:szCs w:val="21"/>
                <w:lang w:val="en-GB"/>
              </w:rPr>
            </w:pPr>
            <w:r w:rsidRPr="00AA2617">
              <w:rPr>
                <w:szCs w:val="21"/>
                <w:lang w:val="en-GB"/>
              </w:rPr>
              <w:t xml:space="preserve">Engagement with National Advisory Committees  </w:t>
            </w:r>
          </w:p>
          <w:p w14:paraId="45A099F0" w14:textId="77777777" w:rsidR="00564247" w:rsidRPr="00AA2617" w:rsidRDefault="00564247" w:rsidP="00AA2617">
            <w:pPr>
              <w:pStyle w:val="ListParagraph"/>
              <w:numPr>
                <w:ilvl w:val="0"/>
                <w:numId w:val="21"/>
              </w:numPr>
              <w:ind w:left="162" w:hanging="198"/>
              <w:jc w:val="left"/>
              <w:rPr>
                <w:szCs w:val="21"/>
                <w:lang w:val="en-GB"/>
              </w:rPr>
            </w:pPr>
            <w:r w:rsidRPr="00AA2617">
              <w:rPr>
                <w:szCs w:val="21"/>
                <w:lang w:val="en-GB"/>
              </w:rPr>
              <w:t>incorporation of relevant duties into job descriptions and performance standards</w:t>
            </w:r>
          </w:p>
          <w:p w14:paraId="3D3E771C" w14:textId="77777777" w:rsidR="00564247" w:rsidRPr="00AA2617" w:rsidRDefault="00564247" w:rsidP="00AA2617">
            <w:pPr>
              <w:pStyle w:val="ListParagraph"/>
              <w:numPr>
                <w:ilvl w:val="0"/>
                <w:numId w:val="21"/>
              </w:numPr>
              <w:ind w:left="162" w:hanging="198"/>
              <w:jc w:val="left"/>
              <w:rPr>
                <w:szCs w:val="21"/>
                <w:lang w:val="en-GB"/>
              </w:rPr>
            </w:pPr>
            <w:r w:rsidRPr="00AA2617">
              <w:rPr>
                <w:szCs w:val="21"/>
                <w:lang w:val="en-GB"/>
              </w:rPr>
              <w:t>full estimation of initial and on-going resource requirements</w:t>
            </w:r>
          </w:p>
          <w:p w14:paraId="206C4EBB" w14:textId="77777777" w:rsidR="00564247" w:rsidRPr="00AA2617" w:rsidRDefault="00564247" w:rsidP="00AA2617">
            <w:pPr>
              <w:pStyle w:val="ListParagraph"/>
              <w:numPr>
                <w:ilvl w:val="0"/>
                <w:numId w:val="21"/>
              </w:numPr>
              <w:ind w:left="162" w:hanging="198"/>
              <w:jc w:val="left"/>
              <w:rPr>
                <w:szCs w:val="21"/>
                <w:lang w:val="en-GB"/>
              </w:rPr>
            </w:pPr>
            <w:r w:rsidRPr="00AA2617">
              <w:rPr>
                <w:szCs w:val="21"/>
                <w:lang w:val="en-GB"/>
              </w:rPr>
              <w:t>cost-efficiency approaches (e.g., reduced redundancy; proxy measures)</w:t>
            </w:r>
          </w:p>
          <w:p w14:paraId="76152270" w14:textId="77777777" w:rsidR="00564247" w:rsidRPr="00AA2617" w:rsidRDefault="00564247" w:rsidP="00AA2617">
            <w:pPr>
              <w:pStyle w:val="ListParagraph"/>
              <w:numPr>
                <w:ilvl w:val="0"/>
                <w:numId w:val="21"/>
              </w:numPr>
              <w:ind w:left="162" w:hanging="198"/>
              <w:jc w:val="left"/>
              <w:rPr>
                <w:szCs w:val="21"/>
                <w:lang w:val="en-GB"/>
              </w:rPr>
            </w:pPr>
            <w:r w:rsidRPr="00AA2617">
              <w:rPr>
                <w:szCs w:val="21"/>
                <w:lang w:val="en-GB"/>
              </w:rPr>
              <w:t>capacity-development for relevant stakeholders (including technology and training)</w:t>
            </w:r>
          </w:p>
          <w:p w14:paraId="23D71FF8" w14:textId="77777777" w:rsidR="00564247" w:rsidRPr="00AA2617" w:rsidRDefault="00564247" w:rsidP="00AA2617">
            <w:pPr>
              <w:pStyle w:val="ListParagraph"/>
              <w:numPr>
                <w:ilvl w:val="0"/>
                <w:numId w:val="21"/>
              </w:numPr>
              <w:ind w:left="162" w:hanging="198"/>
              <w:jc w:val="left"/>
              <w:rPr>
                <w:szCs w:val="21"/>
                <w:lang w:val="en-GB"/>
              </w:rPr>
            </w:pPr>
            <w:r w:rsidRPr="00AA2617">
              <w:rPr>
                <w:szCs w:val="21"/>
                <w:lang w:val="en-GB"/>
              </w:rPr>
              <w:t>established QC and QA protocols</w:t>
            </w:r>
          </w:p>
        </w:tc>
      </w:tr>
      <w:tr w:rsidR="00564247" w:rsidRPr="00AA2617" w14:paraId="582E0B0C" w14:textId="77777777" w:rsidTr="00BA3E1F">
        <w:trPr>
          <w:cantSplit/>
          <w:trHeight w:val="251"/>
          <w:jc w:val="center"/>
        </w:trPr>
        <w:tc>
          <w:tcPr>
            <w:tcW w:w="565" w:type="dxa"/>
            <w:shd w:val="clear" w:color="auto" w:fill="auto"/>
          </w:tcPr>
          <w:p w14:paraId="7DE32426" w14:textId="77777777" w:rsidR="00564247" w:rsidRPr="00AA2617" w:rsidRDefault="00564247" w:rsidP="00AA2617">
            <w:pPr>
              <w:jc w:val="center"/>
              <w:rPr>
                <w:szCs w:val="21"/>
                <w:lang w:val="en-GB"/>
              </w:rPr>
            </w:pPr>
            <w:r w:rsidRPr="00AA2617">
              <w:rPr>
                <w:szCs w:val="21"/>
                <w:lang w:val="en-GB"/>
              </w:rPr>
              <w:t>3</w:t>
            </w:r>
          </w:p>
        </w:tc>
        <w:tc>
          <w:tcPr>
            <w:tcW w:w="1890" w:type="dxa"/>
            <w:shd w:val="clear" w:color="auto" w:fill="auto"/>
          </w:tcPr>
          <w:p w14:paraId="0DEED226" w14:textId="77777777" w:rsidR="00564247" w:rsidRPr="00AA2617" w:rsidRDefault="00564247" w:rsidP="00AA2617">
            <w:pPr>
              <w:jc w:val="left"/>
              <w:rPr>
                <w:color w:val="0070C0"/>
                <w:szCs w:val="21"/>
                <w:lang w:val="en-GB"/>
              </w:rPr>
            </w:pPr>
            <w:r w:rsidRPr="00AA2617">
              <w:rPr>
                <w:sz w:val="20"/>
                <w:szCs w:val="20"/>
              </w:rPr>
              <w:t>Inability for the government to fund the ETF related activities beyond the project cycle</w:t>
            </w:r>
          </w:p>
        </w:tc>
        <w:tc>
          <w:tcPr>
            <w:tcW w:w="1350" w:type="dxa"/>
          </w:tcPr>
          <w:p w14:paraId="1E00B786" w14:textId="77777777" w:rsidR="00564247" w:rsidRPr="00AA2617" w:rsidRDefault="00564247" w:rsidP="00AA2617">
            <w:pPr>
              <w:jc w:val="center"/>
              <w:rPr>
                <w:szCs w:val="21"/>
                <w:lang w:val="en-GB"/>
              </w:rPr>
            </w:pPr>
            <w:r w:rsidRPr="00AA2617">
              <w:rPr>
                <w:szCs w:val="21"/>
                <w:lang w:val="en-GB"/>
              </w:rPr>
              <w:t xml:space="preserve">Financial </w:t>
            </w:r>
          </w:p>
        </w:tc>
        <w:tc>
          <w:tcPr>
            <w:tcW w:w="1170" w:type="dxa"/>
          </w:tcPr>
          <w:p w14:paraId="1C8D609B" w14:textId="77777777" w:rsidR="00564247" w:rsidRPr="00AA2617" w:rsidRDefault="00564247" w:rsidP="00AA2617">
            <w:pPr>
              <w:jc w:val="center"/>
              <w:rPr>
                <w:szCs w:val="21"/>
                <w:lang w:val="en-GB"/>
              </w:rPr>
            </w:pPr>
            <w:r w:rsidRPr="00AA2617">
              <w:rPr>
                <w:szCs w:val="21"/>
                <w:lang w:val="en-GB"/>
              </w:rPr>
              <w:t>P = 4</w:t>
            </w:r>
          </w:p>
          <w:p w14:paraId="76BFD460" w14:textId="77777777" w:rsidR="00564247" w:rsidRPr="00AA2617" w:rsidRDefault="00564247" w:rsidP="00AA2617">
            <w:pPr>
              <w:jc w:val="center"/>
              <w:rPr>
                <w:szCs w:val="21"/>
                <w:lang w:val="en-GB"/>
              </w:rPr>
            </w:pPr>
            <w:r w:rsidRPr="00AA2617">
              <w:rPr>
                <w:szCs w:val="21"/>
                <w:lang w:val="en-GB"/>
              </w:rPr>
              <w:t>I = 1</w:t>
            </w:r>
          </w:p>
        </w:tc>
        <w:tc>
          <w:tcPr>
            <w:tcW w:w="3741" w:type="dxa"/>
            <w:shd w:val="clear" w:color="auto" w:fill="auto"/>
          </w:tcPr>
          <w:p w14:paraId="38435E50" w14:textId="77777777" w:rsidR="00564247" w:rsidRPr="00AA2617" w:rsidRDefault="00564247" w:rsidP="00AA2617">
            <w:pPr>
              <w:pStyle w:val="ListParagraph"/>
              <w:numPr>
                <w:ilvl w:val="0"/>
                <w:numId w:val="21"/>
              </w:numPr>
              <w:ind w:left="162" w:hanging="198"/>
              <w:jc w:val="left"/>
              <w:rPr>
                <w:szCs w:val="21"/>
                <w:lang w:val="en-GB"/>
              </w:rPr>
            </w:pPr>
            <w:r w:rsidRPr="00AA2617">
              <w:rPr>
                <w:sz w:val="20"/>
                <w:szCs w:val="20"/>
              </w:rPr>
              <w:t>The proposed CBIT project will include measures to mainstream ETF activities into government budgetary and extra-budgetary processes. It will be proposed that ETF reporting be incorporated into current and future CPAP processes.</w:t>
            </w:r>
          </w:p>
          <w:p w14:paraId="0B85EB39" w14:textId="77777777" w:rsidR="00564247" w:rsidRPr="00AA2617" w:rsidRDefault="00564247" w:rsidP="00AA2617">
            <w:pPr>
              <w:pStyle w:val="ListParagraph"/>
              <w:numPr>
                <w:ilvl w:val="0"/>
                <w:numId w:val="21"/>
              </w:numPr>
              <w:ind w:left="162" w:hanging="198"/>
              <w:jc w:val="left"/>
              <w:rPr>
                <w:szCs w:val="21"/>
                <w:lang w:val="en-GB"/>
              </w:rPr>
            </w:pPr>
            <w:r w:rsidRPr="00AA2617">
              <w:rPr>
                <w:szCs w:val="21"/>
                <w:lang w:val="en-GB"/>
              </w:rPr>
              <w:t>working through LOAs helps ensure near-term continuity</w:t>
            </w:r>
          </w:p>
          <w:p w14:paraId="2B9D9A1D" w14:textId="77777777" w:rsidR="00564247" w:rsidRPr="00AA2617" w:rsidRDefault="00564247" w:rsidP="00AA2617">
            <w:pPr>
              <w:pStyle w:val="ListParagraph"/>
              <w:numPr>
                <w:ilvl w:val="0"/>
                <w:numId w:val="21"/>
              </w:numPr>
              <w:ind w:left="162" w:hanging="198"/>
              <w:jc w:val="left"/>
              <w:rPr>
                <w:szCs w:val="21"/>
                <w:lang w:val="en-GB"/>
              </w:rPr>
            </w:pPr>
            <w:r w:rsidRPr="00AA2617">
              <w:rPr>
                <w:szCs w:val="21"/>
                <w:lang w:val="en-GB"/>
              </w:rPr>
              <w:t>formalizing ETF-related institutional arrangements supports long-term continuity</w:t>
            </w:r>
          </w:p>
        </w:tc>
      </w:tr>
      <w:tr w:rsidR="00564247" w:rsidRPr="00AA2617" w14:paraId="4EE150A4" w14:textId="77777777" w:rsidTr="00BA3E1F">
        <w:trPr>
          <w:cantSplit/>
          <w:trHeight w:val="251"/>
          <w:jc w:val="center"/>
        </w:trPr>
        <w:tc>
          <w:tcPr>
            <w:tcW w:w="565" w:type="dxa"/>
            <w:shd w:val="clear" w:color="auto" w:fill="auto"/>
          </w:tcPr>
          <w:p w14:paraId="796AB441" w14:textId="77777777" w:rsidR="00564247" w:rsidRPr="00AA2617" w:rsidRDefault="00564247" w:rsidP="00AA2617">
            <w:pPr>
              <w:jc w:val="center"/>
              <w:rPr>
                <w:szCs w:val="21"/>
                <w:lang w:val="en-GB"/>
              </w:rPr>
            </w:pPr>
            <w:r w:rsidRPr="00AA2617">
              <w:rPr>
                <w:szCs w:val="21"/>
                <w:lang w:val="en-GB"/>
              </w:rPr>
              <w:t>4</w:t>
            </w:r>
          </w:p>
        </w:tc>
        <w:tc>
          <w:tcPr>
            <w:tcW w:w="1890" w:type="dxa"/>
            <w:shd w:val="clear" w:color="auto" w:fill="auto"/>
          </w:tcPr>
          <w:p w14:paraId="0D922D35" w14:textId="77777777" w:rsidR="00564247" w:rsidRPr="00AA2617" w:rsidRDefault="00564247" w:rsidP="00AA2617">
            <w:pPr>
              <w:jc w:val="left"/>
              <w:rPr>
                <w:szCs w:val="21"/>
                <w:lang w:val="en-GB"/>
              </w:rPr>
            </w:pPr>
            <w:r w:rsidRPr="00AA2617">
              <w:rPr>
                <w:sz w:val="20"/>
                <w:szCs w:val="20"/>
              </w:rPr>
              <w:t>Gender mainstreaming hindered by resistance from local and national stakeholders</w:t>
            </w:r>
          </w:p>
        </w:tc>
        <w:tc>
          <w:tcPr>
            <w:tcW w:w="1350" w:type="dxa"/>
          </w:tcPr>
          <w:p w14:paraId="3BDD0D04" w14:textId="77777777" w:rsidR="00564247" w:rsidRPr="00AA2617" w:rsidRDefault="00564247" w:rsidP="00AA2617">
            <w:pPr>
              <w:jc w:val="center"/>
              <w:rPr>
                <w:szCs w:val="21"/>
                <w:lang w:val="en-GB"/>
              </w:rPr>
            </w:pPr>
            <w:r w:rsidRPr="00AA2617">
              <w:rPr>
                <w:szCs w:val="21"/>
                <w:lang w:val="en-GB"/>
              </w:rPr>
              <w:t>Cultural</w:t>
            </w:r>
          </w:p>
        </w:tc>
        <w:tc>
          <w:tcPr>
            <w:tcW w:w="1170" w:type="dxa"/>
          </w:tcPr>
          <w:p w14:paraId="2A492639" w14:textId="77777777" w:rsidR="00564247" w:rsidRPr="00AA2617" w:rsidRDefault="00564247" w:rsidP="00AA2617">
            <w:pPr>
              <w:jc w:val="center"/>
              <w:rPr>
                <w:szCs w:val="21"/>
                <w:lang w:val="en-GB"/>
              </w:rPr>
            </w:pPr>
            <w:r w:rsidRPr="00AA2617">
              <w:rPr>
                <w:szCs w:val="21"/>
                <w:lang w:val="en-GB"/>
              </w:rPr>
              <w:t>P=3</w:t>
            </w:r>
          </w:p>
          <w:p w14:paraId="534C3564" w14:textId="77777777" w:rsidR="00564247" w:rsidRPr="00AA2617" w:rsidRDefault="00564247" w:rsidP="00AA2617">
            <w:pPr>
              <w:jc w:val="center"/>
              <w:rPr>
                <w:szCs w:val="21"/>
                <w:lang w:val="en-GB"/>
              </w:rPr>
            </w:pPr>
            <w:r w:rsidRPr="00AA2617">
              <w:rPr>
                <w:szCs w:val="21"/>
                <w:lang w:val="en-GB"/>
              </w:rPr>
              <w:t>I=3</w:t>
            </w:r>
          </w:p>
        </w:tc>
        <w:tc>
          <w:tcPr>
            <w:tcW w:w="3741" w:type="dxa"/>
            <w:shd w:val="clear" w:color="auto" w:fill="auto"/>
          </w:tcPr>
          <w:p w14:paraId="2DA9319E" w14:textId="77777777" w:rsidR="00564247" w:rsidRPr="00AA2617" w:rsidRDefault="00564247" w:rsidP="00AA2617">
            <w:pPr>
              <w:pStyle w:val="ListParagraph"/>
              <w:numPr>
                <w:ilvl w:val="0"/>
                <w:numId w:val="21"/>
              </w:numPr>
              <w:ind w:left="162" w:hanging="198"/>
              <w:jc w:val="left"/>
              <w:rPr>
                <w:szCs w:val="21"/>
                <w:lang w:val="en-GB"/>
              </w:rPr>
            </w:pPr>
            <w:r w:rsidRPr="00AA2617">
              <w:rPr>
                <w:sz w:val="20"/>
                <w:szCs w:val="20"/>
              </w:rPr>
              <w:t xml:space="preserve">Clear initial communication on gender equality as one of the key monitoring element for tracking progress of the project – particularly with respect to adaptation monitoring and reporting and co-benefits. </w:t>
            </w:r>
            <w:r w:rsidRPr="00AA2617">
              <w:rPr>
                <w:szCs w:val="21"/>
                <w:lang w:val="en-GB"/>
              </w:rPr>
              <w:t xml:space="preserve"> </w:t>
            </w:r>
          </w:p>
        </w:tc>
      </w:tr>
      <w:tr w:rsidR="00564247" w:rsidRPr="00AA2617" w14:paraId="2BFA7D1A" w14:textId="77777777" w:rsidTr="00BA3E1F">
        <w:trPr>
          <w:cantSplit/>
          <w:trHeight w:val="251"/>
          <w:jc w:val="center"/>
        </w:trPr>
        <w:tc>
          <w:tcPr>
            <w:tcW w:w="565" w:type="dxa"/>
            <w:shd w:val="clear" w:color="auto" w:fill="auto"/>
          </w:tcPr>
          <w:p w14:paraId="34DF800A" w14:textId="77777777" w:rsidR="00564247" w:rsidRPr="00AA2617" w:rsidRDefault="00564247" w:rsidP="00AA2617">
            <w:pPr>
              <w:jc w:val="center"/>
              <w:rPr>
                <w:szCs w:val="21"/>
                <w:lang w:val="en-GB"/>
              </w:rPr>
            </w:pPr>
            <w:r w:rsidRPr="00AA2617">
              <w:rPr>
                <w:szCs w:val="21"/>
                <w:lang w:val="en-GB"/>
              </w:rPr>
              <w:lastRenderedPageBreak/>
              <w:t>5</w:t>
            </w:r>
          </w:p>
        </w:tc>
        <w:tc>
          <w:tcPr>
            <w:tcW w:w="1890" w:type="dxa"/>
            <w:shd w:val="clear" w:color="auto" w:fill="auto"/>
          </w:tcPr>
          <w:p w14:paraId="7D3FDF03" w14:textId="77777777" w:rsidR="00564247" w:rsidRPr="00AA2617" w:rsidRDefault="00564247" w:rsidP="00AA2617">
            <w:pPr>
              <w:jc w:val="left"/>
              <w:rPr>
                <w:szCs w:val="21"/>
                <w:lang w:val="en-GB"/>
              </w:rPr>
            </w:pPr>
            <w:r w:rsidRPr="00AA2617">
              <w:rPr>
                <w:sz w:val="20"/>
                <w:szCs w:val="20"/>
              </w:rPr>
              <w:t>Transparency related work loses momentum as the Paris Agreement is not adopted</w:t>
            </w:r>
          </w:p>
        </w:tc>
        <w:tc>
          <w:tcPr>
            <w:tcW w:w="1350" w:type="dxa"/>
          </w:tcPr>
          <w:p w14:paraId="165B7F10" w14:textId="77777777" w:rsidR="00564247" w:rsidRPr="00AA2617" w:rsidRDefault="00564247" w:rsidP="00AA2617">
            <w:pPr>
              <w:jc w:val="center"/>
              <w:rPr>
                <w:szCs w:val="21"/>
                <w:lang w:val="en-GB"/>
              </w:rPr>
            </w:pPr>
            <w:r w:rsidRPr="00AA2617">
              <w:rPr>
                <w:szCs w:val="21"/>
                <w:lang w:val="en-GB"/>
              </w:rPr>
              <w:t>Political</w:t>
            </w:r>
          </w:p>
        </w:tc>
        <w:tc>
          <w:tcPr>
            <w:tcW w:w="1170" w:type="dxa"/>
          </w:tcPr>
          <w:p w14:paraId="4F263DC9" w14:textId="77777777" w:rsidR="00564247" w:rsidRPr="00AA2617" w:rsidRDefault="00564247" w:rsidP="00AA2617">
            <w:pPr>
              <w:jc w:val="center"/>
              <w:rPr>
                <w:szCs w:val="21"/>
                <w:lang w:val="en-GB"/>
              </w:rPr>
            </w:pPr>
            <w:r w:rsidRPr="00AA2617">
              <w:rPr>
                <w:szCs w:val="21"/>
                <w:lang w:val="en-GB"/>
              </w:rPr>
              <w:t>P = 1</w:t>
            </w:r>
          </w:p>
          <w:p w14:paraId="091D31F9" w14:textId="77777777" w:rsidR="00564247" w:rsidRPr="00AA2617" w:rsidRDefault="00564247" w:rsidP="00AA2617">
            <w:pPr>
              <w:jc w:val="center"/>
              <w:rPr>
                <w:szCs w:val="21"/>
                <w:lang w:val="en-GB"/>
              </w:rPr>
            </w:pPr>
            <w:r w:rsidRPr="00AA2617">
              <w:rPr>
                <w:szCs w:val="21"/>
                <w:lang w:val="en-GB"/>
              </w:rPr>
              <w:t>I = 4</w:t>
            </w:r>
          </w:p>
        </w:tc>
        <w:tc>
          <w:tcPr>
            <w:tcW w:w="3741" w:type="dxa"/>
            <w:shd w:val="clear" w:color="auto" w:fill="auto"/>
          </w:tcPr>
          <w:p w14:paraId="4012CACA" w14:textId="77777777" w:rsidR="00564247" w:rsidRPr="00AA2617" w:rsidRDefault="00564247" w:rsidP="00AA2617">
            <w:pPr>
              <w:pStyle w:val="ListParagraph"/>
              <w:numPr>
                <w:ilvl w:val="0"/>
                <w:numId w:val="21"/>
              </w:numPr>
              <w:ind w:left="162" w:hanging="198"/>
              <w:jc w:val="left"/>
              <w:rPr>
                <w:szCs w:val="21"/>
                <w:lang w:val="en-GB"/>
              </w:rPr>
            </w:pPr>
            <w:r w:rsidRPr="00AA2617">
              <w:rPr>
                <w:sz w:val="20"/>
                <w:szCs w:val="20"/>
              </w:rPr>
              <w:t>To address this issue CBIT project activities will focus on the potential positive externalities associated with improved data collection, monitoring and reporting of agriculture and land-use sector mitigation and adaptation activities. These could include more effective targeting of initiatives to improve farm and land-use efficiency and strengthen rural resilience. This ‘no-regrets’ approach will aim to highlight the need for and benefits of this transparency work that will go beyond the lifetime of the Paris Agreement.</w:t>
            </w:r>
          </w:p>
        </w:tc>
      </w:tr>
    </w:tbl>
    <w:p w14:paraId="72136B6C" w14:textId="77777777" w:rsidR="00564247" w:rsidRPr="00AA2617" w:rsidRDefault="00564247" w:rsidP="00AA2617">
      <w:pPr>
        <w:pStyle w:val="NumberedParagraph"/>
        <w:keepNext/>
        <w:keepLines/>
        <w:numPr>
          <w:ilvl w:val="0"/>
          <w:numId w:val="0"/>
        </w:numPr>
        <w:spacing w:before="240"/>
        <w:ind w:left="360" w:hanging="360"/>
        <w:jc w:val="center"/>
        <w:rPr>
          <w:sz w:val="22"/>
          <w:lang w:val="en-GB"/>
        </w:rPr>
      </w:pPr>
    </w:p>
    <w:p w14:paraId="03372807" w14:textId="77777777" w:rsidR="008D404D" w:rsidRPr="00AA2617" w:rsidRDefault="008D404D" w:rsidP="00AA2617">
      <w:pPr>
        <w:pStyle w:val="Heading1"/>
        <w:spacing w:before="240"/>
        <w:rPr>
          <w:rFonts w:cs="Times New Roman"/>
          <w:b/>
          <w:smallCaps/>
          <w:szCs w:val="22"/>
          <w:lang w:val="en-GB"/>
        </w:rPr>
      </w:pPr>
      <w:bookmarkStart w:id="175" w:name="_Toc510013458"/>
      <w:bookmarkStart w:id="176" w:name="_Toc513464463"/>
      <w:bookmarkStart w:id="177" w:name="_Toc9249217"/>
      <w:r w:rsidRPr="00AA2617">
        <w:rPr>
          <w:rFonts w:cs="Times New Roman"/>
          <w:b/>
          <w:smallCaps/>
          <w:szCs w:val="22"/>
          <w:lang w:val="en-GB"/>
        </w:rPr>
        <w:t>Section 3:  Innovation, Potential for Scaling-up, and Sustainability</w:t>
      </w:r>
      <w:bookmarkEnd w:id="175"/>
      <w:bookmarkEnd w:id="176"/>
      <w:bookmarkEnd w:id="177"/>
    </w:p>
    <w:p w14:paraId="76073C54" w14:textId="77777777" w:rsidR="008D404D" w:rsidRPr="00AA2617" w:rsidRDefault="008D404D" w:rsidP="00AA2617">
      <w:pPr>
        <w:pStyle w:val="ListParagraph"/>
        <w:keepNext/>
        <w:keepLines/>
        <w:numPr>
          <w:ilvl w:val="0"/>
          <w:numId w:val="1"/>
        </w:numPr>
        <w:spacing w:before="40"/>
        <w:contextualSpacing w:val="0"/>
        <w:outlineLvl w:val="1"/>
        <w:rPr>
          <w:rFonts w:eastAsiaTheme="majorEastAsia" w:cs="Times New Roman"/>
          <w:vanish/>
          <w:color w:val="0070C0"/>
          <w:sz w:val="22"/>
          <w:lang w:val="en-GB"/>
        </w:rPr>
      </w:pPr>
      <w:bookmarkStart w:id="178" w:name="_Toc474848395"/>
      <w:bookmarkStart w:id="179" w:name="_Toc483304613"/>
      <w:bookmarkStart w:id="180" w:name="_Toc483304712"/>
      <w:bookmarkStart w:id="181" w:name="_Toc483316079"/>
      <w:bookmarkStart w:id="182" w:name="_Toc485296319"/>
      <w:bookmarkStart w:id="183" w:name="_Toc486324904"/>
      <w:bookmarkStart w:id="184" w:name="_Toc486406307"/>
      <w:bookmarkStart w:id="185" w:name="_Toc488753791"/>
      <w:bookmarkStart w:id="186" w:name="_Toc491187186"/>
      <w:bookmarkStart w:id="187" w:name="_Toc491272922"/>
      <w:bookmarkStart w:id="188" w:name="_Toc491359888"/>
      <w:bookmarkStart w:id="189" w:name="_Toc493079925"/>
      <w:bookmarkStart w:id="190" w:name="_Toc493083895"/>
      <w:bookmarkStart w:id="191" w:name="_Toc493084290"/>
      <w:bookmarkStart w:id="192" w:name="_Toc493084437"/>
      <w:bookmarkStart w:id="193" w:name="_Toc493084800"/>
      <w:bookmarkStart w:id="194" w:name="_Toc493084946"/>
      <w:bookmarkStart w:id="195" w:name="_Toc493085090"/>
      <w:bookmarkStart w:id="196" w:name="_Toc493085444"/>
      <w:bookmarkStart w:id="197" w:name="_Toc493085544"/>
      <w:bookmarkStart w:id="198" w:name="_Toc494724835"/>
      <w:bookmarkStart w:id="199" w:name="_Toc494724909"/>
      <w:bookmarkStart w:id="200" w:name="_Toc494802323"/>
      <w:bookmarkStart w:id="201" w:name="_Toc494803180"/>
      <w:bookmarkStart w:id="202" w:name="_Toc494805902"/>
      <w:bookmarkStart w:id="203" w:name="_Toc494901752"/>
      <w:bookmarkStart w:id="204" w:name="_Toc494990120"/>
      <w:bookmarkStart w:id="205" w:name="_Toc494990227"/>
      <w:bookmarkStart w:id="206" w:name="_Toc494990812"/>
      <w:bookmarkStart w:id="207" w:name="_Toc498418942"/>
      <w:bookmarkStart w:id="208" w:name="_Toc498423007"/>
      <w:bookmarkStart w:id="209" w:name="_Toc498530634"/>
      <w:bookmarkStart w:id="210" w:name="_Toc498530770"/>
      <w:bookmarkStart w:id="211" w:name="_Toc498530888"/>
      <w:bookmarkStart w:id="212" w:name="_Toc498531115"/>
      <w:bookmarkStart w:id="213" w:name="_Toc498531188"/>
      <w:bookmarkStart w:id="214" w:name="_Toc498531278"/>
      <w:bookmarkStart w:id="215" w:name="_Toc507323044"/>
      <w:bookmarkStart w:id="216" w:name="_Toc507323207"/>
      <w:bookmarkStart w:id="217" w:name="_Toc510007942"/>
      <w:bookmarkStart w:id="218" w:name="_Toc510013189"/>
      <w:bookmarkStart w:id="219" w:name="_Toc510013459"/>
      <w:bookmarkStart w:id="220" w:name="_Toc510013586"/>
      <w:bookmarkStart w:id="221" w:name="_Toc510013693"/>
      <w:bookmarkStart w:id="222" w:name="_Toc510013777"/>
      <w:bookmarkStart w:id="223" w:name="_Toc510013858"/>
      <w:bookmarkStart w:id="224" w:name="_Toc510013962"/>
      <w:bookmarkStart w:id="225" w:name="_Toc510014248"/>
      <w:bookmarkStart w:id="226" w:name="_Toc510014328"/>
      <w:bookmarkStart w:id="227" w:name="_Toc510016139"/>
      <w:bookmarkStart w:id="228" w:name="_Toc510016552"/>
      <w:bookmarkStart w:id="229" w:name="_Toc510090453"/>
      <w:bookmarkStart w:id="230" w:name="_Toc510108001"/>
      <w:bookmarkStart w:id="231" w:name="_Toc510114370"/>
      <w:bookmarkStart w:id="232" w:name="_Toc510114445"/>
      <w:bookmarkStart w:id="233" w:name="_Toc510117606"/>
      <w:bookmarkStart w:id="234" w:name="_Toc510130963"/>
      <w:bookmarkStart w:id="235" w:name="_Toc510131037"/>
      <w:bookmarkStart w:id="236" w:name="_Toc510165273"/>
      <w:bookmarkStart w:id="237" w:name="_Toc511084148"/>
      <w:bookmarkStart w:id="238" w:name="_Toc511199696"/>
      <w:bookmarkStart w:id="239" w:name="_Toc511199771"/>
      <w:bookmarkStart w:id="240" w:name="_Toc513217406"/>
      <w:bookmarkStart w:id="241" w:name="_Toc513455372"/>
      <w:bookmarkStart w:id="242" w:name="_Toc513455594"/>
      <w:bookmarkStart w:id="243" w:name="_Toc513464464"/>
      <w:bookmarkStart w:id="244" w:name="_Toc514761676"/>
      <w:bookmarkStart w:id="245" w:name="_Toc514930559"/>
      <w:bookmarkStart w:id="246" w:name="_Toc515017350"/>
      <w:bookmarkStart w:id="247" w:name="_Toc1333014"/>
      <w:bookmarkStart w:id="248" w:name="_Toc2673091"/>
      <w:bookmarkStart w:id="249" w:name="_Toc3706332"/>
      <w:bookmarkStart w:id="250" w:name="_Toc3751460"/>
      <w:bookmarkStart w:id="251" w:name="_Toc5367004"/>
      <w:bookmarkStart w:id="252" w:name="_Toc8031405"/>
      <w:bookmarkStart w:id="253" w:name="_Toc8037074"/>
      <w:bookmarkStart w:id="254" w:name="_Toc8042231"/>
      <w:bookmarkStart w:id="255" w:name="_Toc8042305"/>
      <w:bookmarkStart w:id="256" w:name="_Toc8042381"/>
      <w:bookmarkStart w:id="257" w:name="_Toc8905221"/>
      <w:bookmarkStart w:id="258" w:name="_Toc8905317"/>
      <w:bookmarkStart w:id="259" w:name="_Toc8905415"/>
      <w:bookmarkStart w:id="260" w:name="_Toc8905490"/>
      <w:bookmarkStart w:id="261" w:name="_Toc8912735"/>
      <w:bookmarkStart w:id="262" w:name="_Toc9244962"/>
      <w:bookmarkStart w:id="263" w:name="_Toc9249147"/>
      <w:bookmarkStart w:id="264" w:name="_Toc9249218"/>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0EA24DAB" w14:textId="77777777" w:rsidR="008D404D" w:rsidRPr="00AA2617" w:rsidRDefault="008D404D" w:rsidP="00AA2617">
      <w:pPr>
        <w:pStyle w:val="Heading2"/>
        <w:ind w:left="619" w:hanging="605"/>
        <w:rPr>
          <w:rFonts w:cs="Times New Roman"/>
          <w:b/>
          <w:szCs w:val="22"/>
          <w:lang w:val="en-GB"/>
        </w:rPr>
      </w:pPr>
      <w:bookmarkStart w:id="265" w:name="_Toc474848396"/>
      <w:bookmarkStart w:id="266" w:name="_Toc483304614"/>
      <w:bookmarkStart w:id="267" w:name="_Toc483304713"/>
      <w:bookmarkStart w:id="268" w:name="_Toc483316080"/>
      <w:bookmarkStart w:id="269" w:name="_Toc485296320"/>
      <w:bookmarkStart w:id="270" w:name="_Toc486324905"/>
      <w:bookmarkStart w:id="271" w:name="_Toc486406308"/>
      <w:bookmarkStart w:id="272" w:name="_Toc474848397"/>
      <w:bookmarkStart w:id="273" w:name="_Toc483304615"/>
      <w:bookmarkStart w:id="274" w:name="_Toc483304714"/>
      <w:bookmarkStart w:id="275" w:name="_Toc483316081"/>
      <w:bookmarkStart w:id="276" w:name="_Toc485296321"/>
      <w:bookmarkStart w:id="277" w:name="_Toc486324906"/>
      <w:bookmarkStart w:id="278" w:name="_Toc486406309"/>
      <w:bookmarkStart w:id="279" w:name="_Toc510013460"/>
      <w:bookmarkStart w:id="280" w:name="_Toc513464465"/>
      <w:bookmarkStart w:id="281" w:name="_Toc9249219"/>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r w:rsidRPr="00AA2617">
        <w:rPr>
          <w:rFonts w:cs="Times New Roman"/>
          <w:b/>
          <w:szCs w:val="22"/>
          <w:lang w:val="en-GB"/>
        </w:rPr>
        <w:t>Innovati</w:t>
      </w:r>
      <w:bookmarkEnd w:id="279"/>
      <w:bookmarkEnd w:id="280"/>
      <w:r w:rsidRPr="00AA2617">
        <w:rPr>
          <w:rFonts w:cs="Times New Roman"/>
          <w:b/>
          <w:szCs w:val="22"/>
          <w:lang w:val="en-GB"/>
        </w:rPr>
        <w:t>on</w:t>
      </w:r>
      <w:bookmarkEnd w:id="281"/>
    </w:p>
    <w:p w14:paraId="60D5E517" w14:textId="77777777" w:rsidR="003F6306" w:rsidRPr="00AA2617" w:rsidRDefault="003F6306" w:rsidP="00AA2617">
      <w:pPr>
        <w:pStyle w:val="NumberedParagraph"/>
        <w:spacing w:before="120"/>
        <w:rPr>
          <w:sz w:val="22"/>
          <w:lang w:val="en-GB"/>
        </w:rPr>
      </w:pPr>
      <w:r w:rsidRPr="00AA2617">
        <w:rPr>
          <w:sz w:val="22"/>
          <w:lang w:val="en-GB"/>
        </w:rPr>
        <w:t xml:space="preserve">The proposed CBIT project will facilitate scientific innovation through investment in infrastructure and systems to update and modernize the measurement and monitoring capacities of Government and local technical and research institutions. The project will facilitate investment and technology transfer for new and updated equipment at local universities and labs to measure and monitor emissions from a wide range of agriculture and land-use activities. The project will also facilitate investment in dedicated knowledge management information systems and IT hardware for the more effective management and reporting of data and information related to transparency of both mitigation and adaptation actions. Field monitoring systems will be overhauled under the project through the upgrading of data collection processes with the wider application of mobile telecommunications, app-based data collection platforms and cloud-based data storage and transfer services where appropriate. </w:t>
      </w:r>
    </w:p>
    <w:p w14:paraId="08C29D0B" w14:textId="77777777" w:rsidR="003F6306" w:rsidRPr="00AA2617" w:rsidRDefault="003F6306" w:rsidP="00AA2617">
      <w:pPr>
        <w:pStyle w:val="NumberedParagraph"/>
        <w:spacing w:before="120"/>
        <w:rPr>
          <w:sz w:val="22"/>
          <w:lang w:val="en-GB"/>
        </w:rPr>
      </w:pPr>
      <w:r w:rsidRPr="00AA2617">
        <w:rPr>
          <w:sz w:val="22"/>
          <w:lang w:val="en-GB"/>
        </w:rPr>
        <w:t xml:space="preserve">These systems will be designed to benefit from recent advances and tools for estimating GHG emissions from the crops, livestock and forestry sectors. FAO, with partners, has developed or is currently developing a suite of tools for standardizing emissions monitoring and reporting at Tier 2 levels. For example, the Global Livestock Environment Assessment Model (GLEAM) establishes baselines and assesses the impacts of different mitigation and adaptation scenarios at local and national scale. Based on IPCC Tier 2 methodology and GIS based modeling of livestock distribution, GLEAM allows the assessments of all major GHG emissions from livestock and the impacts of all actions to reduce emissions from the sector. Similar tools are under development for field crops based on projects including a global program on Mitigating Agricultural Greenhouse Gases (MAGHG) and support for countries in Southeast Asia to prepare Nationally Appropriate Mitigation Actions for different field crops. </w:t>
      </w:r>
    </w:p>
    <w:p w14:paraId="2D0F61E0" w14:textId="77777777" w:rsidR="003F6306" w:rsidRPr="00AA2617" w:rsidRDefault="003F6306" w:rsidP="00AA2617">
      <w:pPr>
        <w:pStyle w:val="NumberedParagraph"/>
        <w:spacing w:before="120"/>
        <w:rPr>
          <w:sz w:val="22"/>
          <w:lang w:val="en-GB"/>
        </w:rPr>
      </w:pPr>
      <w:r w:rsidRPr="00AA2617">
        <w:rPr>
          <w:sz w:val="22"/>
          <w:lang w:val="en-GB"/>
        </w:rPr>
        <w:t xml:space="preserve">With the application of GHG estimation tools such as GLEAM and those developed under MAGHG, national institutions will have enhanced capacity to measure progress toward NDC priorities in agriculture and land-use sectors. At global level, evidence tested and compiled in Sri Lanka will facilitate the improvement of scientific knowledge of GHG emissions reduction potential from AFOLU sectors, consequently improving our knowledge to estimate global environmental benefits. These systems once implemented and operational will support the potential for improved understanding of mitigation and adaptation potentials and the possibility for increased levels of ambition and quantification of support required in future iterations of Sri Lanka’s NDC in the lead up to and during the commitment period of the Paris Agreement. </w:t>
      </w:r>
    </w:p>
    <w:p w14:paraId="0DADBB49" w14:textId="77777777" w:rsidR="00A81B28" w:rsidRPr="00AA2617" w:rsidRDefault="00A81B28" w:rsidP="00AA2617">
      <w:pPr>
        <w:pStyle w:val="NumberedParagraph"/>
        <w:spacing w:before="120"/>
        <w:rPr>
          <w:sz w:val="22"/>
          <w:lang w:val="en-GB"/>
        </w:rPr>
      </w:pPr>
      <w:r w:rsidRPr="00AA2617">
        <w:rPr>
          <w:sz w:val="22"/>
          <w:lang w:val="en-GB"/>
        </w:rPr>
        <w:lastRenderedPageBreak/>
        <w:t>In addition, the project adopts an innovative approach that integrates extensive stakeholder consultations and assessments of capacity needs and baseline activities for monitoring the progress. The project interventions have been formulated by taking into account the need to enhance national capacity in monitoring mitigation and adaptation actions for AFOLU and relevant sectors as a whole emerging from the representatives of line ministries in Sri Lanka.</w:t>
      </w:r>
    </w:p>
    <w:p w14:paraId="68833249" w14:textId="77777777" w:rsidR="00A81B28" w:rsidRPr="00AA2617" w:rsidRDefault="00A81B28" w:rsidP="00AA2617">
      <w:pPr>
        <w:pStyle w:val="NumberedParagraph"/>
        <w:spacing w:before="120"/>
        <w:rPr>
          <w:sz w:val="22"/>
          <w:lang w:val="en-GB"/>
        </w:rPr>
      </w:pPr>
      <w:r w:rsidRPr="00AA2617">
        <w:rPr>
          <w:sz w:val="22"/>
          <w:lang w:val="en-GB"/>
        </w:rPr>
        <w:t>Additionally, this project’s design phase has made use of newly innovated tools for assessments of capacities, gaps, and stakeholders’ decision processes.  These tools have also been designed to provide on-going value by helping to guide ETF-related decisions and efforts during and after the project.</w:t>
      </w:r>
    </w:p>
    <w:p w14:paraId="7579097A" w14:textId="77777777" w:rsidR="00991C94" w:rsidRPr="00AA2617" w:rsidRDefault="00991C94" w:rsidP="00AA2617">
      <w:pPr>
        <w:pStyle w:val="NumberedParagraph"/>
        <w:spacing w:before="120"/>
        <w:rPr>
          <w:sz w:val="22"/>
          <w:lang w:val="en-GB"/>
        </w:rPr>
      </w:pPr>
      <w:r w:rsidRPr="00AA2617">
        <w:rPr>
          <w:sz w:val="22"/>
          <w:lang w:val="en-GB"/>
        </w:rPr>
        <w:t xml:space="preserve">The project is expected to strengthen the capacity of CCS to develop a Provincial Data Collection mechanism namely “Provincial Cells”. These Provincial Cells will collect the data from the various stakeholders and departments at the ground level for compilation and analysis at the Provincial level. It is also expected that the capacity of these Provincial Cells would be enhanced through critical engagement of 3rd national report preparation process. </w:t>
      </w:r>
    </w:p>
    <w:p w14:paraId="7C870628" w14:textId="77777777" w:rsidR="008D404D" w:rsidRPr="00AA2617" w:rsidRDefault="005313B9" w:rsidP="00AA2617">
      <w:pPr>
        <w:pStyle w:val="Heading2"/>
        <w:ind w:left="619" w:hanging="605"/>
        <w:rPr>
          <w:rFonts w:cs="Times New Roman"/>
          <w:b/>
          <w:szCs w:val="22"/>
          <w:lang w:val="en-GB"/>
        </w:rPr>
      </w:pPr>
      <w:bookmarkStart w:id="282" w:name="_Toc510013461"/>
      <w:bookmarkStart w:id="283" w:name="_Toc513464466"/>
      <w:bookmarkStart w:id="284" w:name="_Toc9249220"/>
      <w:r w:rsidRPr="00AA2617">
        <w:rPr>
          <w:rFonts w:cs="Times New Roman"/>
          <w:b/>
          <w:szCs w:val="22"/>
          <w:lang w:val="en-GB"/>
        </w:rPr>
        <w:t>Potential for S</w:t>
      </w:r>
      <w:r w:rsidR="008D404D" w:rsidRPr="00AA2617">
        <w:rPr>
          <w:rFonts w:cs="Times New Roman"/>
          <w:b/>
          <w:szCs w:val="22"/>
          <w:lang w:val="en-GB"/>
        </w:rPr>
        <w:t>caling</w:t>
      </w:r>
      <w:r w:rsidRPr="00AA2617">
        <w:rPr>
          <w:rFonts w:cs="Times New Roman"/>
          <w:b/>
          <w:szCs w:val="22"/>
          <w:lang w:val="en-GB"/>
        </w:rPr>
        <w:t>-</w:t>
      </w:r>
      <w:r w:rsidR="008D404D" w:rsidRPr="00AA2617">
        <w:rPr>
          <w:rFonts w:cs="Times New Roman"/>
          <w:b/>
          <w:szCs w:val="22"/>
          <w:lang w:val="en-GB"/>
        </w:rPr>
        <w:t>up</w:t>
      </w:r>
      <w:bookmarkEnd w:id="282"/>
      <w:bookmarkEnd w:id="283"/>
      <w:bookmarkEnd w:id="284"/>
    </w:p>
    <w:p w14:paraId="5BBDFA92" w14:textId="77777777" w:rsidR="00BD3B72" w:rsidRPr="00AA2617" w:rsidRDefault="00BD3B72" w:rsidP="00AA2617">
      <w:pPr>
        <w:pStyle w:val="NumberedParagraph"/>
        <w:spacing w:before="120"/>
        <w:rPr>
          <w:sz w:val="22"/>
          <w:lang w:val="en-GB"/>
        </w:rPr>
      </w:pPr>
      <w:r w:rsidRPr="00AA2617">
        <w:rPr>
          <w:sz w:val="22"/>
          <w:lang w:val="en-GB"/>
        </w:rPr>
        <w:t xml:space="preserve">The project specifically embeds opportunities to scale-out and scale-up the measures implemented. The information management systems and infrastructure for monitoring and reporting mitigation and adaptation actions in the agriculture and land-use sectors established under the project will be designed in way to allow for easy replication and adoption by other sectors. </w:t>
      </w:r>
    </w:p>
    <w:p w14:paraId="224292CD" w14:textId="77777777" w:rsidR="00BD3B72" w:rsidRPr="00AA2617" w:rsidRDefault="00BD3B72" w:rsidP="00AA2617">
      <w:pPr>
        <w:pStyle w:val="NumberedParagraph"/>
        <w:spacing w:before="120"/>
        <w:rPr>
          <w:sz w:val="22"/>
          <w:lang w:val="en-GB"/>
        </w:rPr>
      </w:pPr>
      <w:r w:rsidRPr="00AA2617">
        <w:rPr>
          <w:sz w:val="22"/>
          <w:lang w:val="en-GB"/>
        </w:rPr>
        <w:t xml:space="preserve">Hardware, capacity building and training provided to national and local level stakeholders will be developed as modules that they can be adapted to improve data collection methods and analysis across all sectors. By working through and strengthening the institutional mechanisms in place for transparency of climate change actions the project will be able to better facilitate this process of scaling out project-developed systems and processes. The enhanced capacity provided by the project will enable regular national reporting of actions to address climate change drivers and impacts as envisioned under Paris Agreement Article 13. </w:t>
      </w:r>
    </w:p>
    <w:p w14:paraId="6F067B31" w14:textId="77777777" w:rsidR="00BD3B72" w:rsidRPr="00AA2617" w:rsidRDefault="00BD3B72" w:rsidP="00AA2617">
      <w:pPr>
        <w:pStyle w:val="NumberedParagraph"/>
        <w:spacing w:before="120"/>
        <w:rPr>
          <w:sz w:val="22"/>
          <w:lang w:val="en-GB"/>
        </w:rPr>
      </w:pPr>
      <w:r w:rsidRPr="00AA2617">
        <w:rPr>
          <w:sz w:val="22"/>
          <w:lang w:val="en-GB"/>
        </w:rPr>
        <w:t>Outcome 1 of the project will also facilitate Sri Lanka’s engagement in international transparency-related processes under the UNFCCC. With the enhanced institutional capacity and engagement with international process, the government of Sri Lanka will be capacitated to identify potential partners to further develop scaling-up actions and investment opportunities for further improving transparency over time, as well as to benefit other countries in the region to develop more transparent, accurate, complete, consistent and comparable monitoring and reporting systems.</w:t>
      </w:r>
    </w:p>
    <w:p w14:paraId="66B0F3E5" w14:textId="77777777" w:rsidR="00BD3B72" w:rsidRPr="00AA2617" w:rsidRDefault="00BD3B72" w:rsidP="00AA2617">
      <w:pPr>
        <w:pStyle w:val="NumberedParagraph"/>
        <w:spacing w:before="120"/>
        <w:rPr>
          <w:sz w:val="22"/>
          <w:lang w:val="en-GB"/>
        </w:rPr>
      </w:pPr>
      <w:r w:rsidRPr="00AA2617">
        <w:rPr>
          <w:sz w:val="22"/>
          <w:lang w:val="en-GB"/>
        </w:rPr>
        <w:t xml:space="preserve">The government will use a combination of national budget, and planned international support for fulfilling its reporting requirements to the Convention and ensure continued application and sustainability of the transparency systems and infrastructure for the other sectors.  </w:t>
      </w:r>
    </w:p>
    <w:p w14:paraId="2D898404" w14:textId="77777777" w:rsidR="00BD3B72" w:rsidRPr="00AA2617" w:rsidRDefault="00BD3B72" w:rsidP="00AA2617">
      <w:pPr>
        <w:pStyle w:val="NumberedParagraph"/>
        <w:spacing w:before="120"/>
        <w:rPr>
          <w:sz w:val="22"/>
          <w:lang w:val="en-GB"/>
        </w:rPr>
      </w:pPr>
      <w:r w:rsidRPr="00AA2617">
        <w:rPr>
          <w:sz w:val="22"/>
          <w:lang w:val="en-GB"/>
        </w:rPr>
        <w:t xml:space="preserve">It is envisaged that the government mechanism for quality data collection and reporting on NDC towards ETF will be improved overtime and adopted completely in AFOLU sector. </w:t>
      </w:r>
    </w:p>
    <w:p w14:paraId="56F5A082" w14:textId="77777777" w:rsidR="008D404D" w:rsidRPr="00AA2617" w:rsidRDefault="008D404D" w:rsidP="00AA2617">
      <w:pPr>
        <w:pStyle w:val="Heading2"/>
        <w:ind w:left="619" w:hanging="605"/>
        <w:rPr>
          <w:rFonts w:cs="Times New Roman"/>
          <w:b/>
          <w:szCs w:val="22"/>
          <w:lang w:val="en-GB"/>
        </w:rPr>
      </w:pPr>
      <w:bookmarkStart w:id="285" w:name="_Toc510013462"/>
      <w:bookmarkStart w:id="286" w:name="_Toc513464467"/>
      <w:bookmarkStart w:id="287" w:name="_Toc9249221"/>
      <w:r w:rsidRPr="00AA2617">
        <w:rPr>
          <w:rFonts w:cs="Times New Roman"/>
          <w:b/>
          <w:szCs w:val="22"/>
          <w:lang w:val="en-GB"/>
        </w:rPr>
        <w:t>Sustainability</w:t>
      </w:r>
      <w:bookmarkEnd w:id="285"/>
      <w:bookmarkEnd w:id="286"/>
      <w:bookmarkEnd w:id="287"/>
    </w:p>
    <w:p w14:paraId="281B7D76" w14:textId="77777777" w:rsidR="00980B94" w:rsidRPr="00AA2617" w:rsidRDefault="00980B94" w:rsidP="00AA2617">
      <w:pPr>
        <w:pStyle w:val="NumberedParagraph"/>
        <w:spacing w:before="120"/>
        <w:rPr>
          <w:sz w:val="22"/>
          <w:lang w:val="en-GB"/>
        </w:rPr>
      </w:pPr>
      <w:r w:rsidRPr="00AA2617">
        <w:rPr>
          <w:sz w:val="22"/>
          <w:lang w:val="en-GB"/>
        </w:rPr>
        <w:t>The primary driver of the project’s sustainability is its relevance.  Climate change is a national priority with direct relevance to livelihoods and well-being, particularly in the AFOLU sector.  Institutional stakeholders have strong incentives to gain and act upon accurate climate-related information.  This CBIT project directly addresses that need.</w:t>
      </w:r>
    </w:p>
    <w:p w14:paraId="41A8D05D" w14:textId="77777777" w:rsidR="00980B94" w:rsidRPr="00AA2617" w:rsidRDefault="00980B94" w:rsidP="00AA2617">
      <w:pPr>
        <w:pStyle w:val="NumberedParagraph"/>
        <w:spacing w:before="120"/>
        <w:rPr>
          <w:sz w:val="22"/>
          <w:lang w:val="en-GB"/>
        </w:rPr>
      </w:pPr>
      <w:r w:rsidRPr="00AA2617">
        <w:rPr>
          <w:sz w:val="22"/>
          <w:lang w:val="en-GB"/>
        </w:rPr>
        <w:t>In addition to the project’s direct relevance to stakeholders’ needs, the project also enables institutional stakeholders to demonstrate results through improved data, such as on the effectiveness of various interventions.  This improved transparency is foundational to good governance, because it provides a basis for responsiveness and accountability.</w:t>
      </w:r>
    </w:p>
    <w:p w14:paraId="044E57FB" w14:textId="53DBAA93" w:rsidR="00D777B7" w:rsidRPr="00AA2617" w:rsidRDefault="00BD3B72" w:rsidP="00AA2617">
      <w:pPr>
        <w:pStyle w:val="NumberedParagraph"/>
        <w:spacing w:before="120"/>
        <w:rPr>
          <w:sz w:val="22"/>
          <w:lang w:val="en-GB"/>
        </w:rPr>
      </w:pPr>
      <w:r w:rsidRPr="00AA2617">
        <w:rPr>
          <w:sz w:val="22"/>
          <w:lang w:val="en-GB"/>
        </w:rPr>
        <w:lastRenderedPageBreak/>
        <w:t>F</w:t>
      </w:r>
      <w:r w:rsidR="00D777B7" w:rsidRPr="00AA2617">
        <w:rPr>
          <w:sz w:val="22"/>
          <w:lang w:val="en-GB"/>
        </w:rPr>
        <w:t>inancial uncertainties pose the</w:t>
      </w:r>
      <w:r w:rsidR="00980B94" w:rsidRPr="00AA2617">
        <w:rPr>
          <w:sz w:val="22"/>
          <w:lang w:val="en-GB"/>
        </w:rPr>
        <w:t xml:space="preserve"> largest challenge</w:t>
      </w:r>
      <w:r w:rsidR="00D777B7" w:rsidRPr="00AA2617">
        <w:rPr>
          <w:sz w:val="22"/>
          <w:lang w:val="en-GB"/>
        </w:rPr>
        <w:t xml:space="preserve"> to post-project sustainability.</w:t>
      </w:r>
      <w:r w:rsidR="00CD68BF" w:rsidRPr="00AA2617">
        <w:rPr>
          <w:sz w:val="22"/>
          <w:lang w:val="en-GB"/>
        </w:rPr>
        <w:t xml:space="preserve">  The central government’s current plans for </w:t>
      </w:r>
      <w:r w:rsidR="004C1A49" w:rsidRPr="00AA2617">
        <w:rPr>
          <w:sz w:val="22"/>
          <w:lang w:val="en-GB"/>
        </w:rPr>
        <w:t xml:space="preserve">future </w:t>
      </w:r>
      <w:r w:rsidR="00CD68BF" w:rsidRPr="00AA2617">
        <w:rPr>
          <w:sz w:val="22"/>
          <w:lang w:val="en-GB"/>
        </w:rPr>
        <w:t xml:space="preserve">financing </w:t>
      </w:r>
      <w:r w:rsidR="004C1A49" w:rsidRPr="00AA2617">
        <w:rPr>
          <w:sz w:val="22"/>
          <w:lang w:val="en-GB"/>
        </w:rPr>
        <w:t xml:space="preserve">of </w:t>
      </w:r>
      <w:r w:rsidR="00CD68BF" w:rsidRPr="00AA2617">
        <w:rPr>
          <w:sz w:val="22"/>
          <w:lang w:val="en-GB"/>
        </w:rPr>
        <w:t>ETF-related activities rely heavily on international, project-based funding, which is not conducive to staff continuity (thereby under-cutting technical capacity development), operation and maintenance costs, institutional accountability, and strategic planning.  Therefore, the design of this project has incorporated several approaches to address this challenge.</w:t>
      </w:r>
    </w:p>
    <w:p w14:paraId="4C91E3A4" w14:textId="77777777" w:rsidR="004C1A49" w:rsidRPr="00AA2617" w:rsidRDefault="004C1A49" w:rsidP="00AA2617">
      <w:pPr>
        <w:pStyle w:val="NumberedParagraph"/>
        <w:spacing w:before="120"/>
        <w:rPr>
          <w:sz w:val="22"/>
          <w:lang w:val="en-GB"/>
        </w:rPr>
      </w:pPr>
      <w:r w:rsidRPr="00AA2617">
        <w:rPr>
          <w:sz w:val="22"/>
          <w:lang w:val="en-GB"/>
        </w:rPr>
        <w:t>First, the project seeks to minimize ETF-related costs by:</w:t>
      </w:r>
    </w:p>
    <w:p w14:paraId="13D6F1E8" w14:textId="77777777" w:rsidR="004C1A49" w:rsidRPr="00AA2617" w:rsidRDefault="004C1A49" w:rsidP="00AA2617">
      <w:pPr>
        <w:pStyle w:val="NumberedParagraph"/>
        <w:numPr>
          <w:ilvl w:val="4"/>
          <w:numId w:val="18"/>
        </w:numPr>
        <w:tabs>
          <w:tab w:val="left" w:pos="1260"/>
        </w:tabs>
        <w:spacing w:before="120"/>
        <w:ind w:left="1260" w:hanging="540"/>
        <w:rPr>
          <w:sz w:val="22"/>
          <w:lang w:val="en-GB"/>
        </w:rPr>
      </w:pPr>
      <w:r w:rsidRPr="00AA2617">
        <w:rPr>
          <w:sz w:val="22"/>
          <w:lang w:val="en-GB"/>
        </w:rPr>
        <w:t>b</w:t>
      </w:r>
      <w:r w:rsidR="00D777B7" w:rsidRPr="00AA2617">
        <w:rPr>
          <w:sz w:val="22"/>
          <w:lang w:val="en-GB"/>
        </w:rPr>
        <w:t>uilding on</w:t>
      </w:r>
      <w:r w:rsidRPr="00AA2617">
        <w:rPr>
          <w:sz w:val="22"/>
          <w:lang w:val="en-GB"/>
        </w:rPr>
        <w:t xml:space="preserve"> extant</w:t>
      </w:r>
      <w:r w:rsidR="00D777B7" w:rsidRPr="00AA2617">
        <w:rPr>
          <w:sz w:val="22"/>
          <w:lang w:val="en-GB"/>
        </w:rPr>
        <w:t xml:space="preserve"> </w:t>
      </w:r>
      <w:r w:rsidRPr="00AA2617">
        <w:rPr>
          <w:sz w:val="22"/>
          <w:lang w:val="en-GB"/>
        </w:rPr>
        <w:t>institutional and operational arrangements when possible,</w:t>
      </w:r>
    </w:p>
    <w:p w14:paraId="380B1744" w14:textId="77777777" w:rsidR="004C1A49" w:rsidRPr="00AA2617" w:rsidRDefault="004C1A49" w:rsidP="00AA2617">
      <w:pPr>
        <w:pStyle w:val="NumberedParagraph"/>
        <w:numPr>
          <w:ilvl w:val="4"/>
          <w:numId w:val="18"/>
        </w:numPr>
        <w:tabs>
          <w:tab w:val="left" w:pos="1260"/>
        </w:tabs>
        <w:spacing w:before="120"/>
        <w:ind w:left="1260" w:hanging="540"/>
        <w:rPr>
          <w:sz w:val="22"/>
          <w:lang w:val="en-GB"/>
        </w:rPr>
      </w:pPr>
      <w:r w:rsidRPr="00AA2617">
        <w:rPr>
          <w:sz w:val="22"/>
          <w:lang w:val="en-GB"/>
        </w:rPr>
        <w:t xml:space="preserve">augmenting the capacities of relevant extra-governmental stakeholders (e.g., academic and research institutions, CSOs/ NGOs) </w:t>
      </w:r>
      <w:r w:rsidR="00403399" w:rsidRPr="00AA2617">
        <w:rPr>
          <w:sz w:val="22"/>
          <w:lang w:val="en-GB"/>
        </w:rPr>
        <w:t xml:space="preserve">when appropriate </w:t>
      </w:r>
      <w:r w:rsidRPr="00AA2617">
        <w:rPr>
          <w:sz w:val="22"/>
          <w:lang w:val="en-GB"/>
        </w:rPr>
        <w:t xml:space="preserve">to </w:t>
      </w:r>
      <w:r w:rsidR="00403399" w:rsidRPr="00AA2617">
        <w:rPr>
          <w:sz w:val="22"/>
          <w:lang w:val="en-GB"/>
        </w:rPr>
        <w:t>enhance their abilities</w:t>
      </w:r>
      <w:r w:rsidRPr="00AA2617">
        <w:rPr>
          <w:sz w:val="22"/>
          <w:lang w:val="en-GB"/>
        </w:rPr>
        <w:t xml:space="preserve"> to support ETF</w:t>
      </w:r>
      <w:r w:rsidR="00F65962" w:rsidRPr="00AA2617">
        <w:rPr>
          <w:sz w:val="22"/>
          <w:lang w:val="en-GB"/>
        </w:rPr>
        <w:t>-related</w:t>
      </w:r>
      <w:r w:rsidRPr="00AA2617">
        <w:rPr>
          <w:sz w:val="22"/>
          <w:lang w:val="en-GB"/>
        </w:rPr>
        <w:t xml:space="preserve"> activities (rather than </w:t>
      </w:r>
      <w:r w:rsidR="00F65962" w:rsidRPr="00AA2617">
        <w:rPr>
          <w:sz w:val="22"/>
          <w:lang w:val="en-GB"/>
        </w:rPr>
        <w:t xml:space="preserve">expensively </w:t>
      </w:r>
      <w:r w:rsidRPr="00AA2617">
        <w:rPr>
          <w:sz w:val="22"/>
          <w:lang w:val="en-GB"/>
        </w:rPr>
        <w:t xml:space="preserve">reproducing </w:t>
      </w:r>
      <w:r w:rsidR="00F65962" w:rsidRPr="00AA2617">
        <w:rPr>
          <w:sz w:val="22"/>
          <w:lang w:val="en-GB"/>
        </w:rPr>
        <w:t>redundant</w:t>
      </w:r>
      <w:r w:rsidRPr="00AA2617">
        <w:rPr>
          <w:sz w:val="22"/>
          <w:lang w:val="en-GB"/>
        </w:rPr>
        <w:t xml:space="preserve"> capacities or technologies within a governmental institution that might rarely use them),</w:t>
      </w:r>
    </w:p>
    <w:p w14:paraId="1C885835" w14:textId="77777777" w:rsidR="004C1A49" w:rsidRPr="00AA2617" w:rsidRDefault="004C1A49" w:rsidP="00AA2617">
      <w:pPr>
        <w:pStyle w:val="NumberedParagraph"/>
        <w:numPr>
          <w:ilvl w:val="4"/>
          <w:numId w:val="18"/>
        </w:numPr>
        <w:tabs>
          <w:tab w:val="left" w:pos="1260"/>
        </w:tabs>
        <w:spacing w:before="120"/>
        <w:ind w:left="1260" w:hanging="540"/>
        <w:rPr>
          <w:sz w:val="22"/>
          <w:lang w:val="en-GB"/>
        </w:rPr>
      </w:pPr>
      <w:r w:rsidRPr="00AA2617">
        <w:rPr>
          <w:sz w:val="22"/>
          <w:lang w:val="en-GB"/>
        </w:rPr>
        <w:t>reducing redundancies and inter-institutional friction by clarifying ETF-related mandates</w:t>
      </w:r>
      <w:r w:rsidR="00403399" w:rsidRPr="00AA2617">
        <w:rPr>
          <w:sz w:val="22"/>
          <w:lang w:val="en-GB"/>
        </w:rPr>
        <w:t>, accountabilities,</w:t>
      </w:r>
      <w:r w:rsidRPr="00AA2617">
        <w:rPr>
          <w:sz w:val="22"/>
          <w:lang w:val="en-GB"/>
        </w:rPr>
        <w:t xml:space="preserve"> and boundaries,</w:t>
      </w:r>
    </w:p>
    <w:p w14:paraId="35ACAE30" w14:textId="77777777" w:rsidR="00F65962" w:rsidRPr="00AA2617" w:rsidRDefault="00F65962" w:rsidP="00AA2617">
      <w:pPr>
        <w:pStyle w:val="NumberedParagraph"/>
        <w:numPr>
          <w:ilvl w:val="4"/>
          <w:numId w:val="18"/>
        </w:numPr>
        <w:tabs>
          <w:tab w:val="left" w:pos="1260"/>
        </w:tabs>
        <w:spacing w:before="120"/>
        <w:ind w:left="1260" w:hanging="540"/>
        <w:rPr>
          <w:sz w:val="22"/>
          <w:lang w:val="en-GB"/>
        </w:rPr>
      </w:pPr>
      <w:r w:rsidRPr="00AA2617">
        <w:rPr>
          <w:sz w:val="22"/>
          <w:lang w:val="en-GB"/>
        </w:rPr>
        <w:t xml:space="preserve">maximizing the proportion of the project’s resources directed to capacity development within </w:t>
      </w:r>
      <w:r w:rsidR="00403399" w:rsidRPr="00AA2617">
        <w:rPr>
          <w:sz w:val="22"/>
          <w:lang w:val="en-GB"/>
        </w:rPr>
        <w:t>the institutions that will be responsible for delivering ETF-related outputs after the project has completed (i.e., the post-project responsible stakeholders—</w:t>
      </w:r>
      <w:r w:rsidRPr="00AA2617">
        <w:rPr>
          <w:sz w:val="22"/>
          <w:lang w:val="en-GB"/>
        </w:rPr>
        <w:t>PPRSs</w:t>
      </w:r>
      <w:r w:rsidR="00403399" w:rsidRPr="00AA2617">
        <w:rPr>
          <w:sz w:val="22"/>
          <w:lang w:val="en-GB"/>
        </w:rPr>
        <w:t>—</w:t>
      </w:r>
      <w:r w:rsidRPr="00AA2617">
        <w:rPr>
          <w:sz w:val="22"/>
          <w:lang w:val="en-GB"/>
        </w:rPr>
        <w:t xml:space="preserve">e.g., </w:t>
      </w:r>
      <w:r w:rsidR="00403399" w:rsidRPr="00AA2617">
        <w:rPr>
          <w:sz w:val="22"/>
          <w:lang w:val="en-GB"/>
        </w:rPr>
        <w:t xml:space="preserve">via </w:t>
      </w:r>
      <w:r w:rsidRPr="00AA2617">
        <w:rPr>
          <w:sz w:val="22"/>
          <w:lang w:val="en-GB"/>
        </w:rPr>
        <w:t>technical training, non-expendable procurement of technologies necessary for post-project activities),</w:t>
      </w:r>
    </w:p>
    <w:p w14:paraId="3CA34579" w14:textId="77777777" w:rsidR="00D777B7" w:rsidRPr="00AA2617" w:rsidRDefault="00403399" w:rsidP="00AA2617">
      <w:pPr>
        <w:pStyle w:val="NumberedParagraph"/>
        <w:numPr>
          <w:ilvl w:val="4"/>
          <w:numId w:val="18"/>
        </w:numPr>
        <w:tabs>
          <w:tab w:val="left" w:pos="1260"/>
        </w:tabs>
        <w:spacing w:before="120"/>
        <w:ind w:left="1260" w:hanging="540"/>
        <w:rPr>
          <w:sz w:val="22"/>
          <w:lang w:val="en-GB"/>
        </w:rPr>
      </w:pPr>
      <w:r w:rsidRPr="00AA2617">
        <w:rPr>
          <w:sz w:val="22"/>
          <w:lang w:val="en-GB"/>
        </w:rPr>
        <w:t xml:space="preserve">identifying, validating, and establishing the </w:t>
      </w:r>
      <w:r w:rsidR="00D777B7" w:rsidRPr="00AA2617">
        <w:rPr>
          <w:sz w:val="22"/>
          <w:lang w:val="en-GB"/>
        </w:rPr>
        <w:t xml:space="preserve">use of </w:t>
      </w:r>
      <w:r w:rsidRPr="00AA2617">
        <w:rPr>
          <w:sz w:val="22"/>
          <w:lang w:val="en-GB"/>
        </w:rPr>
        <w:t xml:space="preserve">cost-efficient </w:t>
      </w:r>
      <w:r w:rsidR="00D777B7" w:rsidRPr="00AA2617">
        <w:rPr>
          <w:sz w:val="22"/>
          <w:lang w:val="en-GB"/>
        </w:rPr>
        <w:t>proxy measures</w:t>
      </w:r>
      <w:r w:rsidRPr="00AA2617">
        <w:rPr>
          <w:sz w:val="22"/>
          <w:lang w:val="en-GB"/>
        </w:rPr>
        <w:t>,</w:t>
      </w:r>
    </w:p>
    <w:p w14:paraId="5EAD0B39" w14:textId="77777777" w:rsidR="00F65962" w:rsidRPr="00AA2617" w:rsidRDefault="00403399" w:rsidP="00AA2617">
      <w:pPr>
        <w:pStyle w:val="NumberedParagraph"/>
        <w:numPr>
          <w:ilvl w:val="4"/>
          <w:numId w:val="18"/>
        </w:numPr>
        <w:tabs>
          <w:tab w:val="left" w:pos="1260"/>
        </w:tabs>
        <w:spacing w:before="120"/>
        <w:ind w:left="1260" w:hanging="540"/>
        <w:rPr>
          <w:sz w:val="22"/>
          <w:lang w:val="en-GB"/>
        </w:rPr>
      </w:pPr>
      <w:r w:rsidRPr="00AA2617">
        <w:rPr>
          <w:sz w:val="22"/>
          <w:lang w:val="en-GB"/>
        </w:rPr>
        <w:t xml:space="preserve">using </w:t>
      </w:r>
      <w:r w:rsidR="00F65962" w:rsidRPr="00AA2617">
        <w:rPr>
          <w:sz w:val="22"/>
          <w:lang w:val="en-GB"/>
        </w:rPr>
        <w:t xml:space="preserve">technology to reduce operational costs (e.g., </w:t>
      </w:r>
      <w:r w:rsidR="00ED5A47" w:rsidRPr="00AA2617">
        <w:rPr>
          <w:sz w:val="22"/>
          <w:lang w:val="en-GB"/>
        </w:rPr>
        <w:t xml:space="preserve">gathering field data with tablets that auto-synch and </w:t>
      </w:r>
      <w:r w:rsidR="00F65962" w:rsidRPr="00AA2617">
        <w:rPr>
          <w:sz w:val="22"/>
          <w:lang w:val="en-GB"/>
        </w:rPr>
        <w:t>auto-</w:t>
      </w:r>
      <w:r w:rsidR="00ED5A47" w:rsidRPr="00AA2617">
        <w:rPr>
          <w:sz w:val="22"/>
          <w:lang w:val="en-GB"/>
        </w:rPr>
        <w:t>upload when connected to the internet, thereby reducing</w:t>
      </w:r>
      <w:r w:rsidR="00F65962" w:rsidRPr="00AA2617">
        <w:rPr>
          <w:sz w:val="22"/>
          <w:lang w:val="en-GB"/>
        </w:rPr>
        <w:t xml:space="preserve"> costs and errors associated with transcription)</w:t>
      </w:r>
      <w:r w:rsidR="00ED5A47" w:rsidRPr="00AA2617">
        <w:rPr>
          <w:sz w:val="22"/>
          <w:lang w:val="en-GB"/>
        </w:rPr>
        <w:t>, and</w:t>
      </w:r>
    </w:p>
    <w:p w14:paraId="2F946280" w14:textId="77777777" w:rsidR="00F65962" w:rsidRPr="00AA2617" w:rsidRDefault="00F65962" w:rsidP="00AA2617">
      <w:pPr>
        <w:pStyle w:val="NumberedParagraph"/>
        <w:numPr>
          <w:ilvl w:val="4"/>
          <w:numId w:val="18"/>
        </w:numPr>
        <w:tabs>
          <w:tab w:val="left" w:pos="1260"/>
        </w:tabs>
        <w:spacing w:before="120"/>
        <w:ind w:left="1260" w:hanging="540"/>
        <w:rPr>
          <w:sz w:val="22"/>
          <w:lang w:val="en-GB"/>
        </w:rPr>
      </w:pPr>
      <w:r w:rsidRPr="00AA2617">
        <w:rPr>
          <w:sz w:val="22"/>
          <w:lang w:val="en-GB"/>
        </w:rPr>
        <w:t xml:space="preserve">identifying opportunities to work with extra-governmental partners (e.g., academia, research institutions, CSOs/ NGOs, private sector, local communities) for </w:t>
      </w:r>
      <w:r w:rsidR="00ED5A47" w:rsidRPr="00AA2617">
        <w:rPr>
          <w:sz w:val="22"/>
          <w:lang w:val="en-GB"/>
        </w:rPr>
        <w:t>the conduct of activities for which those partners provide cost-efficiency or other value (e.g., established networks of local engagement; relevant operational technologies or efficiencies).</w:t>
      </w:r>
    </w:p>
    <w:p w14:paraId="6A938557" w14:textId="77777777" w:rsidR="00F65962" w:rsidRPr="00AA2617" w:rsidRDefault="00F65962" w:rsidP="00AA2617">
      <w:pPr>
        <w:pStyle w:val="NumberedParagraph"/>
        <w:spacing w:before="120"/>
        <w:rPr>
          <w:sz w:val="22"/>
          <w:lang w:val="en-GB"/>
        </w:rPr>
      </w:pPr>
      <w:r w:rsidRPr="00AA2617">
        <w:rPr>
          <w:sz w:val="22"/>
          <w:lang w:val="en-GB"/>
        </w:rPr>
        <w:t>Second, the project seeks to provide a foundation for transitioning to additional sources of financial support for ETF-related activities by:</w:t>
      </w:r>
    </w:p>
    <w:p w14:paraId="20102A80" w14:textId="77777777" w:rsidR="00F65962" w:rsidRPr="00AA2617" w:rsidRDefault="005B2AC8" w:rsidP="00AA2617">
      <w:pPr>
        <w:pStyle w:val="NumberedParagraph"/>
        <w:numPr>
          <w:ilvl w:val="1"/>
          <w:numId w:val="2"/>
        </w:numPr>
        <w:spacing w:before="120"/>
        <w:ind w:left="1260" w:hanging="540"/>
        <w:rPr>
          <w:sz w:val="22"/>
          <w:lang w:val="en-GB"/>
        </w:rPr>
      </w:pPr>
      <w:r w:rsidRPr="00AA2617">
        <w:rPr>
          <w:sz w:val="22"/>
          <w:lang w:val="en-GB"/>
        </w:rPr>
        <w:t>s</w:t>
      </w:r>
      <w:r w:rsidR="00ED5A47" w:rsidRPr="00AA2617">
        <w:rPr>
          <w:sz w:val="22"/>
          <w:lang w:val="en-GB"/>
        </w:rPr>
        <w:t>trengthening the evidentiary b</w:t>
      </w:r>
      <w:r w:rsidR="00F65962" w:rsidRPr="00AA2617">
        <w:rPr>
          <w:sz w:val="22"/>
          <w:lang w:val="en-GB"/>
        </w:rPr>
        <w:t xml:space="preserve">asis for </w:t>
      </w:r>
      <w:r w:rsidR="00ED5A47" w:rsidRPr="00AA2617">
        <w:rPr>
          <w:sz w:val="22"/>
          <w:lang w:val="en-GB"/>
        </w:rPr>
        <w:t xml:space="preserve">greater </w:t>
      </w:r>
      <w:r w:rsidR="00F65962" w:rsidRPr="00AA2617">
        <w:rPr>
          <w:sz w:val="22"/>
          <w:lang w:val="en-GB"/>
        </w:rPr>
        <w:t xml:space="preserve">political </w:t>
      </w:r>
      <w:r w:rsidR="00ED5A47" w:rsidRPr="00AA2617">
        <w:rPr>
          <w:sz w:val="22"/>
          <w:lang w:val="en-GB"/>
        </w:rPr>
        <w:t>and budgetary support,</w:t>
      </w:r>
    </w:p>
    <w:p w14:paraId="273B20D5" w14:textId="77777777" w:rsidR="00F65962" w:rsidRPr="00AA2617" w:rsidRDefault="005B2AC8" w:rsidP="00AA2617">
      <w:pPr>
        <w:pStyle w:val="NumberedParagraph"/>
        <w:numPr>
          <w:ilvl w:val="1"/>
          <w:numId w:val="2"/>
        </w:numPr>
        <w:spacing w:before="120"/>
        <w:ind w:left="1260" w:hanging="540"/>
        <w:rPr>
          <w:sz w:val="22"/>
          <w:lang w:val="en-GB"/>
        </w:rPr>
      </w:pPr>
      <w:r w:rsidRPr="00AA2617">
        <w:rPr>
          <w:sz w:val="22"/>
          <w:lang w:val="en-GB"/>
        </w:rPr>
        <w:t>i</w:t>
      </w:r>
      <w:r w:rsidR="00A54E26" w:rsidRPr="00AA2617">
        <w:rPr>
          <w:sz w:val="22"/>
          <w:lang w:val="en-GB"/>
        </w:rPr>
        <w:t xml:space="preserve">ncreasing the capacity to conduct sufficiently rigorous MRV to transition to access to global environmental off-set markets (e.g., </w:t>
      </w:r>
      <w:r w:rsidR="00F65962" w:rsidRPr="00AA2617">
        <w:rPr>
          <w:sz w:val="22"/>
          <w:lang w:val="en-GB"/>
        </w:rPr>
        <w:t>carbon markets</w:t>
      </w:r>
      <w:r w:rsidR="00A54E26" w:rsidRPr="00AA2617">
        <w:rPr>
          <w:sz w:val="22"/>
          <w:lang w:val="en-GB"/>
        </w:rPr>
        <w:t>),</w:t>
      </w:r>
    </w:p>
    <w:p w14:paraId="226744ED" w14:textId="77777777" w:rsidR="00F65962" w:rsidRPr="00AA2617" w:rsidRDefault="005B2AC8" w:rsidP="00AA2617">
      <w:pPr>
        <w:pStyle w:val="NumberedParagraph"/>
        <w:numPr>
          <w:ilvl w:val="1"/>
          <w:numId w:val="2"/>
        </w:numPr>
        <w:spacing w:before="120"/>
        <w:ind w:left="1260" w:hanging="540"/>
        <w:rPr>
          <w:sz w:val="22"/>
          <w:lang w:val="en-GB"/>
        </w:rPr>
      </w:pPr>
      <w:r w:rsidRPr="00AA2617">
        <w:rPr>
          <w:sz w:val="22"/>
          <w:lang w:val="en-GB"/>
        </w:rPr>
        <w:t>b</w:t>
      </w:r>
      <w:r w:rsidR="00A54E26" w:rsidRPr="00AA2617">
        <w:rPr>
          <w:sz w:val="22"/>
          <w:lang w:val="en-GB"/>
        </w:rPr>
        <w:t xml:space="preserve">uilding the capacity to form an evidentiary (MRV) basis </w:t>
      </w:r>
      <w:r w:rsidR="00F65962" w:rsidRPr="00AA2617">
        <w:rPr>
          <w:sz w:val="22"/>
          <w:lang w:val="en-GB"/>
        </w:rPr>
        <w:t>for enforcement-based revenues</w:t>
      </w:r>
      <w:r w:rsidR="00A54E26" w:rsidRPr="00AA2617">
        <w:rPr>
          <w:sz w:val="22"/>
          <w:lang w:val="en-GB"/>
        </w:rPr>
        <w:t>,</w:t>
      </w:r>
    </w:p>
    <w:p w14:paraId="6ECBFEC1" w14:textId="77777777" w:rsidR="00F65962" w:rsidRPr="00AA2617" w:rsidRDefault="005B2AC8" w:rsidP="00AA2617">
      <w:pPr>
        <w:pStyle w:val="NumberedParagraph"/>
        <w:numPr>
          <w:ilvl w:val="1"/>
          <w:numId w:val="2"/>
        </w:numPr>
        <w:spacing w:before="120"/>
        <w:ind w:left="1260" w:hanging="540"/>
        <w:rPr>
          <w:sz w:val="22"/>
          <w:lang w:val="en-GB"/>
        </w:rPr>
      </w:pPr>
      <w:r w:rsidRPr="00AA2617">
        <w:rPr>
          <w:sz w:val="22"/>
          <w:lang w:val="en-GB"/>
        </w:rPr>
        <w:t>b</w:t>
      </w:r>
      <w:r w:rsidR="00A54E26" w:rsidRPr="00AA2617">
        <w:rPr>
          <w:sz w:val="22"/>
          <w:lang w:val="en-GB"/>
        </w:rPr>
        <w:t>uilding the capacity to form an evidentiary (MRV) j</w:t>
      </w:r>
      <w:r w:rsidR="00F65962" w:rsidRPr="00AA2617">
        <w:rPr>
          <w:sz w:val="22"/>
          <w:lang w:val="en-GB"/>
        </w:rPr>
        <w:t>ustification or rationalization of linkages to value-capture from natural resources</w:t>
      </w:r>
      <w:r w:rsidR="00A54E26" w:rsidRPr="00AA2617">
        <w:rPr>
          <w:sz w:val="22"/>
          <w:lang w:val="en-GB"/>
        </w:rPr>
        <w:t xml:space="preserve"> (e.g., funding from the capture of economic rents on the extraction of public natural resources, such as from taxes on logging and mining), and</w:t>
      </w:r>
    </w:p>
    <w:p w14:paraId="22F916F8" w14:textId="77777777" w:rsidR="00F65962" w:rsidRPr="00AA2617" w:rsidRDefault="005B2AC8" w:rsidP="00AA2617">
      <w:pPr>
        <w:pStyle w:val="NumberedParagraph"/>
        <w:numPr>
          <w:ilvl w:val="1"/>
          <w:numId w:val="2"/>
        </w:numPr>
        <w:spacing w:before="120"/>
        <w:ind w:left="1260" w:hanging="540"/>
        <w:rPr>
          <w:sz w:val="22"/>
          <w:lang w:val="en-GB"/>
        </w:rPr>
      </w:pPr>
      <w:r w:rsidRPr="00AA2617">
        <w:rPr>
          <w:sz w:val="22"/>
          <w:lang w:val="en-GB"/>
        </w:rPr>
        <w:t>in</w:t>
      </w:r>
      <w:r w:rsidR="00A54E26" w:rsidRPr="00AA2617">
        <w:rPr>
          <w:sz w:val="22"/>
          <w:lang w:val="en-GB"/>
        </w:rPr>
        <w:t xml:space="preserve"> coordination with private-sector lenders, identifying practical </w:t>
      </w:r>
      <w:r w:rsidR="00F65962" w:rsidRPr="00AA2617">
        <w:rPr>
          <w:sz w:val="22"/>
          <w:lang w:val="en-GB"/>
        </w:rPr>
        <w:t xml:space="preserve">criteria for </w:t>
      </w:r>
      <w:r w:rsidR="00A54E26" w:rsidRPr="00AA2617">
        <w:rPr>
          <w:sz w:val="22"/>
          <w:lang w:val="en-GB"/>
        </w:rPr>
        <w:t xml:space="preserve">evaluating opportunities for financial support to environmentally beneficial investments (e.g., preferential </w:t>
      </w:r>
      <w:r w:rsidR="00F65962" w:rsidRPr="00AA2617">
        <w:rPr>
          <w:sz w:val="22"/>
          <w:lang w:val="en-GB"/>
        </w:rPr>
        <w:t>lending</w:t>
      </w:r>
      <w:r w:rsidR="00A54E26" w:rsidRPr="00AA2617">
        <w:rPr>
          <w:sz w:val="22"/>
          <w:lang w:val="en-GB"/>
        </w:rPr>
        <w:t xml:space="preserve"> terms, risk-based products).</w:t>
      </w:r>
    </w:p>
    <w:p w14:paraId="48F2EE74" w14:textId="77777777" w:rsidR="008D404D" w:rsidRPr="00AA2617" w:rsidRDefault="008D404D" w:rsidP="00AA2617">
      <w:pPr>
        <w:pStyle w:val="Heading3"/>
        <w:rPr>
          <w:rFonts w:cs="Times New Roman"/>
          <w:b/>
          <w:szCs w:val="22"/>
          <w:lang w:val="en-GB"/>
        </w:rPr>
      </w:pPr>
      <w:bookmarkStart w:id="288" w:name="_Toc510013463"/>
      <w:bookmarkStart w:id="289" w:name="_Toc513464468"/>
      <w:bookmarkStart w:id="290" w:name="_Toc9249222"/>
      <w:r w:rsidRPr="00AA2617">
        <w:rPr>
          <w:rFonts w:cs="Times New Roman"/>
          <w:b/>
          <w:szCs w:val="22"/>
          <w:lang w:val="en-GB"/>
        </w:rPr>
        <w:t>Capacity development</w:t>
      </w:r>
      <w:bookmarkEnd w:id="288"/>
      <w:bookmarkEnd w:id="289"/>
      <w:bookmarkEnd w:id="290"/>
    </w:p>
    <w:p w14:paraId="2AB2A11F" w14:textId="010D8BDE" w:rsidR="00AA15D2" w:rsidRPr="00AA2617" w:rsidRDefault="00B92E45" w:rsidP="00AA2617">
      <w:pPr>
        <w:pStyle w:val="NumberedParagraph"/>
        <w:spacing w:before="120"/>
        <w:rPr>
          <w:sz w:val="22"/>
          <w:lang w:val="en-GB"/>
        </w:rPr>
      </w:pPr>
      <w:r w:rsidRPr="00AA2617">
        <w:rPr>
          <w:sz w:val="22"/>
          <w:lang w:val="en-GB"/>
        </w:rPr>
        <w:t>FAO’s guidelines for formulating GEF projects emphasize the need for effective, robust and system-wide capacity development (CD) approaches</w:t>
      </w:r>
      <w:r w:rsidRPr="00AA2617">
        <w:rPr>
          <w:rStyle w:val="FootnoteReference"/>
          <w:sz w:val="22"/>
          <w:lang w:val="en-GB"/>
        </w:rPr>
        <w:footnoteReference w:id="44"/>
      </w:r>
      <w:r w:rsidRPr="00AA2617">
        <w:rPr>
          <w:sz w:val="22"/>
          <w:lang w:val="en-GB"/>
        </w:rPr>
        <w:t xml:space="preserve"> in order to enhance the impact, </w:t>
      </w:r>
      <w:r w:rsidRPr="00AA2617">
        <w:rPr>
          <w:sz w:val="22"/>
          <w:lang w:val="en-GB"/>
        </w:rPr>
        <w:lastRenderedPageBreak/>
        <w:t xml:space="preserve">sustainability, and scale of GEF project results through deepening country ownership, commitment, and leadership of the developmental process.  Capacity-development is the primary means by which this project will achieve its aim of improving the quality of information regarding climate change in </w:t>
      </w:r>
      <w:r w:rsidR="00BD3B72" w:rsidRPr="00AA2617">
        <w:rPr>
          <w:sz w:val="22"/>
          <w:lang w:val="en-GB"/>
        </w:rPr>
        <w:t>Sri Lanka</w:t>
      </w:r>
      <w:r w:rsidRPr="00AA2617">
        <w:rPr>
          <w:sz w:val="22"/>
          <w:lang w:val="en-GB"/>
        </w:rPr>
        <w:t xml:space="preserve">’s agricultural and land-use sub-sectors.  To do so, the project </w:t>
      </w:r>
      <w:r w:rsidR="00AA15D2" w:rsidRPr="00AA2617">
        <w:rPr>
          <w:sz w:val="22"/>
          <w:lang w:val="en-GB"/>
        </w:rPr>
        <w:t>will strengthen the enabling environment and build the capacities of organizations and individuals.</w:t>
      </w:r>
    </w:p>
    <w:p w14:paraId="21DBF8F5" w14:textId="77777777" w:rsidR="00772CAD" w:rsidRPr="00AA2617" w:rsidRDefault="00AA15D2" w:rsidP="00AA2617">
      <w:pPr>
        <w:pStyle w:val="NumberedParagraph"/>
        <w:spacing w:before="120"/>
        <w:rPr>
          <w:sz w:val="22"/>
          <w:lang w:val="en-GB"/>
        </w:rPr>
      </w:pPr>
      <w:r w:rsidRPr="00AA2617">
        <w:rPr>
          <w:sz w:val="22"/>
          <w:lang w:val="en-GB"/>
        </w:rPr>
        <w:t xml:space="preserve">The project </w:t>
      </w:r>
      <w:r w:rsidR="00B92E45" w:rsidRPr="00AA2617">
        <w:rPr>
          <w:sz w:val="22"/>
          <w:lang w:val="en-GB"/>
        </w:rPr>
        <w:t xml:space="preserve">addresses the </w:t>
      </w:r>
      <w:r w:rsidR="00B92E45" w:rsidRPr="00AA2617">
        <w:rPr>
          <w:i/>
          <w:sz w:val="22"/>
          <w:lang w:val="en-GB"/>
        </w:rPr>
        <w:t>enabling environment</w:t>
      </w:r>
      <w:r w:rsidR="00B92E45" w:rsidRPr="00AA2617">
        <w:rPr>
          <w:sz w:val="22"/>
          <w:lang w:val="en-GB"/>
        </w:rPr>
        <w:t xml:space="preserve">—primarily via activities under Component 1—by </w:t>
      </w:r>
      <w:r w:rsidR="00772CAD" w:rsidRPr="00AA2617">
        <w:rPr>
          <w:sz w:val="22"/>
          <w:lang w:val="en-GB"/>
        </w:rPr>
        <w:t xml:space="preserve">(i) strengthening stakeholder coordination and (ii) </w:t>
      </w:r>
      <w:r w:rsidR="00B92E45" w:rsidRPr="00AA2617">
        <w:rPr>
          <w:sz w:val="22"/>
          <w:lang w:val="en-GB"/>
        </w:rPr>
        <w:t>supporting the development of strategy documents that clarify ETF-related organizational responsibilities and guide capacity-development decisions for organizations and in</w:t>
      </w:r>
      <w:r w:rsidR="00772CAD" w:rsidRPr="00AA2617">
        <w:rPr>
          <w:sz w:val="22"/>
          <w:lang w:val="en-GB"/>
        </w:rPr>
        <w:t>dividuals.</w:t>
      </w:r>
    </w:p>
    <w:p w14:paraId="0EEA888D" w14:textId="77777777" w:rsidR="00B92E45" w:rsidRPr="00AA2617" w:rsidRDefault="00B92E45" w:rsidP="00AA2617">
      <w:pPr>
        <w:pStyle w:val="NumberedParagraph"/>
        <w:spacing w:before="120"/>
        <w:rPr>
          <w:sz w:val="22"/>
          <w:lang w:val="en-GB"/>
        </w:rPr>
      </w:pPr>
      <w:r w:rsidRPr="00AA2617">
        <w:rPr>
          <w:sz w:val="22"/>
          <w:lang w:val="en-GB"/>
        </w:rPr>
        <w:t xml:space="preserve">The project addresses </w:t>
      </w:r>
      <w:r w:rsidRPr="00AA2617">
        <w:rPr>
          <w:i/>
          <w:sz w:val="22"/>
          <w:lang w:val="en-GB"/>
        </w:rPr>
        <w:t>organizational capacitie</w:t>
      </w:r>
      <w:r w:rsidR="00772CAD" w:rsidRPr="00AA2617">
        <w:rPr>
          <w:i/>
          <w:sz w:val="22"/>
          <w:lang w:val="en-GB"/>
        </w:rPr>
        <w:t>s</w:t>
      </w:r>
      <w:r w:rsidR="00772CAD" w:rsidRPr="00AA2617">
        <w:rPr>
          <w:sz w:val="22"/>
          <w:lang w:val="en-GB"/>
        </w:rPr>
        <w:t>—via activities under each of the project’s components—</w:t>
      </w:r>
      <w:r w:rsidRPr="00AA2617">
        <w:rPr>
          <w:sz w:val="22"/>
          <w:lang w:val="en-GB"/>
        </w:rPr>
        <w:t xml:space="preserve">by </w:t>
      </w:r>
      <w:r w:rsidR="00772CAD" w:rsidRPr="00AA2617">
        <w:rPr>
          <w:sz w:val="22"/>
          <w:lang w:val="en-GB"/>
        </w:rPr>
        <w:t>(i) helping identify and develop pathways to improved financial sustainability, (ii) engaging a broad range of relevant stakeholders, which supports the retention of relevant expertise throughout the network of national stakeholders, (iii) providing technological equipment and associated training to enable delivery of critical ETF-related activities, and (iv) strengthening stakeholders’ abilities to retain and access relevant knowledge (despite inevitable turnover).</w:t>
      </w:r>
    </w:p>
    <w:p w14:paraId="56854FE1" w14:textId="77777777" w:rsidR="00772CAD" w:rsidRPr="00AA2617" w:rsidRDefault="00772CAD" w:rsidP="00AA2617">
      <w:pPr>
        <w:pStyle w:val="NumberedParagraph"/>
        <w:spacing w:before="120"/>
        <w:rPr>
          <w:sz w:val="22"/>
          <w:lang w:val="en-GB"/>
        </w:rPr>
      </w:pPr>
      <w:r w:rsidRPr="00AA2617">
        <w:rPr>
          <w:sz w:val="22"/>
          <w:lang w:val="en-GB"/>
        </w:rPr>
        <w:t xml:space="preserve">The project also builds </w:t>
      </w:r>
      <w:r w:rsidRPr="00AA2617">
        <w:rPr>
          <w:i/>
          <w:sz w:val="22"/>
          <w:lang w:val="en-GB"/>
        </w:rPr>
        <w:t>individual capacities</w:t>
      </w:r>
      <w:r w:rsidRPr="00AA2617">
        <w:rPr>
          <w:sz w:val="22"/>
          <w:lang w:val="en-GB"/>
        </w:rPr>
        <w:t>, particularly for ETF-related technical skills.  The project budget supports extensive training, training of trainers, quality-control training, and sharing of best practices with relevant other stakeholders, sectors, and countries.</w:t>
      </w:r>
    </w:p>
    <w:p w14:paraId="53564F97" w14:textId="77777777" w:rsidR="00AA15D2" w:rsidRPr="00AA2617" w:rsidRDefault="00772CAD" w:rsidP="00AA2617">
      <w:pPr>
        <w:pStyle w:val="NumberedParagraph"/>
        <w:spacing w:before="120"/>
        <w:rPr>
          <w:sz w:val="22"/>
          <w:lang w:val="en-GB"/>
        </w:rPr>
      </w:pPr>
      <w:r w:rsidRPr="00AA2617">
        <w:rPr>
          <w:sz w:val="22"/>
          <w:lang w:val="en-GB"/>
        </w:rPr>
        <w:t>Additionally, the project provides tools and procedures to continue to assist stakeholders in identifying future opportunities for continuous learning and improvement.  The project will avail of FAO’s extensive tools</w:t>
      </w:r>
      <w:r w:rsidR="00AA15D2" w:rsidRPr="00AA2617">
        <w:rPr>
          <w:sz w:val="22"/>
          <w:lang w:val="en-GB"/>
        </w:rPr>
        <w:t>, experience,</w:t>
      </w:r>
      <w:r w:rsidRPr="00AA2617">
        <w:rPr>
          <w:sz w:val="22"/>
          <w:lang w:val="en-GB"/>
        </w:rPr>
        <w:t xml:space="preserve"> and </w:t>
      </w:r>
      <w:r w:rsidR="00AA15D2" w:rsidRPr="00AA2617">
        <w:rPr>
          <w:sz w:val="22"/>
          <w:lang w:val="en-GB"/>
        </w:rPr>
        <w:t>expertise for developing the capacities of diverse stakeholder groups in the AFOLU sector.  For example, the project will benefit from the substantial relevant expertise in FAO’s NFM/REDD+ team and MICCA team in HQ and RAP.</w:t>
      </w:r>
    </w:p>
    <w:p w14:paraId="3138406E" w14:textId="77777777" w:rsidR="00AA15D2" w:rsidRPr="00AA2617" w:rsidRDefault="00AA15D2" w:rsidP="00AA2617">
      <w:pPr>
        <w:pStyle w:val="NumberedParagraph"/>
        <w:spacing w:before="120"/>
        <w:rPr>
          <w:sz w:val="22"/>
          <w:lang w:val="en-GB"/>
        </w:rPr>
      </w:pPr>
      <w:r w:rsidRPr="00AA2617">
        <w:rPr>
          <w:sz w:val="22"/>
          <w:lang w:val="en-GB"/>
        </w:rPr>
        <w:t xml:space="preserve">The project will continue to apply the CD principles of joint stakeholder assessment, design, identification, and tracking of CD to deepen country-ownership.  The PMU also includes a Decision-support Specialist, who will ensure that the project’s interventions efficiently contribute to strengthened ETF-related decision-making.  Thus, the Decision-support Specialist will help identify relevant capacity gaps and effective means of addressing them. </w:t>
      </w:r>
      <w:r w:rsidR="00BF3A2E" w:rsidRPr="00AA2617">
        <w:rPr>
          <w:sz w:val="22"/>
          <w:lang w:val="en-GB"/>
        </w:rPr>
        <w:t xml:space="preserve"> Because the project is being executed largely through PPRSs, the related tools, approaches, and practices will be transferred to relevant stakeholders during the project, thereby increasing the likelihood of post-project sustainability.</w:t>
      </w:r>
    </w:p>
    <w:p w14:paraId="560C7701" w14:textId="77777777" w:rsidR="008D404D" w:rsidRPr="00AA2617" w:rsidRDefault="008D404D" w:rsidP="00AA2617">
      <w:pPr>
        <w:pStyle w:val="Heading3"/>
        <w:rPr>
          <w:rFonts w:cs="Times New Roman"/>
          <w:b/>
          <w:szCs w:val="22"/>
          <w:lang w:val="en-GB"/>
        </w:rPr>
      </w:pPr>
      <w:bookmarkStart w:id="291" w:name="_Toc513464469"/>
      <w:bookmarkStart w:id="292" w:name="_Toc9249223"/>
      <w:r w:rsidRPr="00AA2617">
        <w:rPr>
          <w:rFonts w:cs="Times New Roman"/>
          <w:b/>
          <w:szCs w:val="22"/>
          <w:lang w:val="en-GB"/>
        </w:rPr>
        <w:t>Decent rural employment</w:t>
      </w:r>
      <w:bookmarkEnd w:id="291"/>
      <w:bookmarkEnd w:id="292"/>
    </w:p>
    <w:p w14:paraId="373E404C" w14:textId="77777777" w:rsidR="008D404D" w:rsidRPr="00AA2617" w:rsidRDefault="003F5C4A" w:rsidP="00AA2617">
      <w:pPr>
        <w:pStyle w:val="NumberedParagraph"/>
        <w:spacing w:before="120"/>
        <w:rPr>
          <w:sz w:val="22"/>
          <w:lang w:val="en-GB"/>
        </w:rPr>
      </w:pPr>
      <w:r w:rsidRPr="00AA2617">
        <w:rPr>
          <w:sz w:val="22"/>
          <w:lang w:val="en-GB"/>
        </w:rPr>
        <w:t>This</w:t>
      </w:r>
      <w:r w:rsidR="008D404D" w:rsidRPr="00AA2617">
        <w:rPr>
          <w:sz w:val="22"/>
          <w:lang w:val="en-GB"/>
        </w:rPr>
        <w:t xml:space="preserve"> project is not expected to affect people’s livelihood</w:t>
      </w:r>
      <w:r w:rsidR="00845E63" w:rsidRPr="00AA2617">
        <w:rPr>
          <w:sz w:val="22"/>
          <w:lang w:val="en-GB"/>
        </w:rPr>
        <w:t>s</w:t>
      </w:r>
      <w:r w:rsidR="008D404D" w:rsidRPr="00AA2617">
        <w:rPr>
          <w:sz w:val="22"/>
          <w:lang w:val="en-GB"/>
        </w:rPr>
        <w:t xml:space="preserve"> and employment status</w:t>
      </w:r>
      <w:r w:rsidR="00F11A6B" w:rsidRPr="00AA2617">
        <w:rPr>
          <w:sz w:val="22"/>
          <w:lang w:val="en-GB"/>
        </w:rPr>
        <w:t xml:space="preserve"> directly</w:t>
      </w:r>
      <w:r w:rsidR="008D404D" w:rsidRPr="00AA2617">
        <w:rPr>
          <w:sz w:val="22"/>
          <w:lang w:val="en-GB"/>
        </w:rPr>
        <w:t xml:space="preserve">. Indirectly, the project is expected to </w:t>
      </w:r>
      <w:r w:rsidR="00845E63" w:rsidRPr="00AA2617">
        <w:rPr>
          <w:sz w:val="22"/>
          <w:lang w:val="en-GB"/>
        </w:rPr>
        <w:t>contribute</w:t>
      </w:r>
      <w:r w:rsidR="008D404D" w:rsidRPr="00AA2617">
        <w:rPr>
          <w:sz w:val="22"/>
          <w:lang w:val="en-GB"/>
        </w:rPr>
        <w:t xml:space="preserve"> </w:t>
      </w:r>
      <w:r w:rsidR="00845E63" w:rsidRPr="00AA2617">
        <w:rPr>
          <w:sz w:val="22"/>
          <w:lang w:val="en-GB"/>
        </w:rPr>
        <w:t>overall socio-economic benefits</w:t>
      </w:r>
      <w:r w:rsidR="008D404D" w:rsidRPr="00AA2617">
        <w:rPr>
          <w:sz w:val="22"/>
          <w:lang w:val="en-GB"/>
        </w:rPr>
        <w:t xml:space="preserve"> by supporting the </w:t>
      </w:r>
      <w:r w:rsidR="00845E63" w:rsidRPr="00AA2617">
        <w:rPr>
          <w:sz w:val="22"/>
          <w:lang w:val="en-GB"/>
        </w:rPr>
        <w:t xml:space="preserve">effective and efficient management of natural resources as well as publicly funded initiates to steward those resources.  Given that the national and local economies are so intimately reliant on environmental resources, this project’s benefits for the quality, transparency, and accessibility of related information </w:t>
      </w:r>
      <w:r w:rsidR="0027383F" w:rsidRPr="00AA2617">
        <w:rPr>
          <w:sz w:val="22"/>
          <w:lang w:val="en-GB"/>
        </w:rPr>
        <w:t>will greatly benefit all citizens, especially those directly engaged in the AFOLU sector and vulnerable to climate change.</w:t>
      </w:r>
    </w:p>
    <w:p w14:paraId="6A3582C4" w14:textId="77777777" w:rsidR="008D404D" w:rsidRPr="00AA2617" w:rsidRDefault="008D404D" w:rsidP="00AA2617">
      <w:pPr>
        <w:pStyle w:val="Heading3"/>
        <w:rPr>
          <w:rFonts w:cs="Times New Roman"/>
          <w:b/>
          <w:szCs w:val="22"/>
          <w:lang w:val="en-GB"/>
        </w:rPr>
      </w:pPr>
      <w:bookmarkStart w:id="293" w:name="_Toc510013465"/>
      <w:bookmarkStart w:id="294" w:name="_Toc513464470"/>
      <w:bookmarkStart w:id="295" w:name="_Toc9249224"/>
      <w:r w:rsidRPr="00AA2617">
        <w:rPr>
          <w:rFonts w:cs="Times New Roman"/>
          <w:b/>
          <w:szCs w:val="22"/>
          <w:lang w:val="en-GB"/>
        </w:rPr>
        <w:t>Environmental sustainability</w:t>
      </w:r>
      <w:bookmarkEnd w:id="293"/>
      <w:bookmarkEnd w:id="294"/>
      <w:bookmarkEnd w:id="295"/>
    </w:p>
    <w:p w14:paraId="21E68D45" w14:textId="77777777" w:rsidR="008D404D" w:rsidRPr="00AA2617" w:rsidRDefault="00450985" w:rsidP="00AA2617">
      <w:pPr>
        <w:pStyle w:val="NumberedParagraph"/>
        <w:spacing w:before="120"/>
        <w:rPr>
          <w:sz w:val="22"/>
          <w:lang w:val="en-GB"/>
        </w:rPr>
      </w:pPr>
      <w:r w:rsidRPr="00AA2617">
        <w:rPr>
          <w:sz w:val="22"/>
          <w:lang w:val="en-GB"/>
        </w:rPr>
        <w:t xml:space="preserve">This project directly contributes to local, national, and global environmental sustainability. </w:t>
      </w:r>
      <w:r w:rsidR="008D404D" w:rsidRPr="00AA2617">
        <w:rPr>
          <w:sz w:val="22"/>
          <w:lang w:val="en-GB"/>
        </w:rPr>
        <w:t xml:space="preserve"> </w:t>
      </w:r>
      <w:r w:rsidRPr="00AA2617">
        <w:rPr>
          <w:sz w:val="22"/>
          <w:lang w:val="en-GB"/>
        </w:rPr>
        <w:t>This project will build stakeholders’ capacities to improve the quality of information regarding climate change, including its impacts and efforts to mitigate and adapt to it.  Therefore, the project improves related decision-making processes, such as regarding the relative effectiveness and cost-efficiencies of different initiatives.  In fact, projects such as this—which improve the quality and transparency of climate-related information—</w:t>
      </w:r>
      <w:r w:rsidR="00CE714D" w:rsidRPr="00AA2617">
        <w:rPr>
          <w:sz w:val="22"/>
          <w:lang w:val="en-GB"/>
        </w:rPr>
        <w:t xml:space="preserve">are necessary for enabling </w:t>
      </w:r>
      <w:r w:rsidRPr="00AA2617">
        <w:rPr>
          <w:sz w:val="22"/>
          <w:lang w:val="en-GB"/>
        </w:rPr>
        <w:t xml:space="preserve">stakeholders </w:t>
      </w:r>
      <w:r w:rsidR="00CE714D" w:rsidRPr="00AA2617">
        <w:rPr>
          <w:sz w:val="22"/>
          <w:lang w:val="en-GB"/>
        </w:rPr>
        <w:t>to assess</w:t>
      </w:r>
      <w:r w:rsidRPr="00AA2617">
        <w:rPr>
          <w:sz w:val="22"/>
          <w:lang w:val="en-GB"/>
        </w:rPr>
        <w:t xml:space="preserve"> sustainability and its antecedents.</w:t>
      </w:r>
    </w:p>
    <w:p w14:paraId="24C65168" w14:textId="77777777" w:rsidR="008D404D" w:rsidRPr="00AA2617" w:rsidRDefault="008D404D" w:rsidP="00AA2617">
      <w:pPr>
        <w:pStyle w:val="Heading3"/>
        <w:rPr>
          <w:rFonts w:cs="Times New Roman"/>
          <w:b/>
          <w:szCs w:val="22"/>
          <w:lang w:val="en-GB"/>
        </w:rPr>
      </w:pPr>
      <w:bookmarkStart w:id="296" w:name="_Toc510013466"/>
      <w:bookmarkStart w:id="297" w:name="_Toc513464471"/>
      <w:bookmarkStart w:id="298" w:name="_Toc9249225"/>
      <w:r w:rsidRPr="00AA2617">
        <w:rPr>
          <w:rFonts w:cs="Times New Roman"/>
          <w:b/>
          <w:szCs w:val="22"/>
          <w:lang w:val="en-GB"/>
        </w:rPr>
        <w:lastRenderedPageBreak/>
        <w:t>Gen</w:t>
      </w:r>
      <w:r w:rsidR="0027383F" w:rsidRPr="00AA2617">
        <w:rPr>
          <w:rFonts w:cs="Times New Roman"/>
          <w:b/>
          <w:szCs w:val="22"/>
          <w:lang w:val="en-GB"/>
        </w:rPr>
        <w:t>der equ</w:t>
      </w:r>
      <w:r w:rsidRPr="00AA2617">
        <w:rPr>
          <w:rFonts w:cs="Times New Roman"/>
          <w:b/>
          <w:szCs w:val="22"/>
          <w:lang w:val="en-GB"/>
        </w:rPr>
        <w:t>ity</w:t>
      </w:r>
      <w:bookmarkEnd w:id="296"/>
      <w:bookmarkEnd w:id="297"/>
      <w:bookmarkEnd w:id="298"/>
    </w:p>
    <w:p w14:paraId="672DC53E" w14:textId="1A1B1F82" w:rsidR="003F5C4A" w:rsidRPr="00AA2617" w:rsidRDefault="003F5C4A" w:rsidP="00AA2617">
      <w:pPr>
        <w:pStyle w:val="NumberedParagraph"/>
        <w:spacing w:before="120"/>
        <w:rPr>
          <w:sz w:val="22"/>
          <w:lang w:val="en-GB"/>
        </w:rPr>
      </w:pPr>
      <w:r w:rsidRPr="00AA2617">
        <w:rPr>
          <w:sz w:val="22"/>
          <w:lang w:val="en-GB"/>
        </w:rPr>
        <w:t>The PMU will advise the TWG to consider gender-related issues in the formulation of the NCCMF and other project-related technical issues.  For example, the TWG will be asked to consider gender among the issues that might be associated with differential climate-related impacts or vulnerabilities, and how such issues might be reflected in adaptation-related M&amp;R.  The PMU will also request that the TWG consider the ways in which gender-related issues should potentially be reflected in the NDC.</w:t>
      </w:r>
      <w:r w:rsidR="008F4816" w:rsidRPr="00AA2617">
        <w:rPr>
          <w:sz w:val="22"/>
          <w:lang w:val="en-GB"/>
        </w:rPr>
        <w:t xml:space="preserve">  Additionally, the project will provide gender-disaggregated reporting for capacity-development activities, such as trainings.  The project will report on gender-related issues as prescribed for PPRs, PIRs, and other project-related documentation.</w:t>
      </w:r>
    </w:p>
    <w:p w14:paraId="46CA48CE" w14:textId="2673D2E1" w:rsidR="00BD3B72" w:rsidRPr="00AA2617" w:rsidRDefault="00BD3B72" w:rsidP="009359B8">
      <w:pPr>
        <w:pStyle w:val="NumberedParagraph"/>
        <w:spacing w:before="120"/>
        <w:rPr>
          <w:sz w:val="22"/>
          <w:lang w:val="en-GB"/>
        </w:rPr>
      </w:pPr>
      <w:bookmarkStart w:id="299" w:name="_Toc510013467"/>
      <w:bookmarkStart w:id="300" w:name="_Toc513464472"/>
      <w:r w:rsidRPr="00AA2617">
        <w:rPr>
          <w:sz w:val="22"/>
          <w:lang w:val="en-GB"/>
        </w:rPr>
        <w:t>The project itself has benefited to date from extensive engagement from various stakeholders, including substantial representation by women.  The proposed memberships of the TWG and PSC both expected to include substantial representation by women.  In cooperation with governmental partners, the project’s intervention will align with GEF’s Gender Equality Action Plan.  FAO, the PSC, and the PMU will ensure that the project addresses any gender-specific needs, that women have equal access to the project’s governance and activities, and that women benefit equitably from the project.</w:t>
      </w:r>
    </w:p>
    <w:p w14:paraId="04881AD5" w14:textId="77777777" w:rsidR="008D404D" w:rsidRPr="00AA2617" w:rsidRDefault="008D404D" w:rsidP="00AA2617">
      <w:pPr>
        <w:pStyle w:val="Heading3"/>
        <w:rPr>
          <w:rFonts w:cs="Times New Roman"/>
          <w:b/>
          <w:szCs w:val="22"/>
          <w:lang w:val="en-GB"/>
        </w:rPr>
      </w:pPr>
      <w:bookmarkStart w:id="301" w:name="_Toc9249226"/>
      <w:r w:rsidRPr="00AA2617">
        <w:rPr>
          <w:rFonts w:cs="Times New Roman"/>
          <w:b/>
          <w:szCs w:val="22"/>
          <w:lang w:val="en-GB"/>
        </w:rPr>
        <w:t xml:space="preserve">Indigenous </w:t>
      </w:r>
      <w:r w:rsidR="0027383F" w:rsidRPr="00AA2617">
        <w:rPr>
          <w:rFonts w:cs="Times New Roman"/>
          <w:b/>
          <w:szCs w:val="22"/>
          <w:lang w:val="en-GB"/>
        </w:rPr>
        <w:t xml:space="preserve">groups and </w:t>
      </w:r>
      <w:r w:rsidRPr="00AA2617">
        <w:rPr>
          <w:rFonts w:cs="Times New Roman"/>
          <w:b/>
          <w:szCs w:val="22"/>
          <w:lang w:val="en-GB"/>
        </w:rPr>
        <w:t>people</w:t>
      </w:r>
      <w:bookmarkEnd w:id="299"/>
      <w:bookmarkEnd w:id="300"/>
      <w:bookmarkEnd w:id="301"/>
    </w:p>
    <w:p w14:paraId="3194ECE4" w14:textId="334C9AAB" w:rsidR="00BD3B72" w:rsidRPr="00AA2617" w:rsidRDefault="00BD3B72" w:rsidP="00AA2617">
      <w:pPr>
        <w:pStyle w:val="NumberedParagraph"/>
        <w:spacing w:before="120"/>
        <w:rPr>
          <w:sz w:val="22"/>
          <w:lang w:val="en-GB"/>
        </w:rPr>
      </w:pPr>
      <w:bookmarkStart w:id="302" w:name="_Hlk486242762"/>
      <w:r w:rsidRPr="00AA2617">
        <w:rPr>
          <w:sz w:val="22"/>
          <w:lang w:val="en-GB"/>
        </w:rPr>
        <w:t>The project sites do not hold any population of indigenous people as these are commonly defined.  The project’s activities will have indirect effects on the management of natural resources, which are closely associated with the traditional lifestyles of various communities.</w:t>
      </w:r>
    </w:p>
    <w:p w14:paraId="07E2EA62" w14:textId="77777777" w:rsidR="00902642" w:rsidRPr="00AA2617" w:rsidRDefault="00902642" w:rsidP="00AA2617">
      <w:pPr>
        <w:jc w:val="left"/>
        <w:rPr>
          <w:rFonts w:eastAsiaTheme="majorEastAsia" w:cs="Times New Roman"/>
          <w:b/>
          <w:sz w:val="22"/>
          <w:lang w:val="en-GB"/>
        </w:rPr>
      </w:pPr>
      <w:r w:rsidRPr="00AA2617">
        <w:rPr>
          <w:rFonts w:cs="Times New Roman"/>
          <w:b/>
          <w:lang w:val="en-GB"/>
        </w:rPr>
        <w:br w:type="page"/>
      </w:r>
    </w:p>
    <w:p w14:paraId="05C4BF09" w14:textId="77777777" w:rsidR="003B1514" w:rsidRPr="00AA2617" w:rsidRDefault="003B1514" w:rsidP="00AA2617">
      <w:pPr>
        <w:pStyle w:val="Heading1"/>
        <w:rPr>
          <w:rFonts w:cs="Times New Roman"/>
          <w:b/>
          <w:szCs w:val="22"/>
          <w:lang w:val="en-GB"/>
        </w:rPr>
      </w:pPr>
      <w:bookmarkStart w:id="303" w:name="_Toc5366449"/>
      <w:bookmarkStart w:id="304" w:name="_Toc9249227"/>
      <w:bookmarkEnd w:id="302"/>
      <w:r w:rsidRPr="00AA2617">
        <w:rPr>
          <w:rFonts w:cs="Times New Roman"/>
          <w:b/>
          <w:szCs w:val="22"/>
          <w:lang w:val="en-GB"/>
        </w:rPr>
        <w:lastRenderedPageBreak/>
        <w:t>List of Appendices and Annexes</w:t>
      </w:r>
      <w:bookmarkEnd w:id="303"/>
      <w:bookmarkEnd w:id="304"/>
    </w:p>
    <w:p w14:paraId="67E175F6" w14:textId="77777777" w:rsidR="003B1514" w:rsidRPr="00AA2617" w:rsidRDefault="003B1514" w:rsidP="00AA2617">
      <w:pPr>
        <w:rPr>
          <w:rFonts w:cs="Times New Roman"/>
          <w:sz w:val="22"/>
          <w:lang w:val="en-GB"/>
        </w:rPr>
      </w:pPr>
      <w:r w:rsidRPr="00AA2617">
        <w:rPr>
          <w:rFonts w:cs="Times New Roman"/>
          <w:sz w:val="22"/>
          <w:lang w:val="en-GB"/>
        </w:rPr>
        <w:t>Appendix 1.  Results Matrix</w:t>
      </w:r>
    </w:p>
    <w:p w14:paraId="4F775953" w14:textId="77777777" w:rsidR="003B1514" w:rsidRPr="00AA2617" w:rsidRDefault="003B1514" w:rsidP="00AA2617">
      <w:pPr>
        <w:rPr>
          <w:rFonts w:cs="Times New Roman"/>
          <w:sz w:val="22"/>
          <w:lang w:val="en-GB"/>
        </w:rPr>
      </w:pPr>
      <w:r w:rsidRPr="00AA2617">
        <w:rPr>
          <w:rFonts w:cs="Times New Roman"/>
          <w:sz w:val="22"/>
          <w:lang w:val="en-GB"/>
        </w:rPr>
        <w:t xml:space="preserve">Appendix 2.  Work-plan </w:t>
      </w:r>
    </w:p>
    <w:p w14:paraId="30AAA1C4" w14:textId="77777777" w:rsidR="003B1514" w:rsidRPr="00AA2617" w:rsidRDefault="003B1514" w:rsidP="00AA2617">
      <w:pPr>
        <w:rPr>
          <w:rFonts w:cs="Times New Roman"/>
          <w:sz w:val="22"/>
          <w:lang w:val="en-GB"/>
        </w:rPr>
      </w:pPr>
      <w:r w:rsidRPr="00AA2617">
        <w:rPr>
          <w:rFonts w:cs="Times New Roman"/>
          <w:sz w:val="22"/>
          <w:lang w:val="en-GB"/>
        </w:rPr>
        <w:t>Appendix 3.  Budget</w:t>
      </w:r>
    </w:p>
    <w:p w14:paraId="1D0CA32A" w14:textId="77777777" w:rsidR="003B1514" w:rsidRPr="00AA2617" w:rsidRDefault="003B1514" w:rsidP="00AA2617">
      <w:pPr>
        <w:rPr>
          <w:rFonts w:cs="Times New Roman"/>
          <w:sz w:val="22"/>
          <w:lang w:val="en-GB"/>
        </w:rPr>
      </w:pPr>
      <w:r w:rsidRPr="00AA2617">
        <w:rPr>
          <w:rFonts w:cs="Times New Roman"/>
          <w:sz w:val="22"/>
          <w:lang w:val="en-GB"/>
        </w:rPr>
        <w:t>Appendix 4.  Project Steering Committee’s Terms of Reference and Provisional Membership</w:t>
      </w:r>
    </w:p>
    <w:p w14:paraId="08DC3643" w14:textId="77777777" w:rsidR="003B1514" w:rsidRPr="00AA2617" w:rsidRDefault="003B1514" w:rsidP="00AA2617">
      <w:pPr>
        <w:rPr>
          <w:rFonts w:cs="Times New Roman"/>
          <w:sz w:val="22"/>
          <w:lang w:val="en-GB"/>
        </w:rPr>
      </w:pPr>
      <w:r w:rsidRPr="00AA2617">
        <w:rPr>
          <w:rFonts w:cs="Times New Roman"/>
          <w:sz w:val="22"/>
          <w:lang w:val="en-GB"/>
        </w:rPr>
        <w:t>Appendix 5.  Technical Working Group’s Terms of Reference and Proposed Membership</w:t>
      </w:r>
    </w:p>
    <w:p w14:paraId="031A5E11" w14:textId="77777777" w:rsidR="003B1514" w:rsidRPr="00AA2617" w:rsidRDefault="003B1514" w:rsidP="00AA2617">
      <w:pPr>
        <w:rPr>
          <w:rFonts w:cs="Times New Roman"/>
          <w:sz w:val="22"/>
          <w:lang w:val="en-GB"/>
        </w:rPr>
      </w:pPr>
      <w:r w:rsidRPr="00AA2617">
        <w:rPr>
          <w:rFonts w:cs="Times New Roman"/>
          <w:sz w:val="22"/>
          <w:lang w:val="en-GB"/>
        </w:rPr>
        <w:t>Appendix 6.  Abbreviated Terms of Reference for Members of the Project Management Unit</w:t>
      </w:r>
    </w:p>
    <w:p w14:paraId="25976EB8" w14:textId="1020A23C" w:rsidR="003B1514" w:rsidRPr="00AA2617" w:rsidRDefault="003B1514" w:rsidP="00AA2617">
      <w:pPr>
        <w:rPr>
          <w:rFonts w:cs="Times New Roman"/>
          <w:sz w:val="22"/>
          <w:lang w:val="en-GB"/>
        </w:rPr>
      </w:pPr>
      <w:r w:rsidRPr="00AA2617">
        <w:rPr>
          <w:rFonts w:cs="Times New Roman"/>
          <w:sz w:val="22"/>
          <w:lang w:val="en-GB"/>
        </w:rPr>
        <w:t>Appendix 7. Co-financing Letters</w:t>
      </w:r>
      <w:r w:rsidR="0092038B" w:rsidRPr="00AA2617">
        <w:rPr>
          <w:rFonts w:cs="Times New Roman"/>
          <w:sz w:val="22"/>
          <w:lang w:val="en-GB"/>
        </w:rPr>
        <w:t xml:space="preserve"> - </w:t>
      </w:r>
      <w:r w:rsidR="00794FFE" w:rsidRPr="00AA2617">
        <w:rPr>
          <w:rFonts w:cs="Times New Roman"/>
          <w:sz w:val="22"/>
          <w:lang w:val="en-GB"/>
        </w:rPr>
        <w:t>Ministry of Mahaweli Development and Environment</w:t>
      </w:r>
    </w:p>
    <w:p w14:paraId="7D1C4482" w14:textId="4BBC73FA" w:rsidR="00392320" w:rsidRPr="00AA2617" w:rsidRDefault="00392320" w:rsidP="00AA2617">
      <w:pPr>
        <w:rPr>
          <w:rFonts w:cs="Times New Roman"/>
          <w:sz w:val="22"/>
          <w:lang w:val="en-GB"/>
        </w:rPr>
      </w:pPr>
      <w:r w:rsidRPr="00AA2617">
        <w:rPr>
          <w:rFonts w:cs="Times New Roman"/>
          <w:sz w:val="22"/>
          <w:lang w:val="en-GB"/>
        </w:rPr>
        <w:t xml:space="preserve">Appendix 8.  </w:t>
      </w:r>
      <w:r w:rsidR="0092038B" w:rsidRPr="00AA2617">
        <w:rPr>
          <w:rFonts w:cs="Times New Roman"/>
          <w:sz w:val="22"/>
          <w:lang w:val="en-GB"/>
        </w:rPr>
        <w:t xml:space="preserve">Co-financing Letters – </w:t>
      </w:r>
      <w:r w:rsidR="00794FFE" w:rsidRPr="00AA2617">
        <w:rPr>
          <w:rFonts w:cs="Times New Roman"/>
          <w:sz w:val="22"/>
          <w:lang w:val="en-GB"/>
        </w:rPr>
        <w:t>FAO</w:t>
      </w:r>
    </w:p>
    <w:p w14:paraId="3D7F59B2" w14:textId="77777777" w:rsidR="003B1514" w:rsidRPr="00AA2617" w:rsidRDefault="003B1514" w:rsidP="00AA2617">
      <w:pPr>
        <w:jc w:val="left"/>
        <w:rPr>
          <w:rFonts w:cs="Times New Roman"/>
          <w:lang w:val="en-GB"/>
        </w:rPr>
        <w:sectPr w:rsidR="003B1514" w:rsidRPr="00AA2617" w:rsidSect="00873A38">
          <w:footerReference w:type="default" r:id="rId19"/>
          <w:footerReference w:type="first" r:id="rId20"/>
          <w:pgSz w:w="11906" w:h="16838"/>
          <w:pgMar w:top="1440" w:right="1440" w:bottom="1440" w:left="1440" w:header="708" w:footer="708" w:gutter="0"/>
          <w:cols w:space="708"/>
          <w:docGrid w:linePitch="360"/>
        </w:sectPr>
      </w:pPr>
      <w:r w:rsidRPr="00AA2617">
        <w:rPr>
          <w:rFonts w:cs="Times New Roman"/>
          <w:lang w:val="en-GB"/>
        </w:rPr>
        <w:br w:type="page"/>
      </w:r>
    </w:p>
    <w:p w14:paraId="59A0CBC4" w14:textId="77777777" w:rsidR="003B1514" w:rsidRPr="00AA2617" w:rsidRDefault="003B1514" w:rsidP="00AA2617">
      <w:pPr>
        <w:pStyle w:val="Heading1"/>
        <w:rPr>
          <w:rFonts w:cs="Times New Roman"/>
          <w:b/>
          <w:lang w:val="en-GB"/>
        </w:rPr>
      </w:pPr>
      <w:bookmarkStart w:id="305" w:name="_Toc5366450"/>
      <w:bookmarkStart w:id="306" w:name="_Toc9249228"/>
      <w:r w:rsidRPr="00AA2617">
        <w:rPr>
          <w:rFonts w:cs="Times New Roman"/>
          <w:b/>
          <w:lang w:val="en-GB"/>
        </w:rPr>
        <w:lastRenderedPageBreak/>
        <w:t>Appendix 1:  Results Matrix</w:t>
      </w:r>
      <w:bookmarkEnd w:id="305"/>
      <w:bookmarkEnd w:id="306"/>
    </w:p>
    <w:tbl>
      <w:tblPr>
        <w:tblW w:w="4895" w:type="pct"/>
        <w:tbl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insideH w:val="single" w:sz="4" w:space="0" w:color="323E4F" w:themeColor="text2" w:themeShade="BF"/>
          <w:insideV w:val="single" w:sz="4" w:space="0" w:color="323E4F" w:themeColor="text2" w:themeShade="BF"/>
        </w:tblBorders>
        <w:tblLook w:val="01E0" w:firstRow="1" w:lastRow="1" w:firstColumn="1" w:lastColumn="1" w:noHBand="0" w:noVBand="0"/>
      </w:tblPr>
      <w:tblGrid>
        <w:gridCol w:w="2266"/>
        <w:gridCol w:w="2148"/>
        <w:gridCol w:w="2347"/>
        <w:gridCol w:w="2441"/>
        <w:gridCol w:w="2736"/>
        <w:gridCol w:w="1500"/>
        <w:gridCol w:w="1627"/>
      </w:tblGrid>
      <w:tr w:rsidR="003B1514" w:rsidRPr="00AA2617" w14:paraId="780E2728" w14:textId="77777777" w:rsidTr="007A12BA">
        <w:trPr>
          <w:trHeight w:val="458"/>
          <w:tblHeader/>
        </w:trPr>
        <w:tc>
          <w:tcPr>
            <w:tcW w:w="752" w:type="pct"/>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08B610B2" w14:textId="77777777" w:rsidR="003B1514" w:rsidRPr="00AA2617" w:rsidRDefault="003B1514" w:rsidP="00AA2617">
            <w:pPr>
              <w:jc w:val="left"/>
              <w:rPr>
                <w:rFonts w:eastAsia="PMingLiU" w:cs="Times New Roman"/>
                <w:color w:val="000000" w:themeColor="text1"/>
                <w:lang w:val="en-GB"/>
              </w:rPr>
            </w:pPr>
            <w:r w:rsidRPr="00AA2617">
              <w:rPr>
                <w:rFonts w:eastAsia="PMingLiU" w:cs="Times New Roman"/>
                <w:color w:val="000000" w:themeColor="text1"/>
                <w:lang w:val="en-GB"/>
              </w:rPr>
              <w:t>Result</w:t>
            </w:r>
          </w:p>
        </w:tc>
        <w:tc>
          <w:tcPr>
            <w:tcW w:w="713" w:type="pct"/>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4BAB451F" w14:textId="77777777" w:rsidR="003B1514" w:rsidRPr="00AA2617" w:rsidRDefault="003B1514" w:rsidP="00AA2617">
            <w:pPr>
              <w:jc w:val="center"/>
              <w:rPr>
                <w:rFonts w:eastAsia="PMingLiU" w:cs="Times New Roman"/>
                <w:color w:val="000000" w:themeColor="text1"/>
                <w:lang w:val="en-GB"/>
              </w:rPr>
            </w:pPr>
            <w:r w:rsidRPr="00AA2617">
              <w:rPr>
                <w:rFonts w:eastAsia="PMingLiU" w:cs="Times New Roman"/>
                <w:color w:val="000000" w:themeColor="text1"/>
                <w:lang w:val="en-GB"/>
              </w:rPr>
              <w:t>Indicator</w:t>
            </w:r>
          </w:p>
        </w:tc>
        <w:tc>
          <w:tcPr>
            <w:tcW w:w="779" w:type="pct"/>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0487828B" w14:textId="77777777" w:rsidR="003B1514" w:rsidRPr="00AA2617" w:rsidRDefault="003B1514" w:rsidP="00AA2617">
            <w:pPr>
              <w:jc w:val="center"/>
              <w:rPr>
                <w:rFonts w:eastAsia="PMingLiU" w:cs="Times New Roman"/>
                <w:color w:val="000000" w:themeColor="text1"/>
                <w:lang w:val="en-GB"/>
              </w:rPr>
            </w:pPr>
            <w:r w:rsidRPr="00AA2617">
              <w:rPr>
                <w:rFonts w:eastAsia="PMingLiU" w:cs="Times New Roman"/>
                <w:color w:val="000000" w:themeColor="text1"/>
                <w:lang w:val="en-GB"/>
              </w:rPr>
              <w:t>Baseline</w:t>
            </w:r>
          </w:p>
        </w:tc>
        <w:tc>
          <w:tcPr>
            <w:tcW w:w="810" w:type="pct"/>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5DA7BE86" w14:textId="77777777" w:rsidR="003B1514" w:rsidRPr="00AA2617" w:rsidRDefault="003B1514" w:rsidP="00AA2617">
            <w:pPr>
              <w:jc w:val="center"/>
              <w:rPr>
                <w:rFonts w:eastAsia="PMingLiU" w:cs="Times New Roman"/>
                <w:color w:val="000000" w:themeColor="text1"/>
                <w:lang w:val="en-GB"/>
              </w:rPr>
            </w:pPr>
            <w:r w:rsidRPr="00AA2617">
              <w:rPr>
                <w:rFonts w:eastAsia="PMingLiU" w:cs="Times New Roman"/>
                <w:color w:val="000000" w:themeColor="text1"/>
                <w:lang w:val="en-GB"/>
              </w:rPr>
              <w:t>Mid-term Target</w:t>
            </w:r>
          </w:p>
        </w:tc>
        <w:tc>
          <w:tcPr>
            <w:tcW w:w="908" w:type="pct"/>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07450515" w14:textId="77777777" w:rsidR="003B1514" w:rsidRPr="00AA2617" w:rsidRDefault="003B1514" w:rsidP="00AA2617">
            <w:pPr>
              <w:jc w:val="center"/>
              <w:rPr>
                <w:rFonts w:eastAsia="PMingLiU" w:cs="Times New Roman"/>
                <w:color w:val="000000" w:themeColor="text1"/>
                <w:lang w:val="en-GB"/>
              </w:rPr>
            </w:pPr>
            <w:r w:rsidRPr="00AA2617">
              <w:rPr>
                <w:rFonts w:eastAsia="PMingLiU" w:cs="Times New Roman"/>
                <w:color w:val="000000" w:themeColor="text1"/>
                <w:lang w:val="en-GB"/>
              </w:rPr>
              <w:t>Final Target</w:t>
            </w:r>
          </w:p>
        </w:tc>
        <w:tc>
          <w:tcPr>
            <w:tcW w:w="498" w:type="pct"/>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14:paraId="7DE0A767" w14:textId="77777777" w:rsidR="003B1514" w:rsidRPr="00AA2617" w:rsidRDefault="003B1514" w:rsidP="00AA2617">
            <w:pPr>
              <w:jc w:val="center"/>
              <w:rPr>
                <w:rFonts w:eastAsia="PMingLiU" w:cs="Times New Roman"/>
                <w:color w:val="000000" w:themeColor="text1"/>
                <w:lang w:val="en-GB"/>
              </w:rPr>
            </w:pPr>
            <w:r w:rsidRPr="00AA2617">
              <w:rPr>
                <w:rFonts w:eastAsia="PMingLiU" w:cs="Times New Roman"/>
                <w:color w:val="000000" w:themeColor="text1"/>
                <w:lang w:val="en-GB"/>
              </w:rPr>
              <w:t>Means of Verification</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8EAADB" w:themeFill="accent1" w:themeFillTint="99"/>
            <w:vAlign w:val="center"/>
            <w:hideMark/>
          </w:tcPr>
          <w:p w14:paraId="2E832423" w14:textId="77777777" w:rsidR="003B1514" w:rsidRPr="00AA2617" w:rsidRDefault="003B1514" w:rsidP="00AA2617">
            <w:pPr>
              <w:jc w:val="center"/>
              <w:rPr>
                <w:rFonts w:eastAsia="PMingLiU" w:cs="Times New Roman"/>
                <w:color w:val="000000" w:themeColor="text1"/>
                <w:lang w:val="en-GB"/>
              </w:rPr>
            </w:pPr>
            <w:r w:rsidRPr="00AA2617">
              <w:rPr>
                <w:rFonts w:eastAsia="PMingLiU" w:cs="Times New Roman"/>
                <w:color w:val="000000" w:themeColor="text1"/>
                <w:lang w:val="en-GB"/>
              </w:rPr>
              <w:t>Assumptions</w:t>
            </w:r>
          </w:p>
        </w:tc>
      </w:tr>
      <w:tr w:rsidR="003B1514" w:rsidRPr="00AA2617" w14:paraId="0FFE9664" w14:textId="77777777" w:rsidTr="007A12BA">
        <w:trPr>
          <w:trHeight w:val="485"/>
        </w:trPr>
        <w:tc>
          <w:tcPr>
            <w:tcW w:w="5000" w:type="pct"/>
            <w:gridSpan w:val="7"/>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hideMark/>
          </w:tcPr>
          <w:p w14:paraId="52011E92" w14:textId="77777777" w:rsidR="003B1514" w:rsidRPr="00AA2617" w:rsidRDefault="003B1514" w:rsidP="00AA2617">
            <w:pPr>
              <w:spacing w:before="120"/>
            </w:pPr>
            <w:r w:rsidRPr="00AA2617">
              <w:rPr>
                <w:rFonts w:eastAsia="PMingLiU" w:cs="Times New Roman"/>
                <w:b/>
                <w:color w:val="000000" w:themeColor="text1"/>
                <w:szCs w:val="21"/>
                <w:lang w:val="en-GB"/>
              </w:rPr>
              <w:t>Objective:</w:t>
            </w:r>
            <w:r w:rsidRPr="00AA2617">
              <w:rPr>
                <w:rFonts w:eastAsia="PMingLiU" w:cs="Times New Roman"/>
                <w:color w:val="000000" w:themeColor="text1"/>
                <w:szCs w:val="21"/>
                <w:lang w:val="en-GB"/>
              </w:rPr>
              <w:t xml:space="preserve">  </w:t>
            </w:r>
            <w:r w:rsidRPr="00AA2617">
              <w:t xml:space="preserve">By 2020, Sri Lanka is preparing </w:t>
            </w:r>
            <w:bookmarkStart w:id="307" w:name="projectObjective"/>
            <w:r w:rsidRPr="00AA2617">
              <w:t>reports to the UNFCCC under the Paris Agreement Enhanced Transparency Framework (ETF) covering all components identified in Sri Lanka’s Nationally-Determined Contribution (NDC), including strengthened agriculture and land use sector components, inventories of emissions sources and sinks and information necessary to track progress against priority actions in the NDC.</w:t>
            </w:r>
            <w:bookmarkEnd w:id="307"/>
          </w:p>
        </w:tc>
      </w:tr>
      <w:tr w:rsidR="003B1514" w:rsidRPr="00AA2617" w14:paraId="7FE411D6" w14:textId="77777777" w:rsidTr="007A12BA">
        <w:trPr>
          <w:trHeight w:val="312"/>
        </w:trPr>
        <w:tc>
          <w:tcPr>
            <w:tcW w:w="5000" w:type="pct"/>
            <w:gridSpan w:val="7"/>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B4C6E7" w:themeFill="accent1" w:themeFillTint="66"/>
            <w:vAlign w:val="center"/>
            <w:hideMark/>
          </w:tcPr>
          <w:p w14:paraId="34DC3B84"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b/>
                <w:noProof/>
                <w:color w:val="000000" w:themeColor="text1"/>
                <w:szCs w:val="21"/>
                <w:lang w:val="en-GB" w:eastAsia="en-GB"/>
              </w:rPr>
              <w:t>Component 1:</w:t>
            </w:r>
            <w:r w:rsidRPr="00AA2617">
              <w:rPr>
                <w:rFonts w:eastAsia="PMingLiU" w:cs="Times New Roman"/>
                <w:noProof/>
                <w:color w:val="000000" w:themeColor="text1"/>
                <w:szCs w:val="21"/>
                <w:lang w:val="en-GB" w:eastAsia="en-GB"/>
              </w:rPr>
              <w:t xml:space="preserve">  </w:t>
            </w:r>
            <w:r w:rsidRPr="00AA2617">
              <w:rPr>
                <w:rFonts w:cs="Times New Roman"/>
                <w:szCs w:val="24"/>
              </w:rPr>
              <w:t>Institutional arrangements to coordinate preparation of ETF reports for agriculture, land-use and other relevant sectors enhanced</w:t>
            </w:r>
          </w:p>
        </w:tc>
      </w:tr>
      <w:tr w:rsidR="003B1514" w:rsidRPr="00AA2617" w14:paraId="7F85FE9B" w14:textId="77777777" w:rsidTr="007A12BA">
        <w:trPr>
          <w:cantSplit/>
          <w:trHeight w:val="312"/>
        </w:trPr>
        <w:tc>
          <w:tcPr>
            <w:tcW w:w="752" w:type="pct"/>
            <w:vMerge w:val="restart"/>
            <w:tcBorders>
              <w:top w:val="single" w:sz="4" w:space="0" w:color="323E4F" w:themeColor="text2" w:themeShade="BF"/>
              <w:left w:val="single" w:sz="4" w:space="0" w:color="323E4F" w:themeColor="text2" w:themeShade="BF"/>
              <w:right w:val="single" w:sz="4" w:space="0" w:color="323E4F" w:themeColor="text2" w:themeShade="BF"/>
            </w:tcBorders>
            <w:shd w:val="clear" w:color="auto" w:fill="auto"/>
            <w:hideMark/>
          </w:tcPr>
          <w:p w14:paraId="6B8D4B9B" w14:textId="77777777" w:rsidR="003B1514" w:rsidRPr="00AA2617" w:rsidRDefault="003B1514" w:rsidP="00AA2617">
            <w:pPr>
              <w:spacing w:before="120"/>
            </w:pPr>
            <w:r w:rsidRPr="00AA2617">
              <w:rPr>
                <w:rFonts w:eastAsia="PMingLiU" w:cs="Times New Roman"/>
                <w:b/>
                <w:color w:val="000000" w:themeColor="text1"/>
                <w:szCs w:val="21"/>
                <w:lang w:val="en-GB"/>
              </w:rPr>
              <w:t>Outcome 1.1:</w:t>
            </w:r>
            <w:r w:rsidRPr="00AA2617">
              <w:rPr>
                <w:rFonts w:eastAsia="PMingLiU" w:cs="Times New Roman"/>
                <w:color w:val="000000" w:themeColor="text1"/>
                <w:szCs w:val="21"/>
                <w:lang w:val="en-GB"/>
              </w:rPr>
              <w:t xml:space="preserve">  </w:t>
            </w:r>
            <w:r w:rsidRPr="00AA2617">
              <w:t>Institutional arrangements coordinating information and data collection from the agriculture and land use sectors into ETF processes and reports enhanced.</w:t>
            </w:r>
          </w:p>
          <w:p w14:paraId="269A65BB" w14:textId="77777777" w:rsidR="003B1514" w:rsidRPr="00AA2617" w:rsidRDefault="003B1514" w:rsidP="00AA2617">
            <w:pPr>
              <w:keepLines/>
              <w:jc w:val="left"/>
              <w:rPr>
                <w:rFonts w:eastAsia="PMingLiU" w:cs="Times New Roman"/>
                <w:color w:val="000000" w:themeColor="text1"/>
                <w:szCs w:val="21"/>
              </w:rPr>
            </w:pPr>
          </w:p>
        </w:tc>
        <w:tc>
          <w:tcPr>
            <w:tcW w:w="7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0C3D8A7B"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b/>
                <w:color w:val="000000" w:themeColor="text1"/>
                <w:lang w:val="en-GB" w:eastAsia="en-GB"/>
              </w:rPr>
              <w:t>A:</w:t>
            </w:r>
            <w:r w:rsidRPr="00AA2617">
              <w:rPr>
                <w:rFonts w:eastAsia="PMingLiU" w:cs="Times New Roman"/>
                <w:color w:val="000000" w:themeColor="text1"/>
                <w:lang w:val="en-GB" w:eastAsia="en-GB"/>
              </w:rPr>
              <w:t xml:space="preserve">  Coordinated sharing of data, information, and analyses from agricultural and land-use sub-sectors in a manner that facilitates ETF processes and reports</w:t>
            </w:r>
            <w:r w:rsidRPr="00AA2617">
              <w:rPr>
                <w:rStyle w:val="FootnoteReference"/>
                <w:rFonts w:eastAsia="PMingLiU" w:cs="Times New Roman"/>
                <w:color w:val="000000" w:themeColor="text1"/>
                <w:lang w:val="en-GB" w:eastAsia="en-GB"/>
              </w:rPr>
              <w:footnoteReference w:id="45"/>
            </w:r>
          </w:p>
        </w:tc>
        <w:tc>
          <w:tcPr>
            <w:tcW w:w="779"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2FF65877"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color w:val="000000" w:themeColor="text1"/>
                <w:lang w:val="en-GB" w:eastAsia="en-GB"/>
              </w:rPr>
              <w:t>Data, information, and analyses from the majority of agricultural and land-use sub-sectors are not being produced and shared in a timely and coordinated manner; no agreed protocols for such data-sharing</w:t>
            </w:r>
          </w:p>
        </w:tc>
        <w:tc>
          <w:tcPr>
            <w:tcW w:w="81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18ACA786"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color w:val="000000" w:themeColor="text1"/>
                <w:lang w:val="en-GB" w:eastAsia="en-GB"/>
              </w:rPr>
              <w:t>Data-provision/ data-sharing protocols established; Primary opportunities and mechanisms identified and being strengthened for improved sharing of data, information, and analyses for key categories in the agricultural and land-use sub-sectors.</w:t>
            </w:r>
          </w:p>
        </w:tc>
        <w:tc>
          <w:tcPr>
            <w:tcW w:w="90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32A36E70" w14:textId="77777777" w:rsidR="003B1514" w:rsidRPr="00AA2617" w:rsidRDefault="003B1514" w:rsidP="00AA2617">
            <w:pPr>
              <w:keepLines/>
              <w:jc w:val="left"/>
              <w:rPr>
                <w:rFonts w:eastAsia="PMingLiU" w:cs="Times New Roman"/>
                <w:color w:val="000000" w:themeColor="text1"/>
                <w:lang w:val="en-GB" w:eastAsia="en-GB"/>
              </w:rPr>
            </w:pPr>
            <w:r w:rsidRPr="00AA2617">
              <w:rPr>
                <w:rFonts w:eastAsia="PMingLiU" w:cs="Times New Roman"/>
                <w:color w:val="000000" w:themeColor="text1"/>
                <w:lang w:val="en-GB" w:eastAsia="en-GB"/>
              </w:rPr>
              <w:t>ETF-relevant data, information, and analyses within the agricultural and land-use sub-sectors are shared in accordance with adopted and enacted protocols for data-sharing/ data-provision.</w:t>
            </w:r>
          </w:p>
        </w:tc>
        <w:tc>
          <w:tcPr>
            <w:tcW w:w="49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42D07F5A"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color w:val="000000" w:themeColor="text1"/>
                <w:lang w:val="en-GB" w:eastAsia="en-GB"/>
              </w:rPr>
              <w:t>Status of the National Climate-change Monitoring Framework (NCCMF); ETF reporting</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auto"/>
          </w:tcPr>
          <w:p w14:paraId="53B2702B"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noProof/>
                <w:color w:val="000000" w:themeColor="text1"/>
                <w:szCs w:val="21"/>
                <w:lang w:val="en-GB" w:eastAsia="en-GB"/>
              </w:rPr>
              <w:t>Sufficient political support to enact reporting guidance from the NCCMF</w:t>
            </w:r>
          </w:p>
        </w:tc>
      </w:tr>
      <w:tr w:rsidR="003B1514" w:rsidRPr="00AA2617" w14:paraId="6EC50A7E" w14:textId="77777777" w:rsidTr="007A12BA">
        <w:trPr>
          <w:cantSplit/>
          <w:trHeight w:val="312"/>
        </w:trPr>
        <w:tc>
          <w:tcPr>
            <w:tcW w:w="752" w:type="pct"/>
            <w:vMerge/>
            <w:tcBorders>
              <w:left w:val="single" w:sz="4" w:space="0" w:color="323E4F" w:themeColor="text2" w:themeShade="BF"/>
              <w:right w:val="single" w:sz="4" w:space="0" w:color="323E4F" w:themeColor="text2" w:themeShade="BF"/>
            </w:tcBorders>
            <w:shd w:val="clear" w:color="auto" w:fill="FFFFFF"/>
          </w:tcPr>
          <w:p w14:paraId="52856A1B" w14:textId="77777777" w:rsidR="003B1514" w:rsidRPr="00AA2617" w:rsidRDefault="003B1514" w:rsidP="00AA2617">
            <w:pPr>
              <w:keepNext/>
              <w:keepLines/>
              <w:jc w:val="left"/>
              <w:rPr>
                <w:rFonts w:eastAsia="PMingLiU" w:cs="Times New Roman"/>
                <w:noProof/>
                <w:color w:val="000000" w:themeColor="text1"/>
                <w:szCs w:val="21"/>
                <w:lang w:val="en-GB" w:eastAsia="en-GB"/>
              </w:rPr>
            </w:pPr>
          </w:p>
        </w:tc>
        <w:tc>
          <w:tcPr>
            <w:tcW w:w="7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634479EE" w14:textId="77777777" w:rsidR="003B1514" w:rsidRPr="00AA2617" w:rsidRDefault="003B1514" w:rsidP="00AA2617">
            <w:pPr>
              <w:keepNext/>
              <w:keepLines/>
              <w:jc w:val="left"/>
              <w:rPr>
                <w:lang w:val="en-GB"/>
              </w:rPr>
            </w:pPr>
            <w:r w:rsidRPr="00AA2617">
              <w:rPr>
                <w:rFonts w:cs="Times New Roman"/>
                <w:b/>
                <w:color w:val="000000"/>
                <w:lang w:val="en-GB"/>
              </w:rPr>
              <w:t>B:</w:t>
            </w:r>
            <w:r w:rsidRPr="00AA2617">
              <w:rPr>
                <w:rFonts w:cs="Times New Roman"/>
                <w:color w:val="000000"/>
                <w:lang w:val="en-GB"/>
              </w:rPr>
              <w:t xml:space="preserve">  CBIT Tracking Tool Indicator 5:  </w:t>
            </w:r>
            <w:r w:rsidRPr="00AA2617">
              <w:rPr>
                <w:lang w:val="en-GB"/>
              </w:rPr>
              <w:t>Qualitative assessment of institutional capacity for transparency-related activities</w:t>
            </w:r>
          </w:p>
          <w:p w14:paraId="55067D6C" w14:textId="77777777" w:rsidR="003B1514" w:rsidRPr="00AA2617" w:rsidRDefault="003B1514" w:rsidP="00AA2617">
            <w:pPr>
              <w:keepNext/>
              <w:keepLines/>
              <w:jc w:val="left"/>
              <w:rPr>
                <w:lang w:val="en-GB"/>
              </w:rPr>
            </w:pPr>
          </w:p>
          <w:p w14:paraId="75066987" w14:textId="77777777" w:rsidR="003B1514" w:rsidRPr="00AA2617" w:rsidRDefault="003B1514" w:rsidP="00AA2617">
            <w:pPr>
              <w:keepNext/>
              <w:keepLines/>
              <w:jc w:val="left"/>
              <w:rPr>
                <w:rFonts w:cs="Times New Roman"/>
                <w:color w:val="000000"/>
                <w:lang w:val="en-GB"/>
              </w:rPr>
            </w:pPr>
            <w:r w:rsidRPr="00AA2617">
              <w:rPr>
                <w:lang w:val="en-GB"/>
              </w:rPr>
              <w:t>(Scale:  1 – 4)</w:t>
            </w:r>
          </w:p>
        </w:tc>
        <w:tc>
          <w:tcPr>
            <w:tcW w:w="779"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120B6352" w14:textId="77777777" w:rsidR="003B1514" w:rsidRPr="00AA2617" w:rsidRDefault="003B1514" w:rsidP="00AA2617">
            <w:pPr>
              <w:keepNext/>
              <w:keepLines/>
              <w:jc w:val="left"/>
              <w:rPr>
                <w:rFonts w:cs="Times New Roman"/>
                <w:color w:val="000000"/>
                <w:lang w:val="en-GB"/>
              </w:rPr>
            </w:pPr>
            <w:r w:rsidRPr="00AA2617">
              <w:rPr>
                <w:lang w:val="en-GB"/>
              </w:rPr>
              <w:t>2:  Designated transparency institution exists, but with limited staff and capacity to support and coordinate implementation of transparency activities under Article 13 of Paris Agreement. Institution lacks authority or mandate to coordinate transparency activities under Article 13.</w:t>
            </w:r>
          </w:p>
        </w:tc>
        <w:tc>
          <w:tcPr>
            <w:tcW w:w="81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9EDFD41" w14:textId="77777777" w:rsidR="003B1514" w:rsidRPr="00AA2617" w:rsidRDefault="003B1514" w:rsidP="00AA2617">
            <w:pPr>
              <w:keepNext/>
              <w:keepLines/>
              <w:jc w:val="left"/>
              <w:rPr>
                <w:rFonts w:eastAsia="PMingLiU" w:cs="Times New Roman"/>
                <w:color w:val="000000" w:themeColor="text1"/>
                <w:lang w:val="en-GB" w:eastAsia="en-GB"/>
              </w:rPr>
            </w:pPr>
            <w:r w:rsidRPr="00AA2617">
              <w:rPr>
                <w:lang w:val="en-GB"/>
              </w:rPr>
              <w:t>2:  Designated transparency institution exists, but with limited staff and capacity to support and coordinate implementation of transparency activities under Article 13 of Paris Agreement. Institution lacks authority or mandate to coordinate transparency activities under Article 13.</w:t>
            </w:r>
          </w:p>
        </w:tc>
        <w:tc>
          <w:tcPr>
            <w:tcW w:w="90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1A1996DC" w14:textId="77777777" w:rsidR="003B1514" w:rsidRPr="00AA2617" w:rsidRDefault="003B1514" w:rsidP="00AA2617">
            <w:pPr>
              <w:keepNext/>
              <w:keepLines/>
              <w:jc w:val="left"/>
              <w:rPr>
                <w:lang w:val="en-GB"/>
              </w:rPr>
            </w:pPr>
            <w:r w:rsidRPr="00AA2617">
              <w:rPr>
                <w:lang w:val="en-GB"/>
              </w:rPr>
              <w:t>3:  Designated transparency institution has an organizational unit with standing staff with some capacity to coordinate and implement transparency activities under Article 13 of the Paris Agreement. Institution has authority or mandate to coordinate transparency activities under Article 13. Activities are not integrated into national planning or budgeting activities.</w:t>
            </w:r>
          </w:p>
        </w:tc>
        <w:tc>
          <w:tcPr>
            <w:tcW w:w="49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62BD2D24" w14:textId="77777777" w:rsidR="003B1514" w:rsidRPr="00AA2617" w:rsidRDefault="003B1514" w:rsidP="00AA2617">
            <w:pPr>
              <w:keepNext/>
              <w:keepLines/>
              <w:jc w:val="left"/>
              <w:rPr>
                <w:rFonts w:eastAsia="PMingLiU" w:cs="Times New Roman"/>
                <w:bCs/>
                <w:color w:val="000000" w:themeColor="text1"/>
                <w:lang w:val="en-GB" w:eastAsia="en-GB"/>
              </w:rPr>
            </w:pPr>
            <w:r w:rsidRPr="00AA2617">
              <w:rPr>
                <w:rFonts w:eastAsia="PMingLiU" w:cs="Times New Roman"/>
                <w:color w:val="000000" w:themeColor="text1"/>
                <w:lang w:val="en-GB" w:eastAsia="en-GB"/>
              </w:rPr>
              <w:t>Status of the National Climate-change Monitoring Framework (NCCMF)</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E79B943" w14:textId="77777777" w:rsidR="003B1514" w:rsidRPr="00AA2617" w:rsidRDefault="003B1514" w:rsidP="00AA2617">
            <w:pPr>
              <w:keepNext/>
              <w:keepLines/>
              <w:jc w:val="left"/>
              <w:rPr>
                <w:rFonts w:eastAsia="PMingLiU" w:cs="Times New Roman"/>
                <w:color w:val="000000" w:themeColor="text1"/>
                <w:lang w:val="en-GB" w:eastAsia="en-GB"/>
              </w:rPr>
            </w:pPr>
            <w:r w:rsidRPr="00AA2617">
              <w:rPr>
                <w:rFonts w:eastAsia="PMingLiU" w:cs="Times New Roman"/>
                <w:noProof/>
                <w:color w:val="000000" w:themeColor="text1"/>
                <w:szCs w:val="21"/>
                <w:lang w:val="en-GB" w:eastAsia="en-GB"/>
              </w:rPr>
              <w:t>Sufficient political support to enact reporting guidance from the NCCMF</w:t>
            </w:r>
          </w:p>
        </w:tc>
      </w:tr>
      <w:tr w:rsidR="003B1514" w:rsidRPr="00AA2617" w14:paraId="0745FA4B" w14:textId="77777777" w:rsidTr="007A12BA">
        <w:trPr>
          <w:cantSplit/>
          <w:trHeight w:val="312"/>
        </w:trPr>
        <w:tc>
          <w:tcPr>
            <w:tcW w:w="752" w:type="pct"/>
            <w:vMerge/>
            <w:tcBorders>
              <w:left w:val="single" w:sz="4" w:space="0" w:color="323E4F" w:themeColor="text2" w:themeShade="BF"/>
              <w:bottom w:val="double" w:sz="4" w:space="0" w:color="auto"/>
              <w:right w:val="single" w:sz="4" w:space="0" w:color="323E4F" w:themeColor="text2" w:themeShade="BF"/>
            </w:tcBorders>
            <w:shd w:val="clear" w:color="auto" w:fill="FFFFFF"/>
          </w:tcPr>
          <w:p w14:paraId="183064BC" w14:textId="77777777" w:rsidR="003B1514" w:rsidRPr="00AA2617" w:rsidRDefault="003B1514" w:rsidP="00AA2617">
            <w:pPr>
              <w:keepLines/>
              <w:jc w:val="left"/>
              <w:rPr>
                <w:rFonts w:eastAsia="PMingLiU" w:cs="Times New Roman"/>
                <w:color w:val="000000" w:themeColor="text1"/>
                <w:szCs w:val="21"/>
                <w:lang w:val="en-GB"/>
              </w:rPr>
            </w:pPr>
          </w:p>
        </w:tc>
        <w:tc>
          <w:tcPr>
            <w:tcW w:w="713" w:type="pct"/>
            <w:tcBorders>
              <w:top w:val="single" w:sz="4" w:space="0" w:color="323E4F" w:themeColor="text2" w:themeShade="BF"/>
              <w:left w:val="single" w:sz="4" w:space="0" w:color="323E4F" w:themeColor="text2" w:themeShade="BF"/>
              <w:bottom w:val="double" w:sz="4" w:space="0" w:color="auto"/>
              <w:right w:val="single" w:sz="4" w:space="0" w:color="323E4F" w:themeColor="text2" w:themeShade="BF"/>
            </w:tcBorders>
            <w:shd w:val="clear" w:color="auto" w:fill="FFFFFF"/>
          </w:tcPr>
          <w:p w14:paraId="13953593" w14:textId="77777777" w:rsidR="003B1514" w:rsidRPr="00AA2617" w:rsidRDefault="003B1514" w:rsidP="00AA2617">
            <w:pPr>
              <w:keepLines/>
              <w:jc w:val="left"/>
              <w:rPr>
                <w:rFonts w:cs="Times New Roman"/>
                <w:color w:val="000000"/>
                <w:szCs w:val="21"/>
                <w:lang w:val="en-GB"/>
              </w:rPr>
            </w:pPr>
            <w:r w:rsidRPr="00AA2617">
              <w:rPr>
                <w:rFonts w:cs="Times New Roman"/>
                <w:b/>
                <w:color w:val="000000"/>
                <w:lang w:val="en-GB"/>
              </w:rPr>
              <w:t>C:</w:t>
            </w:r>
            <w:r w:rsidRPr="00AA2617">
              <w:rPr>
                <w:rFonts w:cs="Times New Roman"/>
                <w:color w:val="000000"/>
                <w:lang w:val="en-GB"/>
              </w:rPr>
              <w:t xml:space="preserve">  ETF readiness in terms of institutional and human capacities</w:t>
            </w:r>
          </w:p>
        </w:tc>
        <w:tc>
          <w:tcPr>
            <w:tcW w:w="779" w:type="pct"/>
            <w:tcBorders>
              <w:top w:val="single" w:sz="4" w:space="0" w:color="323E4F" w:themeColor="text2" w:themeShade="BF"/>
              <w:left w:val="single" w:sz="4" w:space="0" w:color="323E4F" w:themeColor="text2" w:themeShade="BF"/>
              <w:bottom w:val="double" w:sz="4" w:space="0" w:color="auto"/>
              <w:right w:val="single" w:sz="4" w:space="0" w:color="323E4F" w:themeColor="text2" w:themeShade="BF"/>
            </w:tcBorders>
            <w:shd w:val="clear" w:color="auto" w:fill="FFFFFF"/>
          </w:tcPr>
          <w:p w14:paraId="5E35017F"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color w:val="000000" w:themeColor="text1"/>
                <w:lang w:val="en-GB" w:eastAsia="en-GB"/>
              </w:rPr>
              <w:t>Low level of readiness as per section A of AFOLU readiness assessment and expected ETF requirements</w:t>
            </w:r>
          </w:p>
        </w:tc>
        <w:tc>
          <w:tcPr>
            <w:tcW w:w="810" w:type="pct"/>
            <w:tcBorders>
              <w:top w:val="single" w:sz="4" w:space="0" w:color="323E4F" w:themeColor="text2" w:themeShade="BF"/>
              <w:left w:val="single" w:sz="4" w:space="0" w:color="323E4F" w:themeColor="text2" w:themeShade="BF"/>
              <w:bottom w:val="double" w:sz="4" w:space="0" w:color="auto"/>
              <w:right w:val="single" w:sz="4" w:space="0" w:color="323E4F" w:themeColor="text2" w:themeShade="BF"/>
            </w:tcBorders>
            <w:shd w:val="clear" w:color="auto" w:fill="FFFFFF"/>
          </w:tcPr>
          <w:p w14:paraId="32874EB6"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lang w:val="en-GB"/>
              </w:rPr>
              <w:t xml:space="preserve">Updated </w:t>
            </w:r>
            <w:r w:rsidRPr="00AA2617">
              <w:rPr>
                <w:rFonts w:eastAsia="PMingLiU" w:cs="Times New Roman"/>
                <w:color w:val="000000" w:themeColor="text1"/>
                <w:lang w:val="en-GB" w:eastAsia="en-GB"/>
              </w:rPr>
              <w:t>AFOLU readiness assessment and finalized ETF requirements</w:t>
            </w:r>
          </w:p>
        </w:tc>
        <w:tc>
          <w:tcPr>
            <w:tcW w:w="908" w:type="pct"/>
            <w:tcBorders>
              <w:top w:val="single" w:sz="4" w:space="0" w:color="323E4F" w:themeColor="text2" w:themeShade="BF"/>
              <w:left w:val="single" w:sz="4" w:space="0" w:color="323E4F" w:themeColor="text2" w:themeShade="BF"/>
              <w:bottom w:val="double" w:sz="4" w:space="0" w:color="auto"/>
              <w:right w:val="single" w:sz="4" w:space="0" w:color="323E4F" w:themeColor="text2" w:themeShade="BF"/>
            </w:tcBorders>
            <w:shd w:val="clear" w:color="auto" w:fill="FFFFFF"/>
          </w:tcPr>
          <w:p w14:paraId="0BE37356"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color w:val="000000" w:themeColor="text1"/>
                <w:lang w:val="en-GB" w:eastAsia="en-GB"/>
              </w:rPr>
              <w:t>Measurable increases in readiness level (</w:t>
            </w:r>
            <w:r w:rsidRPr="00AA2617">
              <w:rPr>
                <w:rFonts w:eastAsia="PMingLiU" w:cs="Times New Roman"/>
                <w:color w:val="000000" w:themeColor="text1"/>
                <w:u w:val="single"/>
                <w:lang w:val="en-GB" w:eastAsia="en-GB"/>
              </w:rPr>
              <w:t>Note</w:t>
            </w:r>
            <w:r w:rsidRPr="00AA2617">
              <w:rPr>
                <w:rFonts w:eastAsia="PMingLiU" w:cs="Times New Roman"/>
                <w:color w:val="000000" w:themeColor="text1"/>
                <w:lang w:val="en-GB" w:eastAsia="en-GB"/>
              </w:rPr>
              <w:t>: Quantitative targets to be defined based on updated AFOLU readiness assessment and finalized ETF requirements)</w:t>
            </w:r>
          </w:p>
        </w:tc>
        <w:tc>
          <w:tcPr>
            <w:tcW w:w="498" w:type="pct"/>
            <w:tcBorders>
              <w:top w:val="single" w:sz="4" w:space="0" w:color="323E4F" w:themeColor="text2" w:themeShade="BF"/>
              <w:left w:val="single" w:sz="4" w:space="0" w:color="323E4F" w:themeColor="text2" w:themeShade="BF"/>
              <w:bottom w:val="double" w:sz="4" w:space="0" w:color="auto"/>
              <w:right w:val="single" w:sz="4" w:space="0" w:color="323E4F" w:themeColor="text2" w:themeShade="BF"/>
            </w:tcBorders>
            <w:shd w:val="clear" w:color="auto" w:fill="FFFFFF"/>
          </w:tcPr>
          <w:p w14:paraId="2FCC6E34" w14:textId="77777777" w:rsidR="003B1514" w:rsidRPr="00AA2617" w:rsidRDefault="003B1514" w:rsidP="00AA2617">
            <w:pPr>
              <w:keepLines/>
              <w:jc w:val="left"/>
              <w:rPr>
                <w:rFonts w:eastAsia="PMingLiU" w:cs="Times New Roman"/>
                <w:bCs/>
                <w:noProof/>
                <w:color w:val="000000" w:themeColor="text1"/>
                <w:szCs w:val="21"/>
                <w:lang w:val="en-GB" w:eastAsia="en-GB"/>
              </w:rPr>
            </w:pPr>
            <w:r w:rsidRPr="00AA2617">
              <w:rPr>
                <w:rFonts w:eastAsia="PMingLiU" w:cs="Times New Roman"/>
                <w:bCs/>
                <w:color w:val="000000" w:themeColor="text1"/>
                <w:lang w:val="en-GB" w:eastAsia="en-GB"/>
              </w:rPr>
              <w:t>AFOLU readiness assessment (final report)</w:t>
            </w:r>
          </w:p>
        </w:tc>
        <w:tc>
          <w:tcPr>
            <w:tcW w:w="540" w:type="pct"/>
            <w:tcBorders>
              <w:top w:val="single" w:sz="4" w:space="0" w:color="323E4F" w:themeColor="text2" w:themeShade="BF"/>
              <w:left w:val="single" w:sz="4" w:space="0" w:color="323E4F" w:themeColor="text2" w:themeShade="BF"/>
              <w:bottom w:val="double" w:sz="4" w:space="0" w:color="auto"/>
              <w:right w:val="single" w:sz="4" w:space="0" w:color="323E4F" w:themeColor="text2" w:themeShade="BF"/>
            </w:tcBorders>
            <w:shd w:val="clear" w:color="auto" w:fill="FFFFFF"/>
          </w:tcPr>
          <w:p w14:paraId="50AC9110"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color w:val="000000" w:themeColor="text1"/>
                <w:lang w:val="en-GB" w:eastAsia="en-GB"/>
              </w:rPr>
              <w:t>Capacities are maintained and attrition is kept to a minimum</w:t>
            </w:r>
          </w:p>
        </w:tc>
      </w:tr>
      <w:tr w:rsidR="003B1514" w:rsidRPr="00AA2617" w14:paraId="51CBE0A8" w14:textId="77777777" w:rsidTr="007A12BA">
        <w:trPr>
          <w:cantSplit/>
          <w:trHeight w:val="312"/>
        </w:trPr>
        <w:tc>
          <w:tcPr>
            <w:tcW w:w="752" w:type="pct"/>
            <w:vMerge w:val="restart"/>
            <w:tcBorders>
              <w:top w:val="double" w:sz="4" w:space="0" w:color="auto"/>
              <w:left w:val="single" w:sz="4" w:space="0" w:color="323E4F" w:themeColor="text2" w:themeShade="BF"/>
              <w:right w:val="single" w:sz="4" w:space="0" w:color="323E4F" w:themeColor="text2" w:themeShade="BF"/>
            </w:tcBorders>
            <w:shd w:val="clear" w:color="auto" w:fill="FFFFFF"/>
          </w:tcPr>
          <w:p w14:paraId="229FBCCE" w14:textId="77777777" w:rsidR="003B1514" w:rsidRPr="00AA2617" w:rsidRDefault="003B1514" w:rsidP="00AA2617">
            <w:pPr>
              <w:keepLines/>
              <w:jc w:val="left"/>
              <w:rPr>
                <w:rFonts w:eastAsia="PMingLiU" w:cs="Times New Roman"/>
                <w:color w:val="000000" w:themeColor="text1"/>
                <w:szCs w:val="21"/>
                <w:lang w:val="en-GB"/>
              </w:rPr>
            </w:pPr>
            <w:r w:rsidRPr="00AA2617">
              <w:rPr>
                <w:rFonts w:eastAsia="PMingLiU" w:cs="Times New Roman"/>
                <w:b/>
                <w:color w:val="000000" w:themeColor="text1"/>
                <w:szCs w:val="21"/>
                <w:lang w:val="en-GB"/>
              </w:rPr>
              <w:t xml:space="preserve">Outcome 1.2: </w:t>
            </w:r>
            <w:r w:rsidRPr="00AA2617">
              <w:t>Best practices on ETF reporting processes, information gathering, system infrastructure, methodologies in the agriculture and land-use sectors disseminated to relevant priority sectors (e.g. energy, industry/trade, transportation).</w:t>
            </w:r>
          </w:p>
        </w:tc>
        <w:tc>
          <w:tcPr>
            <w:tcW w:w="713" w:type="pct"/>
            <w:tcBorders>
              <w:top w:val="double" w:sz="4" w:space="0" w:color="auto"/>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651AEF18" w14:textId="77777777" w:rsidR="003B1514" w:rsidRPr="00AA2617" w:rsidRDefault="003B1514" w:rsidP="00AA2617">
            <w:pPr>
              <w:keepLines/>
              <w:jc w:val="left"/>
              <w:rPr>
                <w:rFonts w:cs="Times New Roman"/>
                <w:color w:val="000000"/>
                <w:szCs w:val="21"/>
                <w:lang w:val="en-GB"/>
              </w:rPr>
            </w:pPr>
            <w:r w:rsidRPr="00AA2617">
              <w:rPr>
                <w:rFonts w:cs="Times New Roman"/>
                <w:b/>
                <w:color w:val="000000"/>
                <w:lang w:val="en-GB"/>
              </w:rPr>
              <w:t>D:</w:t>
            </w:r>
            <w:r w:rsidRPr="00AA2617">
              <w:rPr>
                <w:rFonts w:cs="Times New Roman"/>
                <w:color w:val="000000"/>
                <w:lang w:val="en-GB"/>
              </w:rPr>
              <w:t xml:space="preserve">  Level of engagement of agricultural and land-use sub-sectors with ETF processes</w:t>
            </w:r>
          </w:p>
        </w:tc>
        <w:tc>
          <w:tcPr>
            <w:tcW w:w="779" w:type="pct"/>
            <w:tcBorders>
              <w:top w:val="double" w:sz="4" w:space="0" w:color="auto"/>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55357C4"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cs="Times New Roman"/>
                <w:color w:val="000000"/>
                <w:lang w:val="en-GB"/>
              </w:rPr>
              <w:t>Very limited engagement of agricultural and land-use sub-sector stakeholders, including government, CSOs, and private-sector</w:t>
            </w:r>
          </w:p>
        </w:tc>
        <w:tc>
          <w:tcPr>
            <w:tcW w:w="810" w:type="pct"/>
            <w:tcBorders>
              <w:top w:val="double" w:sz="4" w:space="0" w:color="auto"/>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95AD131"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color w:val="000000" w:themeColor="text1"/>
                <w:lang w:val="en-GB" w:eastAsia="en-GB"/>
              </w:rPr>
              <w:t>Sub-sector coordination mechanisms established (e.g., NCCMF, TWG, MRV portal)</w:t>
            </w:r>
          </w:p>
        </w:tc>
        <w:tc>
          <w:tcPr>
            <w:tcW w:w="908" w:type="pct"/>
            <w:tcBorders>
              <w:top w:val="double" w:sz="4" w:space="0" w:color="auto"/>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C184095"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color w:val="000000" w:themeColor="text1"/>
                <w:lang w:val="en-GB" w:eastAsia="en-GB"/>
              </w:rPr>
              <w:t>Broad engagement of stakeholders from agricultural and land-use sub-sectors via established coordination mechanisms</w:t>
            </w:r>
          </w:p>
        </w:tc>
        <w:tc>
          <w:tcPr>
            <w:tcW w:w="498" w:type="pct"/>
            <w:tcBorders>
              <w:top w:val="double" w:sz="4" w:space="0" w:color="auto"/>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97270AB" w14:textId="77777777" w:rsidR="003B1514" w:rsidRPr="00AA2617" w:rsidRDefault="003B1514" w:rsidP="00AA2617">
            <w:pPr>
              <w:keepLines/>
              <w:jc w:val="left"/>
              <w:rPr>
                <w:rFonts w:eastAsia="PMingLiU" w:cs="Times New Roman"/>
                <w:bCs/>
                <w:noProof/>
                <w:color w:val="000000" w:themeColor="text1"/>
                <w:szCs w:val="21"/>
                <w:lang w:val="en-GB" w:eastAsia="en-GB"/>
              </w:rPr>
            </w:pPr>
            <w:r w:rsidRPr="00AA2617">
              <w:rPr>
                <w:rFonts w:eastAsia="PMingLiU" w:cs="Times New Roman"/>
                <w:bCs/>
                <w:color w:val="000000" w:themeColor="text1"/>
                <w:lang w:val="en-GB" w:eastAsia="en-GB"/>
              </w:rPr>
              <w:t>Engagement via TWG (e.g., attendance), MRV portal (e.g., active links), and mechanisms indicated in the NCCMF</w:t>
            </w:r>
          </w:p>
        </w:tc>
        <w:tc>
          <w:tcPr>
            <w:tcW w:w="540" w:type="pct"/>
            <w:tcBorders>
              <w:top w:val="double" w:sz="4" w:space="0" w:color="auto"/>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659101B" w14:textId="77777777" w:rsidR="003B1514" w:rsidRPr="00AA2617" w:rsidRDefault="003B1514" w:rsidP="00AA2617">
            <w:pPr>
              <w:keepLines/>
              <w:jc w:val="left"/>
              <w:rPr>
                <w:rFonts w:eastAsia="PMingLiU" w:cs="Times New Roman"/>
                <w:noProof/>
                <w:color w:val="000000" w:themeColor="text1"/>
                <w:szCs w:val="21"/>
                <w:lang w:val="en-GB" w:eastAsia="en-GB"/>
              </w:rPr>
            </w:pPr>
            <w:r w:rsidRPr="00AA2617">
              <w:rPr>
                <w:rFonts w:eastAsia="PMingLiU" w:cs="Times New Roman"/>
                <w:color w:val="000000" w:themeColor="text1"/>
                <w:lang w:val="en-GB" w:eastAsia="en-GB"/>
              </w:rPr>
              <w:t>Stakeholders have sufficient intrinsic and extrinsic motivations to engage</w:t>
            </w:r>
          </w:p>
        </w:tc>
      </w:tr>
      <w:tr w:rsidR="003B1514" w:rsidRPr="00AA2617" w14:paraId="731DD611" w14:textId="77777777" w:rsidTr="007A12BA">
        <w:trPr>
          <w:cantSplit/>
          <w:trHeight w:val="312"/>
        </w:trPr>
        <w:tc>
          <w:tcPr>
            <w:tcW w:w="752" w:type="pct"/>
            <w:vMerge/>
            <w:tcBorders>
              <w:left w:val="single" w:sz="4" w:space="0" w:color="323E4F" w:themeColor="text2" w:themeShade="BF"/>
              <w:right w:val="single" w:sz="4" w:space="0" w:color="323E4F" w:themeColor="text2" w:themeShade="BF"/>
            </w:tcBorders>
            <w:shd w:val="clear" w:color="auto" w:fill="FFFFFF"/>
          </w:tcPr>
          <w:p w14:paraId="157668D2" w14:textId="77777777" w:rsidR="003B1514" w:rsidRPr="00AA2617" w:rsidRDefault="003B1514" w:rsidP="00AA2617">
            <w:pPr>
              <w:keepNext/>
              <w:keepLines/>
              <w:jc w:val="left"/>
              <w:rPr>
                <w:rFonts w:eastAsia="PMingLiU" w:cs="Times New Roman"/>
                <w:color w:val="0070C0"/>
                <w:szCs w:val="21"/>
                <w:lang w:val="en-GB"/>
              </w:rPr>
            </w:pPr>
          </w:p>
        </w:tc>
        <w:tc>
          <w:tcPr>
            <w:tcW w:w="7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AA00751" w14:textId="77777777" w:rsidR="003B1514" w:rsidRPr="00AA2617" w:rsidRDefault="003B1514" w:rsidP="00AA2617">
            <w:pPr>
              <w:keepNext/>
              <w:keepLines/>
              <w:jc w:val="left"/>
              <w:rPr>
                <w:rFonts w:cs="Times New Roman"/>
                <w:color w:val="0070C0"/>
                <w:lang w:val="en-GB"/>
              </w:rPr>
            </w:pPr>
            <w:r w:rsidRPr="00AA2617">
              <w:rPr>
                <w:rFonts w:cs="Times New Roman"/>
                <w:b/>
                <w:color w:val="000000"/>
                <w:lang w:val="en-GB"/>
              </w:rPr>
              <w:t>E:</w:t>
            </w:r>
            <w:r w:rsidRPr="00AA2617">
              <w:rPr>
                <w:rFonts w:cs="Times New Roman"/>
                <w:color w:val="000000"/>
                <w:lang w:val="en-GB"/>
              </w:rPr>
              <w:t xml:space="preserve">  Degree of engagement with other sectors</w:t>
            </w:r>
          </w:p>
        </w:tc>
        <w:tc>
          <w:tcPr>
            <w:tcW w:w="779"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6845B61E" w14:textId="77777777" w:rsidR="003B1514" w:rsidRPr="00AA2617" w:rsidRDefault="003B1514" w:rsidP="00AA2617">
            <w:pPr>
              <w:keepNext/>
              <w:keepLines/>
              <w:jc w:val="left"/>
              <w:rPr>
                <w:rFonts w:cs="Times New Roman"/>
                <w:color w:val="0070C0"/>
                <w:lang w:val="en-GB"/>
              </w:rPr>
            </w:pPr>
            <w:r w:rsidRPr="00AA2617">
              <w:rPr>
                <w:rFonts w:eastAsia="PMingLiU" w:cs="Times New Roman"/>
                <w:color w:val="000000" w:themeColor="text1"/>
                <w:lang w:val="en-GB" w:eastAsia="en-GB"/>
              </w:rPr>
              <w:t>Agricultural and land-use sub-sectors not contributing to ETF capacities of other sectors</w:t>
            </w:r>
          </w:p>
        </w:tc>
        <w:tc>
          <w:tcPr>
            <w:tcW w:w="81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5689B4D" w14:textId="77777777" w:rsidR="003B1514" w:rsidRPr="00AA2617" w:rsidRDefault="003B1514" w:rsidP="00AA2617">
            <w:pPr>
              <w:keepNext/>
              <w:keepLines/>
              <w:jc w:val="left"/>
              <w:rPr>
                <w:rFonts w:eastAsia="PMingLiU" w:cs="Times New Roman"/>
                <w:color w:val="0070C0"/>
                <w:lang w:val="en-GB" w:eastAsia="en-GB"/>
              </w:rPr>
            </w:pPr>
            <w:r w:rsidRPr="00AA2617">
              <w:rPr>
                <w:rFonts w:eastAsia="PMingLiU" w:cs="Times New Roman"/>
                <w:color w:val="000000" w:themeColor="text1"/>
                <w:lang w:val="en-GB" w:eastAsia="en-GB"/>
              </w:rPr>
              <w:t>Increased engagement with inter-sectoral coordination mechanisms</w:t>
            </w:r>
          </w:p>
        </w:tc>
        <w:tc>
          <w:tcPr>
            <w:tcW w:w="90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91AC339" w14:textId="77777777" w:rsidR="003B1514" w:rsidRPr="00AA2617" w:rsidRDefault="003B1514" w:rsidP="00AA2617">
            <w:pPr>
              <w:keepNext/>
              <w:keepLines/>
              <w:jc w:val="left"/>
              <w:rPr>
                <w:rFonts w:eastAsia="PMingLiU" w:cs="Times New Roman"/>
                <w:color w:val="0070C0"/>
                <w:lang w:val="en-GB" w:eastAsia="en-GB"/>
              </w:rPr>
            </w:pPr>
            <w:r w:rsidRPr="00AA2617">
              <w:rPr>
                <w:rFonts w:eastAsia="PMingLiU" w:cs="Times New Roman"/>
                <w:color w:val="000000" w:themeColor="text1"/>
                <w:lang w:val="en-GB" w:eastAsia="en-GB"/>
              </w:rPr>
              <w:t>Agricultural and land-use sub-sectors engaging with, benefitting from, and contributing to ETF capacities in other sectors</w:t>
            </w:r>
          </w:p>
        </w:tc>
        <w:tc>
          <w:tcPr>
            <w:tcW w:w="49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2C02AEB" w14:textId="6E2CD005" w:rsidR="003B1514" w:rsidRPr="00AA2617" w:rsidRDefault="003B1514" w:rsidP="00AA2617">
            <w:pPr>
              <w:keepNext/>
              <w:keepLines/>
              <w:jc w:val="left"/>
              <w:rPr>
                <w:rFonts w:eastAsia="PMingLiU" w:cs="Times New Roman"/>
                <w:bCs/>
                <w:color w:val="0070C0"/>
                <w:lang w:val="en-GB" w:eastAsia="en-GB"/>
              </w:rPr>
            </w:pPr>
            <w:r w:rsidRPr="00AA2617">
              <w:rPr>
                <w:rFonts w:eastAsia="PMingLiU" w:cs="Times New Roman"/>
                <w:bCs/>
                <w:color w:val="000000" w:themeColor="text1"/>
                <w:lang w:val="en-GB" w:eastAsia="en-GB"/>
              </w:rPr>
              <w:t>Project reporting; attendance records; presentations/ reports submitted</w:t>
            </w:r>
            <w:r w:rsidR="009178E8" w:rsidRPr="009178E8">
              <w:rPr>
                <w:rFonts w:eastAsia="PMingLiU" w:cs="Times New Roman"/>
                <w:bCs/>
                <w:color w:val="000000" w:themeColor="text1"/>
                <w:lang w:val="en-GB" w:eastAsia="en-GB"/>
              </w:rPr>
              <w:t>, disaggregated by sex.</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13B183E" w14:textId="77777777" w:rsidR="003B1514" w:rsidRPr="00AA2617" w:rsidRDefault="003B1514" w:rsidP="00AA2617">
            <w:pPr>
              <w:keepNext/>
              <w:keepLines/>
              <w:jc w:val="left"/>
              <w:rPr>
                <w:rFonts w:eastAsia="PMingLiU" w:cs="Times New Roman"/>
                <w:color w:val="0070C0"/>
                <w:lang w:val="en-GB" w:eastAsia="en-GB"/>
              </w:rPr>
            </w:pPr>
          </w:p>
        </w:tc>
      </w:tr>
      <w:tr w:rsidR="003B1514" w:rsidRPr="00AA2617" w14:paraId="657E6B50" w14:textId="77777777" w:rsidTr="007A12BA">
        <w:trPr>
          <w:cantSplit/>
          <w:trHeight w:val="312"/>
        </w:trPr>
        <w:tc>
          <w:tcPr>
            <w:tcW w:w="752" w:type="pct"/>
            <w:vMerge/>
            <w:tcBorders>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AAA4F52" w14:textId="77777777" w:rsidR="003B1514" w:rsidRPr="00AA2617" w:rsidRDefault="003B1514" w:rsidP="00AA2617">
            <w:pPr>
              <w:keepLines/>
              <w:jc w:val="left"/>
              <w:rPr>
                <w:rFonts w:eastAsia="PMingLiU" w:cs="Times New Roman"/>
                <w:color w:val="000000" w:themeColor="text1"/>
                <w:szCs w:val="21"/>
                <w:lang w:val="en-GB"/>
              </w:rPr>
            </w:pPr>
          </w:p>
        </w:tc>
        <w:tc>
          <w:tcPr>
            <w:tcW w:w="7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2B1F473" w14:textId="77777777" w:rsidR="003B1514" w:rsidRPr="00AA2617" w:rsidRDefault="003B1514" w:rsidP="00AA2617">
            <w:pPr>
              <w:keepLines/>
              <w:jc w:val="left"/>
              <w:rPr>
                <w:rFonts w:cs="Times New Roman"/>
                <w:color w:val="000000"/>
                <w:lang w:val="en-GB"/>
              </w:rPr>
            </w:pPr>
            <w:r w:rsidRPr="00AA2617">
              <w:rPr>
                <w:rFonts w:cs="Times New Roman"/>
                <w:b/>
                <w:color w:val="000000"/>
                <w:lang w:val="en-GB"/>
              </w:rPr>
              <w:t>F:</w:t>
            </w:r>
            <w:r w:rsidRPr="00AA2617">
              <w:rPr>
                <w:rFonts w:cs="Times New Roman"/>
                <w:color w:val="000000"/>
                <w:lang w:val="en-GB"/>
              </w:rPr>
              <w:t xml:space="preserve">  Degree of engagement with regional and global ETF counterparts</w:t>
            </w:r>
          </w:p>
        </w:tc>
        <w:tc>
          <w:tcPr>
            <w:tcW w:w="779"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FFBBCB1" w14:textId="77777777" w:rsidR="003B1514" w:rsidRPr="00AA2617" w:rsidRDefault="003B1514" w:rsidP="00AA2617">
            <w:pPr>
              <w:keepLines/>
              <w:jc w:val="left"/>
              <w:rPr>
                <w:rFonts w:cs="Times New Roman"/>
                <w:color w:val="000000"/>
                <w:lang w:val="en-GB"/>
              </w:rPr>
            </w:pPr>
            <w:r w:rsidRPr="00AA2617">
              <w:rPr>
                <w:rFonts w:eastAsia="PMingLiU" w:cs="Times New Roman"/>
                <w:color w:val="000000" w:themeColor="text1"/>
                <w:lang w:val="en-GB" w:eastAsia="en-GB"/>
              </w:rPr>
              <w:t>Agricultural and land-use sub-sectors minimally contributing to ETF capacities of regional and global counterparts</w:t>
            </w:r>
          </w:p>
        </w:tc>
        <w:tc>
          <w:tcPr>
            <w:tcW w:w="81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7828EC5" w14:textId="77777777" w:rsidR="003B1514" w:rsidRPr="00AA2617" w:rsidRDefault="003B1514" w:rsidP="00AA2617">
            <w:pPr>
              <w:keepLines/>
              <w:jc w:val="left"/>
              <w:rPr>
                <w:rFonts w:eastAsia="PMingLiU" w:cs="Times New Roman"/>
                <w:color w:val="000000" w:themeColor="text1"/>
                <w:lang w:val="en-GB" w:eastAsia="en-GB"/>
              </w:rPr>
            </w:pPr>
            <w:r w:rsidRPr="00AA2617">
              <w:rPr>
                <w:rFonts w:eastAsia="PMingLiU" w:cs="Times New Roman"/>
                <w:color w:val="000000" w:themeColor="text1"/>
                <w:lang w:val="en-GB" w:eastAsia="en-GB"/>
              </w:rPr>
              <w:t>Increased engagement with regional and global ETF coordination mechanisms</w:t>
            </w:r>
          </w:p>
        </w:tc>
        <w:tc>
          <w:tcPr>
            <w:tcW w:w="90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6ABE571" w14:textId="77777777" w:rsidR="003B1514" w:rsidRPr="00AA2617" w:rsidRDefault="003B1514" w:rsidP="00AA2617">
            <w:pPr>
              <w:keepLines/>
              <w:jc w:val="left"/>
              <w:rPr>
                <w:rFonts w:eastAsia="PMingLiU" w:cs="Times New Roman"/>
                <w:color w:val="000000" w:themeColor="text1"/>
                <w:lang w:val="en-GB" w:eastAsia="en-GB"/>
              </w:rPr>
            </w:pPr>
            <w:r w:rsidRPr="00AA2617">
              <w:rPr>
                <w:rFonts w:eastAsia="PMingLiU" w:cs="Times New Roman"/>
                <w:color w:val="000000" w:themeColor="text1"/>
                <w:lang w:val="en-GB" w:eastAsia="en-GB"/>
              </w:rPr>
              <w:t>Agricultural and land-use sub-sectors engaging with, benefitting from, and contributing to ETF capacities of regional and global counterparts; at least 1 formal document of best practices and lessons learned shared; at least 2 specific summaries/ case studies of lessons learned circulated; regular engagement with established coordination mechanisms</w:t>
            </w:r>
          </w:p>
        </w:tc>
        <w:tc>
          <w:tcPr>
            <w:tcW w:w="49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B8E2400" w14:textId="0CFE4C66" w:rsidR="003B1514" w:rsidRPr="00AA2617" w:rsidRDefault="003B1514" w:rsidP="00AA2617">
            <w:pPr>
              <w:keepLines/>
              <w:jc w:val="left"/>
              <w:rPr>
                <w:rFonts w:eastAsia="PMingLiU" w:cs="Times New Roman"/>
                <w:bCs/>
                <w:color w:val="000000" w:themeColor="text1"/>
                <w:lang w:val="en-GB" w:eastAsia="en-GB"/>
              </w:rPr>
            </w:pPr>
            <w:r w:rsidRPr="00AA2617">
              <w:rPr>
                <w:rFonts w:eastAsia="PMingLiU" w:cs="Times New Roman"/>
                <w:bCs/>
                <w:color w:val="000000" w:themeColor="text1"/>
                <w:lang w:val="en-GB" w:eastAsia="en-GB"/>
              </w:rPr>
              <w:t>Project reporting; attendance records; presentations/ reports submitted</w:t>
            </w:r>
            <w:r w:rsidR="009178E8" w:rsidRPr="009178E8">
              <w:rPr>
                <w:rFonts w:eastAsia="PMingLiU" w:cs="Times New Roman"/>
                <w:bCs/>
                <w:color w:val="000000" w:themeColor="text1"/>
                <w:lang w:val="en-GB" w:eastAsia="en-GB"/>
              </w:rPr>
              <w:t>, disaggregated by sex.</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707E8E5" w14:textId="77777777" w:rsidR="003B1514" w:rsidRPr="00AA2617" w:rsidRDefault="003B1514" w:rsidP="00AA2617">
            <w:pPr>
              <w:keepLines/>
              <w:jc w:val="left"/>
              <w:rPr>
                <w:rFonts w:eastAsia="PMingLiU" w:cs="Times New Roman"/>
                <w:color w:val="000000" w:themeColor="text1"/>
                <w:lang w:val="en-GB" w:eastAsia="en-GB"/>
              </w:rPr>
            </w:pPr>
            <w:r w:rsidRPr="00AA2617">
              <w:rPr>
                <w:rFonts w:eastAsia="PMingLiU" w:cs="Times New Roman"/>
                <w:color w:val="000000" w:themeColor="text1"/>
                <w:lang w:val="en-GB" w:eastAsia="en-GB"/>
              </w:rPr>
              <w:t>Global CBIT projects facilitate engagement with regional and global counterparts</w:t>
            </w:r>
          </w:p>
        </w:tc>
      </w:tr>
      <w:tr w:rsidR="003B1514" w:rsidRPr="00AA2617" w14:paraId="7DAD2B6A" w14:textId="77777777" w:rsidTr="007A12BA">
        <w:trPr>
          <w:trHeight w:val="312"/>
        </w:trPr>
        <w:tc>
          <w:tcPr>
            <w:tcW w:w="5000" w:type="pct"/>
            <w:gridSpan w:val="7"/>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B4C6E7" w:themeFill="accent1" w:themeFillTint="66"/>
            <w:vAlign w:val="center"/>
          </w:tcPr>
          <w:p w14:paraId="3DE7B8E6" w14:textId="77777777" w:rsidR="003B1514" w:rsidRPr="00AA2617" w:rsidRDefault="003B1514" w:rsidP="00AA2617">
            <w:pPr>
              <w:rPr>
                <w:rFonts w:eastAsia="Times New Roman" w:cs="Times New Roman"/>
                <w:szCs w:val="24"/>
              </w:rPr>
            </w:pPr>
            <w:r w:rsidRPr="00AA2617">
              <w:rPr>
                <w:rFonts w:eastAsia="PMingLiU" w:cs="Times New Roman"/>
                <w:b/>
                <w:noProof/>
                <w:color w:val="000000" w:themeColor="text1"/>
                <w:szCs w:val="21"/>
                <w:lang w:val="en-GB" w:eastAsia="en-GB"/>
              </w:rPr>
              <w:t>Component 2:</w:t>
            </w:r>
            <w:r w:rsidRPr="00AA2617">
              <w:rPr>
                <w:rFonts w:eastAsia="PMingLiU" w:cs="Times New Roman"/>
                <w:noProof/>
                <w:color w:val="000000" w:themeColor="text1"/>
                <w:szCs w:val="21"/>
                <w:lang w:val="en-GB" w:eastAsia="en-GB"/>
              </w:rPr>
              <w:t xml:space="preserve">  </w:t>
            </w:r>
            <w:r w:rsidRPr="00AA2617">
              <w:rPr>
                <w:rFonts w:cs="Times New Roman"/>
                <w:color w:val="000000"/>
                <w:szCs w:val="24"/>
              </w:rPr>
              <w:t>Capacity to assess and report emissions and removals from agriculture and land-use sectors and to design and monitor related emission reduction activities strengthened</w:t>
            </w:r>
          </w:p>
        </w:tc>
      </w:tr>
      <w:tr w:rsidR="003B1514" w:rsidRPr="00AA2617" w14:paraId="41456F76" w14:textId="77777777" w:rsidTr="007A12BA">
        <w:trPr>
          <w:cantSplit/>
          <w:trHeight w:val="312"/>
        </w:trPr>
        <w:tc>
          <w:tcPr>
            <w:tcW w:w="752" w:type="pct"/>
            <w:vMerge w:val="restart"/>
            <w:tcBorders>
              <w:top w:val="single" w:sz="4" w:space="0" w:color="323E4F" w:themeColor="text2" w:themeShade="BF"/>
              <w:left w:val="single" w:sz="4" w:space="0" w:color="323E4F" w:themeColor="text2" w:themeShade="BF"/>
              <w:right w:val="single" w:sz="4" w:space="0" w:color="323E4F" w:themeColor="text2" w:themeShade="BF"/>
            </w:tcBorders>
            <w:shd w:val="clear" w:color="auto" w:fill="FFFFFF"/>
          </w:tcPr>
          <w:p w14:paraId="776775DE" w14:textId="77777777" w:rsidR="003B1514" w:rsidRPr="00AA2617" w:rsidRDefault="003B1514" w:rsidP="00AA2617">
            <w:pPr>
              <w:spacing w:before="120"/>
            </w:pPr>
            <w:r w:rsidRPr="00AA2617">
              <w:rPr>
                <w:rFonts w:eastAsia="PMingLiU" w:cs="Times New Roman"/>
                <w:b/>
                <w:color w:val="000000" w:themeColor="text1"/>
                <w:szCs w:val="21"/>
                <w:lang w:val="en-GB"/>
              </w:rPr>
              <w:lastRenderedPageBreak/>
              <w:t>Outcome 2.1:</w:t>
            </w:r>
            <w:r w:rsidRPr="00AA2617">
              <w:rPr>
                <w:rFonts w:eastAsia="PMingLiU" w:cs="Times New Roman"/>
                <w:color w:val="000000" w:themeColor="text1"/>
                <w:szCs w:val="21"/>
                <w:lang w:val="en-GB"/>
              </w:rPr>
              <w:t xml:space="preserve">  </w:t>
            </w:r>
            <w:r w:rsidRPr="00AA2617">
              <w:t>Reporting on inventories of emissions sources and sinks and mitigation activities from agriculture and land-use sectors strengthened</w:t>
            </w:r>
          </w:p>
          <w:p w14:paraId="5721C94C" w14:textId="77777777" w:rsidR="003B1514" w:rsidRPr="00AA2617" w:rsidRDefault="003B1514" w:rsidP="00AA2617">
            <w:pPr>
              <w:keepLines/>
              <w:jc w:val="left"/>
              <w:rPr>
                <w:rFonts w:eastAsia="PMingLiU" w:cs="Times New Roman"/>
                <w:color w:val="000000" w:themeColor="text1"/>
                <w:szCs w:val="21"/>
              </w:rPr>
            </w:pPr>
          </w:p>
        </w:tc>
        <w:tc>
          <w:tcPr>
            <w:tcW w:w="7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63447FE" w14:textId="77777777" w:rsidR="003B1514" w:rsidRPr="00AA2617" w:rsidRDefault="003B1514" w:rsidP="00AA2617">
            <w:pPr>
              <w:keepNext/>
              <w:keepLines/>
              <w:jc w:val="left"/>
              <w:rPr>
                <w:lang w:val="en-GB"/>
              </w:rPr>
            </w:pPr>
            <w:r w:rsidRPr="00AA2617">
              <w:rPr>
                <w:rFonts w:cs="Times New Roman"/>
                <w:b/>
                <w:color w:val="000000"/>
                <w:lang w:val="en-GB"/>
              </w:rPr>
              <w:t>G:</w:t>
            </w:r>
            <w:r w:rsidRPr="00AA2617">
              <w:rPr>
                <w:rFonts w:cs="Times New Roman"/>
                <w:color w:val="000000"/>
                <w:lang w:val="en-GB"/>
              </w:rPr>
              <w:t xml:space="preserve">  AFOLU CCM component of CBIT Tracking Tool Indicator 3:  </w:t>
            </w:r>
            <w:r w:rsidRPr="00AA2617">
              <w:rPr>
                <w:lang w:val="en-GB"/>
              </w:rPr>
              <w:t>Quality of MRV systems</w:t>
            </w:r>
          </w:p>
          <w:p w14:paraId="5EBABDE1" w14:textId="77777777" w:rsidR="003B1514" w:rsidRPr="00AA2617" w:rsidRDefault="003B1514" w:rsidP="00AA2617">
            <w:pPr>
              <w:keepNext/>
              <w:keepLines/>
              <w:jc w:val="left"/>
              <w:rPr>
                <w:lang w:val="en-GB"/>
              </w:rPr>
            </w:pPr>
          </w:p>
          <w:p w14:paraId="3D133C14" w14:textId="77777777" w:rsidR="003B1514" w:rsidRPr="00AA2617" w:rsidRDefault="003B1514" w:rsidP="00AA2617">
            <w:pPr>
              <w:keepLines/>
              <w:jc w:val="left"/>
              <w:rPr>
                <w:rFonts w:cs="Times New Roman"/>
                <w:color w:val="BFBFBF" w:themeColor="background1" w:themeShade="BF"/>
                <w:szCs w:val="21"/>
                <w:lang w:val="en-GB"/>
              </w:rPr>
            </w:pPr>
            <w:r w:rsidRPr="00AA2617">
              <w:rPr>
                <w:lang w:val="en-GB"/>
              </w:rPr>
              <w:t>(Scale:  1 – 10)</w:t>
            </w:r>
          </w:p>
        </w:tc>
        <w:tc>
          <w:tcPr>
            <w:tcW w:w="779"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5F48EDA" w14:textId="77777777" w:rsidR="003B1514" w:rsidRPr="00AA2617" w:rsidRDefault="003B1514" w:rsidP="00AA2617">
            <w:pPr>
              <w:keepLines/>
              <w:jc w:val="left"/>
              <w:rPr>
                <w:rFonts w:eastAsia="PMingLiU" w:cs="Times New Roman"/>
                <w:noProof/>
                <w:color w:val="BFBFBF" w:themeColor="background1" w:themeShade="BF"/>
                <w:szCs w:val="21"/>
                <w:lang w:val="en-GB" w:eastAsia="en-GB"/>
              </w:rPr>
            </w:pPr>
            <w:r w:rsidRPr="00AA2617">
              <w:rPr>
                <w:lang w:val="en-GB"/>
              </w:rPr>
              <w:t>3:  AFOLU CCM measurement systems are in place for a few activities, improved data quality and methodologies, but not cost or time efficient; wider access to reporting is still limited and information is partial; verification is rudimentary/ non-standardized</w:t>
            </w:r>
          </w:p>
        </w:tc>
        <w:tc>
          <w:tcPr>
            <w:tcW w:w="81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21914E4" w14:textId="77777777" w:rsidR="003B1514" w:rsidRPr="00AA2617" w:rsidRDefault="003B1514" w:rsidP="00AA2617">
            <w:pPr>
              <w:keepLines/>
              <w:jc w:val="left"/>
              <w:rPr>
                <w:rFonts w:eastAsia="PMingLiU" w:cs="Times New Roman"/>
                <w:noProof/>
                <w:color w:val="BFBFBF" w:themeColor="background1" w:themeShade="BF"/>
                <w:szCs w:val="21"/>
                <w:lang w:val="en-GB" w:eastAsia="en-GB"/>
              </w:rPr>
            </w:pPr>
            <w:r w:rsidRPr="00AA2617">
              <w:rPr>
                <w:lang w:val="en-GB"/>
              </w:rPr>
              <w:t>3:  AFOLU CCM measurement systems are in place for a few activities, improved data quality and methodologies, but not cost or time efficient; wider access to reporting is still limited and information is partial; verification is rudimentary/ non-standardized</w:t>
            </w:r>
          </w:p>
        </w:tc>
        <w:tc>
          <w:tcPr>
            <w:tcW w:w="90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743448D" w14:textId="77777777" w:rsidR="003B1514" w:rsidRPr="00AA2617" w:rsidRDefault="003B1514" w:rsidP="00AA2617">
            <w:pPr>
              <w:keepLines/>
              <w:jc w:val="left"/>
              <w:rPr>
                <w:lang w:val="en-GB"/>
              </w:rPr>
            </w:pPr>
            <w:r w:rsidRPr="00AA2617">
              <w:rPr>
                <w:lang w:val="en-GB"/>
              </w:rPr>
              <w:t>6:  AFOLU CCM measurement systems are strong and cover a greater percentage of activities – feedback loops exist even if they are not fully functioning; reporting is available through multiple pathways and formats but may not be complete/ transparent; verification is done through standard methodologies but only partially (i.e. not all data are verifiable)</w:t>
            </w:r>
          </w:p>
          <w:p w14:paraId="3AA980E8" w14:textId="77777777" w:rsidR="003B1514" w:rsidRPr="00AA2617" w:rsidRDefault="003B1514" w:rsidP="00AA2617">
            <w:pPr>
              <w:keepLines/>
              <w:jc w:val="left"/>
              <w:rPr>
                <w:lang w:val="en-GB"/>
              </w:rPr>
            </w:pPr>
          </w:p>
          <w:p w14:paraId="13C31A27" w14:textId="77777777" w:rsidR="003B1514" w:rsidRPr="00AA2617" w:rsidRDefault="003B1514" w:rsidP="00AA2617">
            <w:pPr>
              <w:keepLines/>
              <w:jc w:val="left"/>
              <w:rPr>
                <w:rFonts w:eastAsia="PMingLiU" w:cs="Times New Roman"/>
                <w:noProof/>
                <w:color w:val="BFBFBF" w:themeColor="background1" w:themeShade="BF"/>
                <w:szCs w:val="21"/>
                <w:lang w:val="en-GB" w:eastAsia="en-GB"/>
              </w:rPr>
            </w:pPr>
            <w:r w:rsidRPr="00AA2617">
              <w:rPr>
                <w:lang w:val="en-GB"/>
              </w:rPr>
              <w:t>[Verification is expected to be the constraint at this stage.]</w:t>
            </w:r>
          </w:p>
        </w:tc>
        <w:tc>
          <w:tcPr>
            <w:tcW w:w="49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ECF03CA" w14:textId="77777777" w:rsidR="003B1514" w:rsidRPr="00AA2617" w:rsidRDefault="003B1514" w:rsidP="00AA2617">
            <w:pPr>
              <w:keepLines/>
              <w:jc w:val="left"/>
              <w:rPr>
                <w:rFonts w:eastAsia="PMingLiU" w:cs="Times New Roman"/>
                <w:bCs/>
                <w:noProof/>
                <w:color w:val="BFBFBF" w:themeColor="background1" w:themeShade="BF"/>
                <w:szCs w:val="21"/>
                <w:lang w:val="en-GB" w:eastAsia="en-GB"/>
              </w:rPr>
            </w:pPr>
            <w:r w:rsidRPr="00AA2617">
              <w:rPr>
                <w:rFonts w:eastAsia="PMingLiU" w:cs="Times New Roman"/>
                <w:bCs/>
                <w:lang w:val="en-GB" w:eastAsia="en-GB"/>
              </w:rPr>
              <w:t>IPCC MRV assessment tool (see Annex 3); MRV portal functionality (see Activity 1.1.2.6)</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6D12A03" w14:textId="77777777" w:rsidR="003B1514" w:rsidRPr="00AA2617" w:rsidRDefault="003B1514" w:rsidP="00AA2617">
            <w:pPr>
              <w:keepLines/>
              <w:jc w:val="left"/>
              <w:rPr>
                <w:rFonts w:eastAsia="PMingLiU" w:cs="Times New Roman"/>
                <w:noProof/>
                <w:color w:val="BFBFBF" w:themeColor="background1" w:themeShade="BF"/>
                <w:szCs w:val="21"/>
                <w:lang w:val="en-GB" w:eastAsia="en-GB"/>
              </w:rPr>
            </w:pPr>
          </w:p>
        </w:tc>
      </w:tr>
      <w:tr w:rsidR="003B1514" w:rsidRPr="00AA2617" w14:paraId="54EFF33B" w14:textId="77777777" w:rsidTr="007A12BA">
        <w:trPr>
          <w:cantSplit/>
          <w:trHeight w:val="312"/>
        </w:trPr>
        <w:tc>
          <w:tcPr>
            <w:tcW w:w="752" w:type="pct"/>
            <w:vMerge/>
            <w:tcBorders>
              <w:left w:val="single" w:sz="4" w:space="0" w:color="323E4F" w:themeColor="text2" w:themeShade="BF"/>
              <w:right w:val="single" w:sz="4" w:space="0" w:color="323E4F" w:themeColor="text2" w:themeShade="BF"/>
            </w:tcBorders>
            <w:shd w:val="clear" w:color="auto" w:fill="FFFFFF"/>
          </w:tcPr>
          <w:p w14:paraId="1FD1C874" w14:textId="77777777" w:rsidR="003B1514" w:rsidRPr="00AA2617" w:rsidRDefault="003B1514" w:rsidP="00AA2617">
            <w:pPr>
              <w:keepLines/>
              <w:rPr>
                <w:rFonts w:eastAsia="PMingLiU" w:cs="Times New Roman"/>
                <w:color w:val="000000" w:themeColor="text1"/>
                <w:szCs w:val="21"/>
                <w:lang w:val="en-GB"/>
              </w:rPr>
            </w:pPr>
          </w:p>
        </w:tc>
        <w:tc>
          <w:tcPr>
            <w:tcW w:w="7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E03C1A9" w14:textId="77777777" w:rsidR="003B1514" w:rsidRPr="00AA2617" w:rsidRDefault="003B1514" w:rsidP="00AA2617">
            <w:pPr>
              <w:keepLines/>
              <w:jc w:val="left"/>
              <w:rPr>
                <w:lang w:val="en-GB"/>
              </w:rPr>
            </w:pPr>
            <w:r w:rsidRPr="00AA2617">
              <w:rPr>
                <w:b/>
                <w:lang w:val="en-GB"/>
              </w:rPr>
              <w:t>H:</w:t>
            </w:r>
            <w:r w:rsidRPr="00AA2617">
              <w:rPr>
                <w:lang w:val="en-GB"/>
              </w:rPr>
              <w:t xml:space="preserve">  Availability of formal, adopted metadata parameters and QC protocols for agricultural and land-use sub-sectors</w:t>
            </w:r>
          </w:p>
        </w:tc>
        <w:tc>
          <w:tcPr>
            <w:tcW w:w="779"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1296117" w14:textId="77777777" w:rsidR="003B1514" w:rsidRPr="00AA2617" w:rsidRDefault="003B1514" w:rsidP="00AA2617">
            <w:pPr>
              <w:keepLines/>
              <w:jc w:val="left"/>
              <w:rPr>
                <w:rFonts w:eastAsia="PMingLiU" w:cs="Times New Roman"/>
                <w:color w:val="0070C0"/>
                <w:lang w:val="en-GB" w:eastAsia="en-GB"/>
              </w:rPr>
            </w:pPr>
            <w:r w:rsidRPr="00AA2617">
              <w:rPr>
                <w:rFonts w:eastAsia="PMingLiU" w:cs="Times New Roman"/>
                <w:lang w:val="en-GB" w:eastAsia="en-GB"/>
              </w:rPr>
              <w:t>None</w:t>
            </w:r>
          </w:p>
        </w:tc>
        <w:tc>
          <w:tcPr>
            <w:tcW w:w="81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B7E6A07" w14:textId="77777777" w:rsidR="003B1514" w:rsidRPr="00AA2617" w:rsidRDefault="003B1514" w:rsidP="00AA2617">
            <w:pPr>
              <w:keepLines/>
              <w:jc w:val="left"/>
              <w:rPr>
                <w:rFonts w:eastAsia="PMingLiU" w:cs="Times New Roman"/>
                <w:color w:val="0070C0"/>
                <w:lang w:val="en-GB" w:eastAsia="en-GB"/>
              </w:rPr>
            </w:pPr>
            <w:r w:rsidRPr="00AA2617">
              <w:rPr>
                <w:rFonts w:eastAsia="PMingLiU" w:cs="Times New Roman"/>
                <w:lang w:val="en-GB" w:eastAsia="en-GB"/>
              </w:rPr>
              <w:t>Drafted by TWG</w:t>
            </w:r>
          </w:p>
        </w:tc>
        <w:tc>
          <w:tcPr>
            <w:tcW w:w="90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BB64AA3" w14:textId="77777777" w:rsidR="003B1514" w:rsidRPr="00AA2617" w:rsidRDefault="003B1514" w:rsidP="00AA2617">
            <w:pPr>
              <w:keepLines/>
              <w:jc w:val="left"/>
              <w:rPr>
                <w:rFonts w:eastAsia="PMingLiU" w:cs="Times New Roman"/>
                <w:color w:val="0070C0"/>
                <w:lang w:val="en-GB" w:eastAsia="en-GB"/>
              </w:rPr>
            </w:pPr>
            <w:r w:rsidRPr="00AA2617">
              <w:rPr>
                <w:rFonts w:eastAsia="PMingLiU" w:cs="Times New Roman"/>
                <w:lang w:val="en-GB" w:eastAsia="en-GB"/>
              </w:rPr>
              <w:t>Endorsed and adopted by relevant stakeholders</w:t>
            </w:r>
          </w:p>
        </w:tc>
        <w:tc>
          <w:tcPr>
            <w:tcW w:w="49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B5A281F" w14:textId="77777777" w:rsidR="003B1514" w:rsidRPr="00AA2617" w:rsidRDefault="003B1514" w:rsidP="00AA2617">
            <w:pPr>
              <w:keepLines/>
              <w:jc w:val="left"/>
              <w:rPr>
                <w:rFonts w:eastAsia="PMingLiU" w:cs="Times New Roman"/>
                <w:bCs/>
                <w:lang w:val="en-GB" w:eastAsia="en-GB"/>
              </w:rPr>
            </w:pPr>
            <w:r w:rsidRPr="00AA2617">
              <w:rPr>
                <w:rFonts w:eastAsia="PMingLiU" w:cs="Times New Roman"/>
                <w:bCs/>
                <w:lang w:val="en-GB" w:eastAsia="en-GB"/>
              </w:rPr>
              <w:t>NCCMF; publication of protocols; formal endorsements of relevant stakeholders</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1CC1E160" w14:textId="77777777" w:rsidR="003B1514" w:rsidRPr="00AA2617" w:rsidRDefault="003B1514" w:rsidP="00AA2617">
            <w:pPr>
              <w:keepLines/>
              <w:jc w:val="left"/>
              <w:rPr>
                <w:rFonts w:eastAsia="PMingLiU" w:cs="Times New Roman"/>
                <w:color w:val="0070C0"/>
                <w:lang w:val="en-GB" w:eastAsia="en-GB"/>
              </w:rPr>
            </w:pPr>
            <w:r w:rsidRPr="00AA2617">
              <w:rPr>
                <w:rFonts w:eastAsia="PMingLiU" w:cs="Times New Roman"/>
                <w:lang w:val="en-GB" w:eastAsia="en-GB"/>
              </w:rPr>
              <w:t>Stakeholders assured of sufficient, reliable support for their obligations under the protocols</w:t>
            </w:r>
          </w:p>
        </w:tc>
      </w:tr>
      <w:tr w:rsidR="003B1514" w:rsidRPr="00AA2617" w14:paraId="12CB2F5D" w14:textId="77777777" w:rsidTr="007A12BA">
        <w:trPr>
          <w:cantSplit/>
          <w:trHeight w:val="312"/>
        </w:trPr>
        <w:tc>
          <w:tcPr>
            <w:tcW w:w="752" w:type="pct"/>
            <w:vMerge/>
            <w:tcBorders>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14530E58" w14:textId="77777777" w:rsidR="003B1514" w:rsidRPr="00AA2617" w:rsidRDefault="003B1514" w:rsidP="00AA2617">
            <w:pPr>
              <w:keepLines/>
              <w:rPr>
                <w:rFonts w:eastAsia="PMingLiU" w:cs="Times New Roman"/>
                <w:color w:val="000000" w:themeColor="text1"/>
                <w:szCs w:val="21"/>
                <w:lang w:val="en-GB"/>
              </w:rPr>
            </w:pPr>
          </w:p>
        </w:tc>
        <w:tc>
          <w:tcPr>
            <w:tcW w:w="7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159F0FA" w14:textId="77777777" w:rsidR="003B1514" w:rsidRPr="00AA2617" w:rsidRDefault="003B1514" w:rsidP="00AA2617">
            <w:pPr>
              <w:keepLines/>
              <w:jc w:val="left"/>
              <w:rPr>
                <w:lang w:val="en-GB"/>
              </w:rPr>
            </w:pPr>
            <w:r w:rsidRPr="00AA2617">
              <w:rPr>
                <w:b/>
                <w:lang w:val="en-GB"/>
              </w:rPr>
              <w:t>I:</w:t>
            </w:r>
            <w:r w:rsidRPr="00AA2617">
              <w:rPr>
                <w:lang w:val="en-GB"/>
              </w:rPr>
              <w:t xml:space="preserve">  Sufficiency of technical and human capacities to enact CCM-related QC protocols for agricultural and land-use sub-sectors</w:t>
            </w:r>
          </w:p>
        </w:tc>
        <w:tc>
          <w:tcPr>
            <w:tcW w:w="779"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27E8AB4" w14:textId="77777777" w:rsidR="003B1514" w:rsidRPr="00AA2617" w:rsidRDefault="003B1514" w:rsidP="00AA2617">
            <w:pPr>
              <w:keepLines/>
              <w:jc w:val="left"/>
              <w:rPr>
                <w:rFonts w:eastAsia="PMingLiU" w:cs="Times New Roman"/>
                <w:lang w:val="en-GB" w:eastAsia="en-GB"/>
              </w:rPr>
            </w:pPr>
            <w:r w:rsidRPr="00AA2617">
              <w:rPr>
                <w:rFonts w:eastAsia="PMingLiU" w:cs="Times New Roman"/>
                <w:lang w:val="en-GB" w:eastAsia="en-GB"/>
              </w:rPr>
              <w:t>Very low, particularly for decentralized locations</w:t>
            </w:r>
          </w:p>
        </w:tc>
        <w:tc>
          <w:tcPr>
            <w:tcW w:w="81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B9BD3BC" w14:textId="77777777" w:rsidR="003B1514" w:rsidRPr="00AA2617" w:rsidRDefault="003B1514" w:rsidP="00AA2617">
            <w:pPr>
              <w:keepLines/>
              <w:jc w:val="left"/>
              <w:rPr>
                <w:rFonts w:eastAsia="PMingLiU" w:cs="Times New Roman"/>
                <w:lang w:val="en-GB" w:eastAsia="en-GB"/>
              </w:rPr>
            </w:pPr>
            <w:r w:rsidRPr="00AA2617">
              <w:rPr>
                <w:rFonts w:eastAsia="PMingLiU" w:cs="Times New Roman"/>
                <w:lang w:val="en-GB" w:eastAsia="en-GB"/>
              </w:rPr>
              <w:t>Technological needs determined based on drafted protocols; materials developed for human needs</w:t>
            </w:r>
          </w:p>
        </w:tc>
        <w:tc>
          <w:tcPr>
            <w:tcW w:w="90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416C3EB" w14:textId="77777777" w:rsidR="003B1514" w:rsidRPr="00AA2617" w:rsidRDefault="003B1514" w:rsidP="00AA2617">
            <w:pPr>
              <w:keepLines/>
              <w:jc w:val="left"/>
              <w:rPr>
                <w:rFonts w:eastAsia="PMingLiU" w:cs="Times New Roman"/>
                <w:lang w:val="en-GB" w:eastAsia="en-GB"/>
              </w:rPr>
            </w:pPr>
            <w:r w:rsidRPr="00AA2617">
              <w:rPr>
                <w:rFonts w:eastAsia="PMingLiU" w:cs="Times New Roman"/>
                <w:lang w:val="en-GB" w:eastAsia="en-GB"/>
              </w:rPr>
              <w:t>High for all stakeholders with direct relevance to the NCCMF protocols</w:t>
            </w:r>
          </w:p>
        </w:tc>
        <w:tc>
          <w:tcPr>
            <w:tcW w:w="49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6866D913" w14:textId="0D73AD0B" w:rsidR="003B1514" w:rsidRPr="00AA2617" w:rsidRDefault="003B1514" w:rsidP="00AA2617">
            <w:pPr>
              <w:keepLines/>
              <w:jc w:val="left"/>
              <w:rPr>
                <w:rFonts w:eastAsia="PMingLiU" w:cs="Times New Roman"/>
                <w:bCs/>
                <w:lang w:val="en-GB" w:eastAsia="en-GB"/>
              </w:rPr>
            </w:pPr>
            <w:r w:rsidRPr="00AA2617">
              <w:rPr>
                <w:rFonts w:eastAsia="PMingLiU" w:cs="Times New Roman"/>
                <w:bCs/>
                <w:lang w:val="en-GB" w:eastAsia="en-GB"/>
              </w:rPr>
              <w:t>Training records; procurement records; outcomes of pilots</w:t>
            </w:r>
            <w:r w:rsidR="009178E8" w:rsidRPr="009178E8">
              <w:rPr>
                <w:rFonts w:eastAsia="PMingLiU" w:cs="Times New Roman"/>
                <w:bCs/>
                <w:color w:val="000000" w:themeColor="text1"/>
                <w:lang w:val="en-GB" w:eastAsia="en-GB"/>
              </w:rPr>
              <w:t>, disaggregated by sex.</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4CA28B6A" w14:textId="77777777" w:rsidR="003B1514" w:rsidRPr="00AA2617" w:rsidRDefault="003B1514" w:rsidP="00AA2617">
            <w:pPr>
              <w:keepLines/>
              <w:jc w:val="left"/>
              <w:rPr>
                <w:rFonts w:eastAsia="PMingLiU" w:cs="Times New Roman"/>
                <w:lang w:val="en-GB" w:eastAsia="en-GB"/>
              </w:rPr>
            </w:pPr>
            <w:r w:rsidRPr="00AA2617">
              <w:rPr>
                <w:rFonts w:eastAsia="PMingLiU" w:cs="Times New Roman"/>
                <w:lang w:val="en-GB" w:eastAsia="en-GB"/>
              </w:rPr>
              <w:t>Staff turnover will not undercut capacity development; post-project funding will support operation and maintenance</w:t>
            </w:r>
          </w:p>
        </w:tc>
      </w:tr>
      <w:tr w:rsidR="003B1514" w:rsidRPr="00AA2617" w14:paraId="3A9BAC3F" w14:textId="77777777" w:rsidTr="007A12BA">
        <w:trPr>
          <w:trHeight w:val="312"/>
        </w:trPr>
        <w:tc>
          <w:tcPr>
            <w:tcW w:w="5000" w:type="pct"/>
            <w:gridSpan w:val="7"/>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B4C6E7" w:themeFill="accent1" w:themeFillTint="66"/>
            <w:vAlign w:val="center"/>
          </w:tcPr>
          <w:p w14:paraId="17E4ABB3" w14:textId="77777777" w:rsidR="003B1514" w:rsidRPr="00AA2617" w:rsidRDefault="003B1514" w:rsidP="00AA2617">
            <w:pPr>
              <w:rPr>
                <w:rFonts w:eastAsia="Times New Roman" w:cs="Times New Roman"/>
                <w:szCs w:val="24"/>
              </w:rPr>
            </w:pPr>
            <w:r w:rsidRPr="00AA2617">
              <w:rPr>
                <w:rFonts w:eastAsia="PMingLiU" w:cs="Times New Roman"/>
                <w:b/>
                <w:noProof/>
                <w:color w:val="000000" w:themeColor="text1"/>
                <w:szCs w:val="21"/>
                <w:lang w:val="en-GB" w:eastAsia="en-GB"/>
              </w:rPr>
              <w:t>Component 3:</w:t>
            </w:r>
            <w:r w:rsidRPr="00AA2617">
              <w:rPr>
                <w:rFonts w:eastAsia="PMingLiU" w:cs="Times New Roman"/>
                <w:noProof/>
                <w:color w:val="000000" w:themeColor="text1"/>
                <w:szCs w:val="21"/>
                <w:lang w:val="en-GB" w:eastAsia="en-GB"/>
              </w:rPr>
              <w:t xml:space="preserve">  </w:t>
            </w:r>
            <w:r w:rsidRPr="00AA2617">
              <w:rPr>
                <w:rFonts w:cs="Times New Roman"/>
                <w:color w:val="000000"/>
                <w:szCs w:val="24"/>
              </w:rPr>
              <w:t xml:space="preserve">Capacity to implement, monitor and report </w:t>
            </w:r>
            <w:r w:rsidRPr="00AA2617">
              <w:rPr>
                <w:rFonts w:cs="Times New Roman"/>
                <w:i/>
                <w:color w:val="000000"/>
                <w:szCs w:val="24"/>
              </w:rPr>
              <w:t xml:space="preserve">adaptation </w:t>
            </w:r>
            <w:r w:rsidRPr="00AA2617">
              <w:rPr>
                <w:rFonts w:cs="Times New Roman"/>
                <w:color w:val="000000"/>
                <w:szCs w:val="24"/>
              </w:rPr>
              <w:t>activities and actions in agriculture and land-use sectors strengthened</w:t>
            </w:r>
          </w:p>
        </w:tc>
      </w:tr>
      <w:tr w:rsidR="003B1514" w:rsidRPr="00AA2617" w14:paraId="07A8D473" w14:textId="77777777" w:rsidTr="007A12BA">
        <w:trPr>
          <w:cantSplit/>
          <w:trHeight w:val="312"/>
        </w:trPr>
        <w:tc>
          <w:tcPr>
            <w:tcW w:w="752" w:type="pct"/>
            <w:vMerge w:val="restart"/>
            <w:tcBorders>
              <w:top w:val="single" w:sz="4" w:space="0" w:color="323E4F" w:themeColor="text2" w:themeShade="BF"/>
              <w:left w:val="single" w:sz="4" w:space="0" w:color="323E4F" w:themeColor="text2" w:themeShade="BF"/>
              <w:right w:val="single" w:sz="4" w:space="0" w:color="323E4F" w:themeColor="text2" w:themeShade="BF"/>
            </w:tcBorders>
            <w:shd w:val="clear" w:color="auto" w:fill="FFFFFF"/>
          </w:tcPr>
          <w:p w14:paraId="012BCBE6" w14:textId="77777777" w:rsidR="003B1514" w:rsidRPr="00AA2617" w:rsidRDefault="003B1514" w:rsidP="00AA2617">
            <w:pPr>
              <w:keepLines/>
              <w:jc w:val="left"/>
              <w:rPr>
                <w:rFonts w:eastAsia="PMingLiU" w:cs="Times New Roman"/>
                <w:color w:val="000000" w:themeColor="text1"/>
                <w:lang w:val="en-GB"/>
              </w:rPr>
            </w:pPr>
            <w:r w:rsidRPr="00AA2617">
              <w:rPr>
                <w:rFonts w:eastAsia="PMingLiU" w:cs="Times New Roman"/>
                <w:b/>
                <w:color w:val="000000" w:themeColor="text1"/>
                <w:lang w:val="en-GB"/>
              </w:rPr>
              <w:t>Outcome 3.1:</w:t>
            </w:r>
            <w:r w:rsidRPr="00AA2617">
              <w:rPr>
                <w:rFonts w:eastAsia="PMingLiU" w:cs="Times New Roman"/>
                <w:color w:val="000000" w:themeColor="text1"/>
                <w:lang w:val="en-GB"/>
              </w:rPr>
              <w:t xml:space="preserve">  Strengthened measurement of climate-change impacts, vulnerabilities, and adaptation-related activities in the agricultural and land-use sectors.</w:t>
            </w:r>
          </w:p>
        </w:tc>
        <w:tc>
          <w:tcPr>
            <w:tcW w:w="7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839F653" w14:textId="77777777" w:rsidR="003B1514" w:rsidRPr="00AA2617" w:rsidRDefault="003B1514" w:rsidP="00AA2617">
            <w:pPr>
              <w:keepLines/>
              <w:jc w:val="left"/>
              <w:rPr>
                <w:rFonts w:cs="Times New Roman"/>
                <w:color w:val="000000"/>
                <w:lang w:val="en-GB"/>
              </w:rPr>
            </w:pPr>
            <w:r w:rsidRPr="00AA2617">
              <w:rPr>
                <w:b/>
                <w:lang w:val="en-GB"/>
              </w:rPr>
              <w:t>J:</w:t>
            </w:r>
            <w:r w:rsidRPr="00AA2617">
              <w:rPr>
                <w:lang w:val="en-GB"/>
              </w:rPr>
              <w:t xml:space="preserve">  Availability of formal, adopted metadata parameters and QC protocols for CCA in the agricultural and land-use sub-sectors</w:t>
            </w:r>
          </w:p>
        </w:tc>
        <w:tc>
          <w:tcPr>
            <w:tcW w:w="779"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2AB715F" w14:textId="77777777" w:rsidR="003B1514" w:rsidRPr="00AA2617" w:rsidRDefault="003B1514" w:rsidP="00AA2617">
            <w:pPr>
              <w:keepLines/>
              <w:jc w:val="left"/>
              <w:rPr>
                <w:rFonts w:eastAsia="PMingLiU" w:cs="Times New Roman"/>
                <w:noProof/>
                <w:color w:val="000000" w:themeColor="text1"/>
                <w:lang w:val="en-GB" w:eastAsia="en-GB"/>
              </w:rPr>
            </w:pPr>
            <w:r w:rsidRPr="00AA2617">
              <w:rPr>
                <w:rFonts w:eastAsia="PMingLiU" w:cs="Times New Roman"/>
                <w:lang w:val="en-GB" w:eastAsia="en-GB"/>
              </w:rPr>
              <w:t>None</w:t>
            </w:r>
          </w:p>
        </w:tc>
        <w:tc>
          <w:tcPr>
            <w:tcW w:w="81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62916B9" w14:textId="77777777" w:rsidR="003B1514" w:rsidRPr="00AA2617" w:rsidRDefault="003B1514" w:rsidP="00AA2617">
            <w:pPr>
              <w:keepLines/>
              <w:jc w:val="left"/>
              <w:rPr>
                <w:rFonts w:eastAsia="PMingLiU" w:cs="Times New Roman"/>
                <w:noProof/>
                <w:color w:val="000000" w:themeColor="text1"/>
                <w:lang w:val="en-GB" w:eastAsia="en-GB"/>
              </w:rPr>
            </w:pPr>
            <w:r w:rsidRPr="00AA2617">
              <w:rPr>
                <w:rFonts w:eastAsia="PMingLiU" w:cs="Times New Roman"/>
                <w:lang w:val="en-GB" w:eastAsia="en-GB"/>
              </w:rPr>
              <w:t>Drafted by TWG</w:t>
            </w:r>
          </w:p>
        </w:tc>
        <w:tc>
          <w:tcPr>
            <w:tcW w:w="90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2159AB29" w14:textId="77777777" w:rsidR="003B1514" w:rsidRPr="00AA2617" w:rsidRDefault="003B1514" w:rsidP="00AA2617">
            <w:pPr>
              <w:keepLines/>
              <w:jc w:val="left"/>
              <w:rPr>
                <w:rFonts w:eastAsia="PMingLiU" w:cs="Times New Roman"/>
                <w:noProof/>
                <w:color w:val="000000" w:themeColor="text1"/>
                <w:lang w:val="en-GB" w:eastAsia="en-GB"/>
              </w:rPr>
            </w:pPr>
            <w:r w:rsidRPr="00AA2617">
              <w:rPr>
                <w:rFonts w:eastAsia="PMingLiU" w:cs="Times New Roman"/>
                <w:lang w:val="en-GB" w:eastAsia="en-GB"/>
              </w:rPr>
              <w:t>Endorsed and adopted by relevant stakeholders</w:t>
            </w:r>
          </w:p>
        </w:tc>
        <w:tc>
          <w:tcPr>
            <w:tcW w:w="49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08080E01" w14:textId="77777777" w:rsidR="003B1514" w:rsidRPr="00AA2617" w:rsidRDefault="003B1514" w:rsidP="00AA2617">
            <w:pPr>
              <w:keepLines/>
              <w:jc w:val="left"/>
              <w:rPr>
                <w:rFonts w:eastAsia="PMingLiU" w:cs="Times New Roman"/>
                <w:bCs/>
                <w:noProof/>
                <w:color w:val="000000" w:themeColor="text1"/>
                <w:lang w:val="en-GB" w:eastAsia="en-GB"/>
              </w:rPr>
            </w:pPr>
            <w:r w:rsidRPr="00AA2617">
              <w:rPr>
                <w:rFonts w:eastAsia="PMingLiU" w:cs="Times New Roman"/>
                <w:bCs/>
                <w:lang w:val="en-GB" w:eastAsia="en-GB"/>
              </w:rPr>
              <w:t>NCCMF; publication of protocols; formal endorsements of relevant stakeholders</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80DE221" w14:textId="77777777" w:rsidR="003B1514" w:rsidRPr="00AA2617" w:rsidRDefault="003B1514" w:rsidP="00AA2617">
            <w:pPr>
              <w:keepLines/>
              <w:jc w:val="left"/>
              <w:rPr>
                <w:rFonts w:eastAsia="PMingLiU" w:cs="Times New Roman"/>
                <w:noProof/>
                <w:color w:val="000000" w:themeColor="text1"/>
                <w:lang w:val="en-GB" w:eastAsia="en-GB"/>
              </w:rPr>
            </w:pPr>
            <w:r w:rsidRPr="00AA2617">
              <w:rPr>
                <w:rFonts w:eastAsia="PMingLiU" w:cs="Times New Roman"/>
                <w:lang w:val="en-GB" w:eastAsia="en-GB"/>
              </w:rPr>
              <w:t>Stakeholders assured of sufficient, reliable support for their obligations under the protocols</w:t>
            </w:r>
          </w:p>
        </w:tc>
      </w:tr>
      <w:tr w:rsidR="003B1514" w:rsidRPr="00AA2617" w14:paraId="081830A4" w14:textId="77777777" w:rsidTr="007A12BA">
        <w:trPr>
          <w:cantSplit/>
          <w:trHeight w:val="312"/>
        </w:trPr>
        <w:tc>
          <w:tcPr>
            <w:tcW w:w="752" w:type="pct"/>
            <w:vMerge/>
            <w:tcBorders>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2EAE5B0" w14:textId="77777777" w:rsidR="003B1514" w:rsidRPr="00AA2617" w:rsidRDefault="003B1514" w:rsidP="00AA2617">
            <w:pPr>
              <w:keepLines/>
              <w:rPr>
                <w:rFonts w:eastAsia="PMingLiU" w:cs="Times New Roman"/>
                <w:color w:val="000000" w:themeColor="text1"/>
                <w:lang w:val="en-GB"/>
              </w:rPr>
            </w:pPr>
          </w:p>
        </w:tc>
        <w:tc>
          <w:tcPr>
            <w:tcW w:w="713"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387A8DB2" w14:textId="77777777" w:rsidR="003B1514" w:rsidRPr="00AA2617" w:rsidRDefault="003B1514" w:rsidP="00AA2617">
            <w:pPr>
              <w:keepLines/>
              <w:jc w:val="left"/>
              <w:rPr>
                <w:rFonts w:cs="Times New Roman"/>
                <w:color w:val="000000"/>
                <w:lang w:val="en-GB"/>
              </w:rPr>
            </w:pPr>
            <w:r w:rsidRPr="00AA2617">
              <w:rPr>
                <w:b/>
                <w:lang w:val="en-GB"/>
              </w:rPr>
              <w:t>K:</w:t>
            </w:r>
            <w:r w:rsidRPr="00AA2617">
              <w:rPr>
                <w:lang w:val="en-GB"/>
              </w:rPr>
              <w:t xml:space="preserve">  Sufficiency of technical and human capacities to enact CCA-related QC protocols for agricultural and land-use sub-sectors</w:t>
            </w:r>
          </w:p>
        </w:tc>
        <w:tc>
          <w:tcPr>
            <w:tcW w:w="779"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09AA9C6" w14:textId="77777777" w:rsidR="003B1514" w:rsidRPr="00AA2617" w:rsidRDefault="003B1514" w:rsidP="00AA2617">
            <w:pPr>
              <w:keepLines/>
              <w:jc w:val="left"/>
              <w:rPr>
                <w:rFonts w:eastAsia="PMingLiU" w:cs="Times New Roman"/>
                <w:noProof/>
                <w:color w:val="000000" w:themeColor="text1"/>
                <w:lang w:val="en-GB" w:eastAsia="en-GB"/>
              </w:rPr>
            </w:pPr>
            <w:r w:rsidRPr="00AA2617">
              <w:rPr>
                <w:rFonts w:eastAsia="PMingLiU" w:cs="Times New Roman"/>
                <w:lang w:val="en-GB" w:eastAsia="en-GB"/>
              </w:rPr>
              <w:t>Very low, particularly for decentralized locations</w:t>
            </w:r>
          </w:p>
        </w:tc>
        <w:tc>
          <w:tcPr>
            <w:tcW w:w="81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86FEF0A" w14:textId="77777777" w:rsidR="003B1514" w:rsidRPr="00AA2617" w:rsidRDefault="003B1514" w:rsidP="00AA2617">
            <w:pPr>
              <w:keepLines/>
              <w:jc w:val="left"/>
              <w:rPr>
                <w:rFonts w:eastAsia="PMingLiU" w:cs="Times New Roman"/>
                <w:noProof/>
                <w:color w:val="000000" w:themeColor="text1"/>
                <w:lang w:val="en-GB" w:eastAsia="en-GB"/>
              </w:rPr>
            </w:pPr>
            <w:r w:rsidRPr="00AA2617">
              <w:rPr>
                <w:rFonts w:eastAsia="PMingLiU" w:cs="Times New Roman"/>
                <w:lang w:val="en-GB" w:eastAsia="en-GB"/>
              </w:rPr>
              <w:t>Technological needs determined based on drafted protocols; materials developed for human needs</w:t>
            </w:r>
          </w:p>
        </w:tc>
        <w:tc>
          <w:tcPr>
            <w:tcW w:w="90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593231DE" w14:textId="77777777" w:rsidR="003B1514" w:rsidRPr="00AA2617" w:rsidRDefault="003B1514" w:rsidP="00AA2617">
            <w:pPr>
              <w:keepLines/>
              <w:jc w:val="left"/>
              <w:rPr>
                <w:rFonts w:eastAsia="PMingLiU" w:cs="Times New Roman"/>
                <w:noProof/>
                <w:color w:val="000000" w:themeColor="text1"/>
                <w:lang w:val="en-GB" w:eastAsia="en-GB"/>
              </w:rPr>
            </w:pPr>
            <w:r w:rsidRPr="00AA2617">
              <w:rPr>
                <w:rFonts w:eastAsia="PMingLiU" w:cs="Times New Roman"/>
                <w:lang w:val="en-GB" w:eastAsia="en-GB"/>
              </w:rPr>
              <w:t>High for all stakeholders with direct relevance to the NCCMF protocols</w:t>
            </w:r>
          </w:p>
        </w:tc>
        <w:tc>
          <w:tcPr>
            <w:tcW w:w="498"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5AFE651" w14:textId="4B82DB20" w:rsidR="003B1514" w:rsidRPr="00AA2617" w:rsidRDefault="003B1514" w:rsidP="00AA2617">
            <w:pPr>
              <w:keepLines/>
              <w:jc w:val="left"/>
              <w:rPr>
                <w:rFonts w:eastAsia="PMingLiU" w:cs="Times New Roman"/>
                <w:bCs/>
                <w:noProof/>
                <w:color w:val="000000" w:themeColor="text1"/>
                <w:lang w:val="en-GB" w:eastAsia="en-GB"/>
              </w:rPr>
            </w:pPr>
            <w:r w:rsidRPr="00AA2617">
              <w:rPr>
                <w:rFonts w:eastAsia="PMingLiU" w:cs="Times New Roman"/>
                <w:bCs/>
                <w:lang w:val="en-GB" w:eastAsia="en-GB"/>
              </w:rPr>
              <w:t>Training records; procurement records; outcomes of pilots</w:t>
            </w:r>
            <w:r w:rsidR="009178E8" w:rsidRPr="009178E8">
              <w:rPr>
                <w:rFonts w:eastAsia="PMingLiU" w:cs="Times New Roman"/>
                <w:bCs/>
                <w:color w:val="000000" w:themeColor="text1"/>
                <w:lang w:val="en-GB" w:eastAsia="en-GB"/>
              </w:rPr>
              <w:t>, disaggregated by sex.</w:t>
            </w:r>
          </w:p>
        </w:tc>
        <w:tc>
          <w:tcPr>
            <w:tcW w:w="540" w:type="pct"/>
            <w:tcBorders>
              <w:top w:val="single" w:sz="4" w:space="0" w:color="323E4F" w:themeColor="text2" w:themeShade="BF"/>
              <w:left w:val="single" w:sz="4" w:space="0" w:color="323E4F" w:themeColor="text2" w:themeShade="BF"/>
              <w:bottom w:val="single" w:sz="4" w:space="0" w:color="323E4F" w:themeColor="text2" w:themeShade="BF"/>
              <w:right w:val="single" w:sz="4" w:space="0" w:color="323E4F" w:themeColor="text2" w:themeShade="BF"/>
            </w:tcBorders>
            <w:shd w:val="clear" w:color="auto" w:fill="FFFFFF"/>
          </w:tcPr>
          <w:p w14:paraId="78239501" w14:textId="77777777" w:rsidR="003B1514" w:rsidRPr="00AA2617" w:rsidRDefault="003B1514" w:rsidP="00AA2617">
            <w:pPr>
              <w:keepLines/>
              <w:jc w:val="left"/>
              <w:rPr>
                <w:rFonts w:eastAsia="PMingLiU" w:cs="Times New Roman"/>
                <w:noProof/>
                <w:color w:val="000000" w:themeColor="text1"/>
                <w:lang w:val="en-GB" w:eastAsia="en-GB"/>
              </w:rPr>
            </w:pPr>
            <w:r w:rsidRPr="00AA2617">
              <w:rPr>
                <w:rFonts w:eastAsia="PMingLiU" w:cs="Times New Roman"/>
                <w:lang w:val="en-GB" w:eastAsia="en-GB"/>
              </w:rPr>
              <w:t>Staff turnover will not undercut capacity development; post-project funding will support operation and maintenance</w:t>
            </w:r>
          </w:p>
        </w:tc>
      </w:tr>
    </w:tbl>
    <w:p w14:paraId="230EBF00" w14:textId="77777777" w:rsidR="003B1514" w:rsidRPr="00AA2617" w:rsidRDefault="003B1514" w:rsidP="00AA2617">
      <w:pPr>
        <w:rPr>
          <w:lang w:val="en-GB"/>
        </w:rPr>
      </w:pPr>
    </w:p>
    <w:p w14:paraId="07C2180E" w14:textId="77777777" w:rsidR="003B1514" w:rsidRPr="00AA2617" w:rsidRDefault="003B1514" w:rsidP="00AA2617">
      <w:pPr>
        <w:jc w:val="left"/>
        <w:rPr>
          <w:rFonts w:eastAsiaTheme="majorEastAsia" w:cs="Times New Roman"/>
          <w:sz w:val="28"/>
          <w:szCs w:val="32"/>
          <w:lang w:val="en-GB"/>
        </w:rPr>
      </w:pPr>
      <w:bookmarkStart w:id="308" w:name="_Toc474848407"/>
      <w:r w:rsidRPr="00AA2617">
        <w:rPr>
          <w:rFonts w:cs="Times New Roman"/>
          <w:lang w:val="en-GB"/>
        </w:rPr>
        <w:br w:type="page"/>
      </w:r>
    </w:p>
    <w:p w14:paraId="3C217547" w14:textId="77777777" w:rsidR="003B1514" w:rsidRPr="00AA2617" w:rsidRDefault="003B1514" w:rsidP="00AA2617">
      <w:pPr>
        <w:outlineLvl w:val="0"/>
        <w:rPr>
          <w:rFonts w:cs="Times New Roman"/>
          <w:b/>
          <w:sz w:val="22"/>
          <w:lang w:val="en-GB"/>
        </w:rPr>
      </w:pPr>
      <w:bookmarkStart w:id="309" w:name="_Toc5366451"/>
      <w:bookmarkStart w:id="310" w:name="_Toc9249229"/>
      <w:bookmarkEnd w:id="308"/>
      <w:r w:rsidRPr="00AA2617">
        <w:rPr>
          <w:rFonts w:cs="Times New Roman"/>
          <w:b/>
          <w:sz w:val="22"/>
          <w:lang w:val="en-GB"/>
        </w:rPr>
        <w:lastRenderedPageBreak/>
        <w:t>Appendix 2:  Work-plan</w:t>
      </w:r>
      <w:bookmarkEnd w:id="309"/>
      <w:bookmarkEnd w:id="310"/>
    </w:p>
    <w:tbl>
      <w:tblPr>
        <w:tblW w:w="13467" w:type="dxa"/>
        <w:tblInd w:w="98" w:type="dxa"/>
        <w:tblLook w:val="04A0" w:firstRow="1" w:lastRow="0" w:firstColumn="1" w:lastColumn="0" w:noHBand="0" w:noVBand="1"/>
      </w:tblPr>
      <w:tblGrid>
        <w:gridCol w:w="578"/>
        <w:gridCol w:w="578"/>
        <w:gridCol w:w="7284"/>
        <w:gridCol w:w="1547"/>
        <w:gridCol w:w="435"/>
        <w:gridCol w:w="435"/>
        <w:gridCol w:w="435"/>
        <w:gridCol w:w="435"/>
        <w:gridCol w:w="435"/>
        <w:gridCol w:w="435"/>
        <w:gridCol w:w="435"/>
        <w:gridCol w:w="435"/>
      </w:tblGrid>
      <w:tr w:rsidR="00630C69" w:rsidRPr="00AA2617" w14:paraId="2301843B" w14:textId="77777777" w:rsidTr="00630C69">
        <w:trPr>
          <w:trHeight w:val="888"/>
          <w:tblHeader/>
        </w:trPr>
        <w:tc>
          <w:tcPr>
            <w:tcW w:w="578" w:type="dxa"/>
            <w:vMerge w:val="restart"/>
            <w:tcBorders>
              <w:top w:val="single" w:sz="4" w:space="0" w:color="auto"/>
              <w:left w:val="single" w:sz="4" w:space="0" w:color="auto"/>
              <w:bottom w:val="double" w:sz="4" w:space="0" w:color="auto"/>
              <w:right w:val="single" w:sz="4" w:space="0" w:color="auto"/>
            </w:tcBorders>
            <w:shd w:val="clear" w:color="auto" w:fill="auto"/>
            <w:noWrap/>
            <w:textDirection w:val="btLr"/>
            <w:vAlign w:val="bottom"/>
            <w:hideMark/>
          </w:tcPr>
          <w:p w14:paraId="6A9CF45D" w14:textId="77777777" w:rsidR="00630C69" w:rsidRPr="00AA2617" w:rsidRDefault="00630C69" w:rsidP="00AA2617">
            <w:pPr>
              <w:jc w:val="center"/>
              <w:rPr>
                <w:rFonts w:ascii="Arial Narrow" w:eastAsia="Times New Roman" w:hAnsi="Arial Narrow" w:cs="Calibri"/>
                <w:b/>
                <w:bCs/>
                <w:color w:val="000000"/>
                <w:sz w:val="20"/>
                <w:szCs w:val="20"/>
                <w:lang w:val="en-GB"/>
              </w:rPr>
            </w:pPr>
            <w:r w:rsidRPr="00AA2617">
              <w:rPr>
                <w:rFonts w:ascii="Arial Narrow" w:eastAsia="Times New Roman" w:hAnsi="Arial Narrow" w:cs="Calibri"/>
                <w:b/>
                <w:bCs/>
                <w:color w:val="000000"/>
                <w:sz w:val="20"/>
                <w:szCs w:val="20"/>
                <w:lang w:val="en-GB"/>
              </w:rPr>
              <w:t>Outcome</w:t>
            </w:r>
          </w:p>
        </w:tc>
        <w:tc>
          <w:tcPr>
            <w:tcW w:w="578" w:type="dxa"/>
            <w:vMerge w:val="restart"/>
            <w:tcBorders>
              <w:top w:val="single" w:sz="4" w:space="0" w:color="auto"/>
              <w:left w:val="single" w:sz="4" w:space="0" w:color="auto"/>
              <w:bottom w:val="double" w:sz="4" w:space="0" w:color="auto"/>
              <w:right w:val="single" w:sz="4" w:space="0" w:color="auto"/>
            </w:tcBorders>
            <w:shd w:val="clear" w:color="auto" w:fill="auto"/>
            <w:noWrap/>
            <w:textDirection w:val="btLr"/>
            <w:vAlign w:val="bottom"/>
            <w:hideMark/>
          </w:tcPr>
          <w:p w14:paraId="2257903E" w14:textId="77777777" w:rsidR="00630C69" w:rsidRPr="00AA2617" w:rsidRDefault="00630C69" w:rsidP="00AA2617">
            <w:pPr>
              <w:jc w:val="center"/>
              <w:rPr>
                <w:rFonts w:ascii="Arial Narrow" w:eastAsia="Times New Roman" w:hAnsi="Arial Narrow" w:cs="Calibri"/>
                <w:b/>
                <w:bCs/>
                <w:color w:val="000000"/>
                <w:sz w:val="20"/>
                <w:szCs w:val="20"/>
                <w:lang w:val="en-GB"/>
              </w:rPr>
            </w:pPr>
            <w:r w:rsidRPr="00AA2617">
              <w:rPr>
                <w:rFonts w:ascii="Arial Narrow" w:eastAsia="Times New Roman" w:hAnsi="Arial Narrow" w:cs="Calibri"/>
                <w:b/>
                <w:bCs/>
                <w:color w:val="000000"/>
                <w:sz w:val="20"/>
                <w:szCs w:val="20"/>
                <w:lang w:val="en-GB"/>
              </w:rPr>
              <w:t>Output</w:t>
            </w:r>
          </w:p>
        </w:tc>
        <w:tc>
          <w:tcPr>
            <w:tcW w:w="7284" w:type="dxa"/>
            <w:tcBorders>
              <w:top w:val="single" w:sz="4" w:space="0" w:color="auto"/>
              <w:left w:val="nil"/>
              <w:right w:val="single" w:sz="4" w:space="0" w:color="auto"/>
            </w:tcBorders>
            <w:shd w:val="clear" w:color="auto" w:fill="auto"/>
            <w:hideMark/>
          </w:tcPr>
          <w:p w14:paraId="1445690D" w14:textId="77777777" w:rsidR="00630C69" w:rsidRPr="00AA2617" w:rsidRDefault="00630C69" w:rsidP="00AA2617">
            <w:pPr>
              <w:jc w:val="left"/>
              <w:rPr>
                <w:rFonts w:ascii="Arial Narrow" w:eastAsia="Times New Roman" w:hAnsi="Arial Narrow" w:cs="Calibri"/>
                <w:b/>
                <w:bCs/>
                <w:color w:val="000000"/>
                <w:sz w:val="20"/>
                <w:szCs w:val="20"/>
                <w:lang w:val="en-GB"/>
              </w:rPr>
            </w:pPr>
            <w:r w:rsidRPr="00AA2617">
              <w:rPr>
                <w:rFonts w:ascii="Arial Narrow" w:eastAsia="Times New Roman" w:hAnsi="Arial Narrow" w:cs="Calibri"/>
                <w:b/>
                <w:bCs/>
                <w:color w:val="000000"/>
                <w:sz w:val="20"/>
                <w:szCs w:val="20"/>
                <w:lang w:val="en-GB"/>
              </w:rPr>
              <w:t xml:space="preserve">Budgeted Work Plan </w:t>
            </w:r>
            <w:r w:rsidRPr="00AA2617">
              <w:rPr>
                <w:rFonts w:ascii="Arial Narrow" w:eastAsia="Times New Roman" w:hAnsi="Arial Narrow" w:cs="Calibri"/>
                <w:b/>
                <w:bCs/>
                <w:color w:val="000000"/>
                <w:sz w:val="20"/>
                <w:szCs w:val="20"/>
                <w:lang w:val="en-GB"/>
              </w:rPr>
              <w:br/>
              <w:t>"Strengthening capacity in the agricultural and land-use sectors for enhanced transparency in implementation and monitoring of Sri Lanka’s Nationally Determined Contribution (NDC)"</w:t>
            </w:r>
          </w:p>
        </w:tc>
        <w:tc>
          <w:tcPr>
            <w:tcW w:w="1547" w:type="dxa"/>
            <w:tcBorders>
              <w:top w:val="single" w:sz="4" w:space="0" w:color="auto"/>
              <w:left w:val="nil"/>
              <w:right w:val="single" w:sz="4" w:space="0" w:color="auto"/>
            </w:tcBorders>
            <w:shd w:val="clear" w:color="auto" w:fill="auto"/>
            <w:vAlign w:val="center"/>
            <w:hideMark/>
          </w:tcPr>
          <w:p w14:paraId="45DBD8FC"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1740" w:type="dxa"/>
            <w:gridSpan w:val="4"/>
            <w:tcBorders>
              <w:top w:val="single" w:sz="4" w:space="0" w:color="auto"/>
              <w:left w:val="nil"/>
              <w:bottom w:val="single" w:sz="4" w:space="0" w:color="auto"/>
              <w:right w:val="single" w:sz="8" w:space="0" w:color="000000"/>
            </w:tcBorders>
            <w:shd w:val="clear" w:color="auto" w:fill="auto"/>
            <w:noWrap/>
            <w:vAlign w:val="center"/>
            <w:hideMark/>
          </w:tcPr>
          <w:p w14:paraId="1E201D68" w14:textId="77777777" w:rsidR="00630C69" w:rsidRPr="00AA2617" w:rsidRDefault="00630C69" w:rsidP="00AA2617">
            <w:pPr>
              <w:jc w:val="center"/>
              <w:rPr>
                <w:rFonts w:ascii="Arial Narrow" w:eastAsia="Times New Roman" w:hAnsi="Arial Narrow" w:cs="Calibri"/>
                <w:b/>
                <w:bCs/>
                <w:color w:val="000000"/>
                <w:sz w:val="20"/>
                <w:szCs w:val="20"/>
                <w:lang w:val="en-GB"/>
              </w:rPr>
            </w:pPr>
            <w:r w:rsidRPr="00AA2617">
              <w:rPr>
                <w:rFonts w:ascii="Arial Narrow" w:eastAsia="Times New Roman" w:hAnsi="Arial Narrow" w:cs="Calibri"/>
                <w:b/>
                <w:bCs/>
                <w:color w:val="000000"/>
                <w:sz w:val="20"/>
                <w:szCs w:val="20"/>
                <w:lang w:val="en-GB"/>
              </w:rPr>
              <w:t>Year 1</w:t>
            </w:r>
          </w:p>
        </w:tc>
        <w:tc>
          <w:tcPr>
            <w:tcW w:w="174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114DACC" w14:textId="77777777" w:rsidR="00630C69" w:rsidRPr="00AA2617" w:rsidRDefault="00630C69" w:rsidP="00AA2617">
            <w:pPr>
              <w:jc w:val="center"/>
              <w:rPr>
                <w:rFonts w:ascii="Arial Narrow" w:eastAsia="Times New Roman" w:hAnsi="Arial Narrow" w:cs="Calibri"/>
                <w:b/>
                <w:bCs/>
                <w:color w:val="000000"/>
                <w:sz w:val="20"/>
                <w:szCs w:val="20"/>
                <w:lang w:val="en-GB"/>
              </w:rPr>
            </w:pPr>
            <w:r w:rsidRPr="00AA2617">
              <w:rPr>
                <w:rFonts w:ascii="Arial Narrow" w:eastAsia="Times New Roman" w:hAnsi="Arial Narrow" w:cs="Calibri"/>
                <w:b/>
                <w:bCs/>
                <w:color w:val="000000"/>
                <w:sz w:val="20"/>
                <w:szCs w:val="20"/>
                <w:lang w:val="en-GB"/>
              </w:rPr>
              <w:t>Year 2</w:t>
            </w:r>
          </w:p>
        </w:tc>
      </w:tr>
      <w:tr w:rsidR="00630C69" w:rsidRPr="00AA2617" w14:paraId="2420B218" w14:textId="77777777" w:rsidTr="009F21B4">
        <w:trPr>
          <w:trHeight w:val="732"/>
          <w:tblHeader/>
        </w:trPr>
        <w:tc>
          <w:tcPr>
            <w:tcW w:w="578" w:type="dxa"/>
            <w:vMerge/>
            <w:tcBorders>
              <w:top w:val="single" w:sz="4" w:space="0" w:color="auto"/>
              <w:left w:val="single" w:sz="4" w:space="0" w:color="auto"/>
              <w:bottom w:val="double" w:sz="4" w:space="0" w:color="auto"/>
              <w:right w:val="single" w:sz="4" w:space="0" w:color="auto"/>
            </w:tcBorders>
            <w:vAlign w:val="center"/>
            <w:hideMark/>
          </w:tcPr>
          <w:p w14:paraId="0C3A9E02" w14:textId="77777777" w:rsidR="00630C69" w:rsidRPr="00AA2617" w:rsidRDefault="00630C69" w:rsidP="00AA2617">
            <w:pPr>
              <w:jc w:val="left"/>
              <w:rPr>
                <w:rFonts w:ascii="Arial Narrow" w:eastAsia="Times New Roman" w:hAnsi="Arial Narrow" w:cs="Calibri"/>
                <w:b/>
                <w:bCs/>
                <w:color w:val="000000"/>
                <w:sz w:val="20"/>
                <w:szCs w:val="20"/>
                <w:lang w:val="en-GB"/>
              </w:rPr>
            </w:pPr>
          </w:p>
        </w:tc>
        <w:tc>
          <w:tcPr>
            <w:tcW w:w="578" w:type="dxa"/>
            <w:vMerge/>
            <w:tcBorders>
              <w:top w:val="single" w:sz="4" w:space="0" w:color="auto"/>
              <w:left w:val="single" w:sz="4" w:space="0" w:color="auto"/>
              <w:bottom w:val="double" w:sz="4" w:space="0" w:color="auto"/>
              <w:right w:val="single" w:sz="4" w:space="0" w:color="auto"/>
            </w:tcBorders>
            <w:vAlign w:val="center"/>
            <w:hideMark/>
          </w:tcPr>
          <w:p w14:paraId="3FCC6CA5" w14:textId="77777777" w:rsidR="00630C69" w:rsidRPr="00AA2617" w:rsidRDefault="00630C69" w:rsidP="00AA2617">
            <w:pPr>
              <w:jc w:val="left"/>
              <w:rPr>
                <w:rFonts w:ascii="Arial Narrow" w:eastAsia="Times New Roman" w:hAnsi="Arial Narrow" w:cs="Calibri"/>
                <w:b/>
                <w:bCs/>
                <w:color w:val="000000"/>
                <w:sz w:val="20"/>
                <w:szCs w:val="20"/>
                <w:lang w:val="en-GB"/>
              </w:rPr>
            </w:pPr>
          </w:p>
        </w:tc>
        <w:tc>
          <w:tcPr>
            <w:tcW w:w="7284" w:type="dxa"/>
            <w:tcBorders>
              <w:top w:val="nil"/>
              <w:left w:val="nil"/>
              <w:bottom w:val="double" w:sz="4" w:space="0" w:color="auto"/>
              <w:right w:val="single" w:sz="4" w:space="0" w:color="auto"/>
            </w:tcBorders>
            <w:shd w:val="clear" w:color="auto" w:fill="auto"/>
            <w:noWrap/>
            <w:vAlign w:val="center"/>
            <w:hideMark/>
          </w:tcPr>
          <w:p w14:paraId="2070DF71" w14:textId="77777777" w:rsidR="00630C69" w:rsidRPr="00AA2617" w:rsidRDefault="00630C69" w:rsidP="00AA2617">
            <w:pPr>
              <w:jc w:val="left"/>
              <w:rPr>
                <w:rFonts w:ascii="Arial Narrow" w:eastAsia="Times New Roman" w:hAnsi="Arial Narrow" w:cs="Calibri"/>
                <w:b/>
                <w:bCs/>
                <w:color w:val="000000"/>
                <w:sz w:val="20"/>
                <w:szCs w:val="20"/>
                <w:lang w:val="en-GB"/>
              </w:rPr>
            </w:pPr>
            <w:r w:rsidRPr="00AA2617">
              <w:rPr>
                <w:rFonts w:ascii="Arial Narrow" w:eastAsia="Times New Roman" w:hAnsi="Arial Narrow" w:cs="Calibri"/>
                <w:b/>
                <w:bCs/>
                <w:color w:val="000000"/>
                <w:sz w:val="20"/>
                <w:szCs w:val="20"/>
                <w:lang w:val="en-GB"/>
              </w:rPr>
              <w:t>Activity</w:t>
            </w:r>
          </w:p>
        </w:tc>
        <w:tc>
          <w:tcPr>
            <w:tcW w:w="1547" w:type="dxa"/>
            <w:tcBorders>
              <w:top w:val="nil"/>
              <w:left w:val="nil"/>
              <w:bottom w:val="double" w:sz="4" w:space="0" w:color="auto"/>
              <w:right w:val="single" w:sz="4" w:space="0" w:color="auto"/>
            </w:tcBorders>
            <w:shd w:val="clear" w:color="auto" w:fill="auto"/>
            <w:noWrap/>
            <w:vAlign w:val="center"/>
            <w:hideMark/>
          </w:tcPr>
          <w:p w14:paraId="2538C24D"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Mode</w:t>
            </w:r>
          </w:p>
        </w:tc>
        <w:tc>
          <w:tcPr>
            <w:tcW w:w="435" w:type="dxa"/>
            <w:tcBorders>
              <w:top w:val="single" w:sz="4" w:space="0" w:color="auto"/>
              <w:left w:val="single" w:sz="8" w:space="0" w:color="auto"/>
              <w:bottom w:val="double" w:sz="4" w:space="0" w:color="auto"/>
              <w:right w:val="single" w:sz="4" w:space="0" w:color="auto"/>
            </w:tcBorders>
            <w:shd w:val="clear" w:color="auto" w:fill="auto"/>
            <w:noWrap/>
            <w:vAlign w:val="center"/>
            <w:hideMark/>
          </w:tcPr>
          <w:p w14:paraId="0D82CC0F"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Q1</w:t>
            </w:r>
          </w:p>
        </w:tc>
        <w:tc>
          <w:tcPr>
            <w:tcW w:w="435" w:type="dxa"/>
            <w:tcBorders>
              <w:top w:val="single" w:sz="4" w:space="0" w:color="auto"/>
              <w:left w:val="nil"/>
              <w:bottom w:val="double" w:sz="4" w:space="0" w:color="auto"/>
              <w:right w:val="nil"/>
            </w:tcBorders>
            <w:shd w:val="clear" w:color="auto" w:fill="auto"/>
            <w:noWrap/>
            <w:vAlign w:val="center"/>
            <w:hideMark/>
          </w:tcPr>
          <w:p w14:paraId="6DDB04E2"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Q2</w:t>
            </w:r>
          </w:p>
        </w:tc>
        <w:tc>
          <w:tcPr>
            <w:tcW w:w="435" w:type="dxa"/>
            <w:tcBorders>
              <w:top w:val="single" w:sz="4" w:space="0" w:color="auto"/>
              <w:left w:val="single" w:sz="4" w:space="0" w:color="auto"/>
              <w:bottom w:val="double" w:sz="4" w:space="0" w:color="auto"/>
              <w:right w:val="single" w:sz="4" w:space="0" w:color="auto"/>
            </w:tcBorders>
            <w:shd w:val="clear" w:color="auto" w:fill="auto"/>
            <w:noWrap/>
            <w:vAlign w:val="center"/>
            <w:hideMark/>
          </w:tcPr>
          <w:p w14:paraId="06573D1A"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Q3</w:t>
            </w:r>
          </w:p>
        </w:tc>
        <w:tc>
          <w:tcPr>
            <w:tcW w:w="435" w:type="dxa"/>
            <w:tcBorders>
              <w:top w:val="single" w:sz="4" w:space="0" w:color="auto"/>
              <w:left w:val="nil"/>
              <w:bottom w:val="double" w:sz="4" w:space="0" w:color="auto"/>
              <w:right w:val="single" w:sz="8" w:space="0" w:color="auto"/>
            </w:tcBorders>
            <w:shd w:val="clear" w:color="auto" w:fill="auto"/>
            <w:noWrap/>
            <w:vAlign w:val="center"/>
            <w:hideMark/>
          </w:tcPr>
          <w:p w14:paraId="5BCFD09B"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Q4</w:t>
            </w:r>
          </w:p>
        </w:tc>
        <w:tc>
          <w:tcPr>
            <w:tcW w:w="435" w:type="dxa"/>
            <w:tcBorders>
              <w:top w:val="single" w:sz="4" w:space="0" w:color="auto"/>
              <w:left w:val="nil"/>
              <w:bottom w:val="double" w:sz="4" w:space="0" w:color="auto"/>
              <w:right w:val="single" w:sz="4" w:space="0" w:color="auto"/>
            </w:tcBorders>
            <w:shd w:val="clear" w:color="auto" w:fill="auto"/>
            <w:noWrap/>
            <w:vAlign w:val="center"/>
            <w:hideMark/>
          </w:tcPr>
          <w:p w14:paraId="4E82B30F"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Q1</w:t>
            </w:r>
          </w:p>
        </w:tc>
        <w:tc>
          <w:tcPr>
            <w:tcW w:w="435" w:type="dxa"/>
            <w:tcBorders>
              <w:top w:val="single" w:sz="4" w:space="0" w:color="auto"/>
              <w:left w:val="nil"/>
              <w:bottom w:val="double" w:sz="4" w:space="0" w:color="auto"/>
              <w:right w:val="nil"/>
            </w:tcBorders>
            <w:shd w:val="clear" w:color="auto" w:fill="auto"/>
            <w:noWrap/>
            <w:vAlign w:val="center"/>
            <w:hideMark/>
          </w:tcPr>
          <w:p w14:paraId="071C1DBF"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Q2</w:t>
            </w:r>
          </w:p>
        </w:tc>
        <w:tc>
          <w:tcPr>
            <w:tcW w:w="435" w:type="dxa"/>
            <w:tcBorders>
              <w:top w:val="single" w:sz="4" w:space="0" w:color="auto"/>
              <w:left w:val="single" w:sz="4" w:space="0" w:color="auto"/>
              <w:bottom w:val="double" w:sz="4" w:space="0" w:color="auto"/>
              <w:right w:val="single" w:sz="4" w:space="0" w:color="auto"/>
            </w:tcBorders>
            <w:shd w:val="clear" w:color="auto" w:fill="auto"/>
            <w:noWrap/>
            <w:vAlign w:val="center"/>
            <w:hideMark/>
          </w:tcPr>
          <w:p w14:paraId="5CADCCF3"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Q3</w:t>
            </w:r>
          </w:p>
        </w:tc>
        <w:tc>
          <w:tcPr>
            <w:tcW w:w="435" w:type="dxa"/>
            <w:tcBorders>
              <w:top w:val="single" w:sz="4" w:space="0" w:color="auto"/>
              <w:left w:val="nil"/>
              <w:bottom w:val="double" w:sz="4" w:space="0" w:color="auto"/>
              <w:right w:val="single" w:sz="4" w:space="0" w:color="auto"/>
            </w:tcBorders>
            <w:shd w:val="clear" w:color="auto" w:fill="auto"/>
            <w:noWrap/>
            <w:vAlign w:val="center"/>
            <w:hideMark/>
          </w:tcPr>
          <w:p w14:paraId="129C78B2"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Q4</w:t>
            </w:r>
          </w:p>
        </w:tc>
      </w:tr>
      <w:tr w:rsidR="00630C69" w:rsidRPr="00AA2617" w14:paraId="1E147AE2" w14:textId="77777777" w:rsidTr="009F21B4">
        <w:trPr>
          <w:cantSplit/>
          <w:trHeight w:val="552"/>
        </w:trPr>
        <w:tc>
          <w:tcPr>
            <w:tcW w:w="8440" w:type="dxa"/>
            <w:gridSpan w:val="3"/>
            <w:tcBorders>
              <w:top w:val="single" w:sz="8" w:space="0" w:color="auto"/>
              <w:left w:val="single" w:sz="4" w:space="0" w:color="auto"/>
              <w:bottom w:val="nil"/>
              <w:right w:val="nil"/>
            </w:tcBorders>
            <w:shd w:val="clear" w:color="auto" w:fill="auto"/>
            <w:hideMark/>
          </w:tcPr>
          <w:p w14:paraId="155CFDD7" w14:textId="55BD0CCD"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1.1.  Institutional arrangements coordinating information and data collection from the agriculture and land use sectors into ETF processes and reports enhanced.</w:t>
            </w:r>
          </w:p>
        </w:tc>
        <w:tc>
          <w:tcPr>
            <w:tcW w:w="154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2B82E0A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000000" w:fill="203764"/>
            <w:noWrap/>
            <w:vAlign w:val="center"/>
            <w:hideMark/>
          </w:tcPr>
          <w:p w14:paraId="56F0F4F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203764"/>
            <w:noWrap/>
            <w:vAlign w:val="center"/>
            <w:hideMark/>
          </w:tcPr>
          <w:p w14:paraId="74F30F42"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203764"/>
            <w:noWrap/>
            <w:vAlign w:val="center"/>
            <w:hideMark/>
          </w:tcPr>
          <w:p w14:paraId="2B9D3B2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203764"/>
            <w:noWrap/>
            <w:vAlign w:val="center"/>
            <w:hideMark/>
          </w:tcPr>
          <w:p w14:paraId="49F341D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203764"/>
            <w:noWrap/>
            <w:vAlign w:val="center"/>
            <w:hideMark/>
          </w:tcPr>
          <w:p w14:paraId="143122C2"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203764"/>
            <w:noWrap/>
            <w:vAlign w:val="center"/>
            <w:hideMark/>
          </w:tcPr>
          <w:p w14:paraId="3C0F1D8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203764"/>
            <w:noWrap/>
            <w:vAlign w:val="center"/>
            <w:hideMark/>
          </w:tcPr>
          <w:p w14:paraId="2AEDA97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203764"/>
            <w:noWrap/>
            <w:vAlign w:val="center"/>
            <w:hideMark/>
          </w:tcPr>
          <w:p w14:paraId="7A8A8AF3"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7898C711" w14:textId="77777777" w:rsidTr="009F21B4">
        <w:trPr>
          <w:cantSplit/>
          <w:trHeight w:val="636"/>
        </w:trPr>
        <w:tc>
          <w:tcPr>
            <w:tcW w:w="578" w:type="dxa"/>
            <w:tcBorders>
              <w:top w:val="nil"/>
              <w:left w:val="single" w:sz="4" w:space="0" w:color="auto"/>
              <w:bottom w:val="nil"/>
              <w:right w:val="nil"/>
            </w:tcBorders>
            <w:shd w:val="clear" w:color="auto" w:fill="auto"/>
            <w:noWrap/>
            <w:hideMark/>
          </w:tcPr>
          <w:p w14:paraId="12BB035A"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nil"/>
            </w:tcBorders>
            <w:shd w:val="clear" w:color="auto" w:fill="auto"/>
            <w:hideMark/>
          </w:tcPr>
          <w:p w14:paraId="2B7C3F9B" w14:textId="77777777" w:rsidR="00630C69" w:rsidRPr="00AA2617" w:rsidRDefault="00630C69" w:rsidP="00AA2617">
            <w:pPr>
              <w:jc w:val="left"/>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 xml:space="preserve">1.1.1.  </w:t>
            </w:r>
            <w:r w:rsidRPr="00AA2617">
              <w:rPr>
                <w:rFonts w:eastAsia="Times New Roman" w:cs="Times New Roman"/>
                <w:i/>
                <w:sz w:val="22"/>
                <w:lang w:val="en-GB"/>
              </w:rPr>
              <w:t>Coordination mechanism established/strengthened integrating relevant authorities from the agriculture and land use sector into national UNFCCC reporting processes.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58A0E1B8" w14:textId="77777777" w:rsidR="00630C69" w:rsidRPr="00AA2617" w:rsidRDefault="00630C69" w:rsidP="00AA2617">
            <w:pPr>
              <w:jc w:val="center"/>
              <w:rPr>
                <w:rFonts w:ascii="Arial Narrow" w:eastAsia="Times New Roman" w:hAnsi="Arial Narrow" w:cs="Calibri"/>
                <w:color w:val="FF0000"/>
                <w:sz w:val="20"/>
                <w:szCs w:val="20"/>
                <w:lang w:val="en-GB"/>
              </w:rPr>
            </w:pPr>
          </w:p>
        </w:tc>
        <w:tc>
          <w:tcPr>
            <w:tcW w:w="435" w:type="dxa"/>
            <w:tcBorders>
              <w:top w:val="nil"/>
              <w:left w:val="single" w:sz="8" w:space="0" w:color="auto"/>
              <w:bottom w:val="single" w:sz="4" w:space="0" w:color="auto"/>
              <w:right w:val="single" w:sz="4" w:space="0" w:color="auto"/>
            </w:tcBorders>
            <w:shd w:val="clear" w:color="000000" w:fill="305496"/>
            <w:noWrap/>
            <w:vAlign w:val="center"/>
            <w:hideMark/>
          </w:tcPr>
          <w:p w14:paraId="2F00237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335D5AF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1F78255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5F3DC330"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5F75EBF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49E95EC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18E5FD8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4A3B8925"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400A827B" w14:textId="77777777" w:rsidTr="009F21B4">
        <w:trPr>
          <w:cantSplit/>
          <w:trHeight w:val="215"/>
        </w:trPr>
        <w:tc>
          <w:tcPr>
            <w:tcW w:w="578" w:type="dxa"/>
            <w:tcBorders>
              <w:top w:val="nil"/>
              <w:left w:val="single" w:sz="4" w:space="0" w:color="auto"/>
              <w:bottom w:val="nil"/>
              <w:right w:val="nil"/>
            </w:tcBorders>
            <w:shd w:val="clear" w:color="auto" w:fill="auto"/>
            <w:noWrap/>
            <w:hideMark/>
          </w:tcPr>
          <w:p w14:paraId="1819E28C"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hideMark/>
          </w:tcPr>
          <w:p w14:paraId="3414C2A4" w14:textId="77777777" w:rsidR="00630C69" w:rsidRPr="00AA2617" w:rsidRDefault="00630C69" w:rsidP="00AA2617">
            <w:pPr>
              <w:jc w:val="left"/>
              <w:rPr>
                <w:rFonts w:ascii="Arial Narrow" w:eastAsia="Times New Roman" w:hAnsi="Arial Narrow" w:cs="Calibri"/>
                <w:sz w:val="20"/>
                <w:szCs w:val="20"/>
                <w:lang w:val="en-GB"/>
              </w:rPr>
            </w:pPr>
          </w:p>
        </w:tc>
        <w:tc>
          <w:tcPr>
            <w:tcW w:w="7284" w:type="dxa"/>
            <w:tcBorders>
              <w:top w:val="single" w:sz="4" w:space="0" w:color="auto"/>
              <w:left w:val="nil"/>
              <w:bottom w:val="nil"/>
              <w:right w:val="nil"/>
            </w:tcBorders>
            <w:shd w:val="clear" w:color="auto" w:fill="auto"/>
            <w:noWrap/>
            <w:hideMark/>
          </w:tcPr>
          <w:p w14:paraId="1B7BE6BF"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1.1.1.1.  </w:t>
            </w:r>
            <w:r w:rsidRPr="00AA2617">
              <w:rPr>
                <w:rFonts w:eastAsia="Times New Roman" w:cs="Times New Roman"/>
                <w:i/>
                <w:color w:val="000000"/>
                <w:sz w:val="20"/>
                <w:szCs w:val="20"/>
                <w:lang w:val="en-GB"/>
              </w:rPr>
              <w:t>Conduct a stakeholder/coordination mapping for  AFOLU sectors.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7B4FE6B4" w14:textId="77777777" w:rsidR="00630C69" w:rsidRPr="00AA2617" w:rsidRDefault="00630C69"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CCS</w:t>
            </w:r>
          </w:p>
        </w:tc>
        <w:tc>
          <w:tcPr>
            <w:tcW w:w="435" w:type="dxa"/>
            <w:tcBorders>
              <w:top w:val="nil"/>
              <w:left w:val="single" w:sz="8" w:space="0" w:color="auto"/>
              <w:bottom w:val="single" w:sz="4" w:space="0" w:color="auto"/>
              <w:right w:val="single" w:sz="4" w:space="0" w:color="auto"/>
            </w:tcBorders>
            <w:shd w:val="clear" w:color="000000" w:fill="B4C6E7"/>
            <w:noWrap/>
            <w:vAlign w:val="center"/>
            <w:hideMark/>
          </w:tcPr>
          <w:p w14:paraId="435285D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4FE686DD"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59D0B7B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37256CE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31CFD04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0C7719E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5028828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3D24ABA5"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0A078C26" w14:textId="77777777" w:rsidTr="009F21B4">
        <w:trPr>
          <w:cantSplit/>
          <w:trHeight w:val="197"/>
        </w:trPr>
        <w:tc>
          <w:tcPr>
            <w:tcW w:w="578" w:type="dxa"/>
            <w:tcBorders>
              <w:top w:val="nil"/>
              <w:left w:val="single" w:sz="4" w:space="0" w:color="auto"/>
              <w:bottom w:val="nil"/>
              <w:right w:val="nil"/>
            </w:tcBorders>
            <w:shd w:val="clear" w:color="auto" w:fill="auto"/>
            <w:noWrap/>
            <w:hideMark/>
          </w:tcPr>
          <w:p w14:paraId="6E3C7B67"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21570CA4" w14:textId="77777777" w:rsidR="00630C69" w:rsidRPr="00AA2617" w:rsidRDefault="00630C69"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noWrap/>
            <w:hideMark/>
          </w:tcPr>
          <w:p w14:paraId="238CAA8C" w14:textId="606D7744"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1.1.1.2.  </w:t>
            </w:r>
            <w:r w:rsidR="004501B2" w:rsidRPr="00AA2617">
              <w:rPr>
                <w:rFonts w:cs="Times New Roman"/>
                <w:i/>
                <w:sz w:val="22"/>
                <w:lang w:val="en-GB"/>
              </w:rPr>
              <w:t>Create an AFOLU MRV technical working group (TWG)s and link TWGs to the advisory responsibilities for NCs.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667794D3" w14:textId="63D1D86F" w:rsidR="00630C69" w:rsidRPr="00AA2617" w:rsidRDefault="004501B2"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 xml:space="preserve"> </w:t>
            </w:r>
            <w:r w:rsidRPr="00AA2617">
              <w:rPr>
                <w:rFonts w:ascii="Arial Narrow" w:eastAsia="Times New Roman" w:hAnsi="Arial Narrow" w:cs="Calibri"/>
                <w:color w:val="000000"/>
                <w:sz w:val="20"/>
                <w:szCs w:val="20"/>
                <w:lang w:val="en-GB"/>
              </w:rPr>
              <w:t>PMU, ALL STAKEHOLDERS</w:t>
            </w:r>
          </w:p>
        </w:tc>
        <w:tc>
          <w:tcPr>
            <w:tcW w:w="435" w:type="dxa"/>
            <w:tcBorders>
              <w:top w:val="nil"/>
              <w:left w:val="single" w:sz="8" w:space="0" w:color="auto"/>
              <w:bottom w:val="single" w:sz="4" w:space="0" w:color="auto"/>
              <w:right w:val="single" w:sz="4" w:space="0" w:color="auto"/>
            </w:tcBorders>
            <w:shd w:val="clear" w:color="000000" w:fill="B4C6E7"/>
            <w:noWrap/>
            <w:vAlign w:val="center"/>
            <w:hideMark/>
          </w:tcPr>
          <w:p w14:paraId="149545E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3DA8AF2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0B54300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37C3539C"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5B6B640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41EA6BDD"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5938E40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7690220D"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4501B2" w:rsidRPr="00AA2617" w14:paraId="7AAA3228" w14:textId="77777777" w:rsidTr="009F21B4">
        <w:trPr>
          <w:cantSplit/>
          <w:trHeight w:val="197"/>
        </w:trPr>
        <w:tc>
          <w:tcPr>
            <w:tcW w:w="578" w:type="dxa"/>
            <w:tcBorders>
              <w:top w:val="nil"/>
              <w:left w:val="single" w:sz="4" w:space="0" w:color="auto"/>
              <w:bottom w:val="nil"/>
              <w:right w:val="nil"/>
            </w:tcBorders>
            <w:shd w:val="clear" w:color="auto" w:fill="auto"/>
            <w:noWrap/>
          </w:tcPr>
          <w:p w14:paraId="29263442" w14:textId="77777777" w:rsidR="004501B2" w:rsidRPr="00AA2617" w:rsidRDefault="004501B2" w:rsidP="00AA2617">
            <w:pPr>
              <w:jc w:val="left"/>
              <w:rPr>
                <w:rFonts w:ascii="Arial Narrow" w:eastAsia="Times New Roman" w:hAnsi="Arial Narrow" w:cs="Calibri"/>
                <w:color w:val="000000"/>
                <w:sz w:val="20"/>
                <w:szCs w:val="20"/>
                <w:lang w:val="en-GB"/>
              </w:rPr>
            </w:pPr>
          </w:p>
        </w:tc>
        <w:tc>
          <w:tcPr>
            <w:tcW w:w="578" w:type="dxa"/>
            <w:tcBorders>
              <w:top w:val="nil"/>
              <w:left w:val="nil"/>
              <w:bottom w:val="nil"/>
              <w:right w:val="nil"/>
            </w:tcBorders>
            <w:shd w:val="clear" w:color="auto" w:fill="auto"/>
            <w:noWrap/>
          </w:tcPr>
          <w:p w14:paraId="39AF80A0" w14:textId="77777777" w:rsidR="004501B2" w:rsidRPr="00AA2617" w:rsidRDefault="004501B2"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noWrap/>
          </w:tcPr>
          <w:p w14:paraId="1CE639E4" w14:textId="2F66DDFD" w:rsidR="004501B2" w:rsidRPr="00AA2617" w:rsidRDefault="004501B2" w:rsidP="00AA2617">
            <w:pPr>
              <w:jc w:val="left"/>
              <w:rPr>
                <w:rFonts w:ascii="Arial Narrow" w:eastAsia="Times New Roman" w:hAnsi="Arial Narrow" w:cs="Calibri"/>
                <w:color w:val="000000"/>
                <w:sz w:val="20"/>
                <w:szCs w:val="20"/>
                <w:lang w:val="en-GB"/>
              </w:rPr>
            </w:pPr>
            <w:r w:rsidRPr="00AA2617">
              <w:rPr>
                <w:rFonts w:cs="Times New Roman"/>
                <w:i/>
                <w:sz w:val="22"/>
                <w:lang w:val="en-GB"/>
              </w:rPr>
              <w:t>1.1.1.3.  Build a framework for CCS to obtain TWG support for ETF transition and management.</w:t>
            </w:r>
          </w:p>
        </w:tc>
        <w:tc>
          <w:tcPr>
            <w:tcW w:w="1547" w:type="dxa"/>
            <w:tcBorders>
              <w:top w:val="nil"/>
              <w:left w:val="single" w:sz="4" w:space="0" w:color="auto"/>
              <w:bottom w:val="single" w:sz="4" w:space="0" w:color="auto"/>
              <w:right w:val="single" w:sz="4" w:space="0" w:color="auto"/>
            </w:tcBorders>
            <w:shd w:val="clear" w:color="auto" w:fill="auto"/>
          </w:tcPr>
          <w:p w14:paraId="4747A968" w14:textId="40466928" w:rsidR="004501B2" w:rsidRPr="00AA2617" w:rsidRDefault="004501B2"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 xml:space="preserve"> </w:t>
            </w:r>
            <w:r w:rsidRPr="00AA2617">
              <w:rPr>
                <w:rFonts w:ascii="Arial Narrow" w:eastAsia="Times New Roman" w:hAnsi="Arial Narrow" w:cs="Calibri"/>
                <w:color w:val="000000"/>
                <w:sz w:val="20"/>
                <w:szCs w:val="20"/>
                <w:lang w:val="en-GB"/>
              </w:rPr>
              <w:t>PMU, ALL STAKEHOLDERS</w:t>
            </w:r>
          </w:p>
        </w:tc>
        <w:tc>
          <w:tcPr>
            <w:tcW w:w="435" w:type="dxa"/>
            <w:tcBorders>
              <w:top w:val="nil"/>
              <w:left w:val="single" w:sz="8" w:space="0" w:color="auto"/>
              <w:bottom w:val="single" w:sz="4" w:space="0" w:color="auto"/>
              <w:right w:val="single" w:sz="4" w:space="0" w:color="auto"/>
            </w:tcBorders>
            <w:shd w:val="clear" w:color="000000" w:fill="B4C6E7"/>
            <w:noWrap/>
            <w:vAlign w:val="center"/>
          </w:tcPr>
          <w:p w14:paraId="233AE2DC"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tcPr>
          <w:p w14:paraId="251DD0DD"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tcPr>
          <w:p w14:paraId="03E277F2"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tcPr>
          <w:p w14:paraId="2220213C"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tcPr>
          <w:p w14:paraId="45A7B59E"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tcPr>
          <w:p w14:paraId="4DEF386D"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tcPr>
          <w:p w14:paraId="6D54991E"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tcPr>
          <w:p w14:paraId="618306D6" w14:textId="77777777" w:rsidR="004501B2" w:rsidRPr="00AA2617" w:rsidRDefault="004501B2" w:rsidP="00AA2617">
            <w:pPr>
              <w:jc w:val="center"/>
              <w:rPr>
                <w:rFonts w:ascii="Arial Narrow" w:eastAsia="Times New Roman" w:hAnsi="Arial Narrow" w:cs="Calibri"/>
                <w:color w:val="000000"/>
                <w:sz w:val="20"/>
                <w:szCs w:val="20"/>
                <w:lang w:val="en-GB"/>
              </w:rPr>
            </w:pPr>
          </w:p>
        </w:tc>
      </w:tr>
      <w:tr w:rsidR="004501B2" w:rsidRPr="00AA2617" w14:paraId="31C93C65" w14:textId="77777777" w:rsidTr="009F21B4">
        <w:trPr>
          <w:cantSplit/>
          <w:trHeight w:val="197"/>
        </w:trPr>
        <w:tc>
          <w:tcPr>
            <w:tcW w:w="578" w:type="dxa"/>
            <w:tcBorders>
              <w:top w:val="nil"/>
              <w:left w:val="single" w:sz="4" w:space="0" w:color="auto"/>
              <w:bottom w:val="nil"/>
              <w:right w:val="nil"/>
            </w:tcBorders>
            <w:shd w:val="clear" w:color="auto" w:fill="auto"/>
            <w:noWrap/>
          </w:tcPr>
          <w:p w14:paraId="444EDF51" w14:textId="77777777" w:rsidR="004501B2" w:rsidRPr="00AA2617" w:rsidRDefault="004501B2" w:rsidP="00AA2617">
            <w:pPr>
              <w:jc w:val="left"/>
              <w:rPr>
                <w:rFonts w:ascii="Arial Narrow" w:eastAsia="Times New Roman" w:hAnsi="Arial Narrow" w:cs="Calibri"/>
                <w:color w:val="000000"/>
                <w:sz w:val="20"/>
                <w:szCs w:val="20"/>
                <w:lang w:val="en-GB"/>
              </w:rPr>
            </w:pPr>
          </w:p>
        </w:tc>
        <w:tc>
          <w:tcPr>
            <w:tcW w:w="578" w:type="dxa"/>
            <w:tcBorders>
              <w:top w:val="nil"/>
              <w:left w:val="nil"/>
              <w:bottom w:val="nil"/>
              <w:right w:val="nil"/>
            </w:tcBorders>
            <w:shd w:val="clear" w:color="auto" w:fill="auto"/>
            <w:noWrap/>
          </w:tcPr>
          <w:p w14:paraId="20DA0B6E" w14:textId="77777777" w:rsidR="004501B2" w:rsidRPr="00AA2617" w:rsidRDefault="004501B2"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noWrap/>
          </w:tcPr>
          <w:p w14:paraId="67F54F1A" w14:textId="185EF17A" w:rsidR="004501B2" w:rsidRPr="00AA2617" w:rsidRDefault="004501B2" w:rsidP="00AA2617">
            <w:pPr>
              <w:jc w:val="left"/>
              <w:rPr>
                <w:rFonts w:ascii="Arial Narrow" w:eastAsia="Times New Roman" w:hAnsi="Arial Narrow" w:cs="Calibri"/>
                <w:color w:val="000000"/>
                <w:sz w:val="20"/>
                <w:szCs w:val="20"/>
                <w:lang w:val="en-GB"/>
              </w:rPr>
            </w:pPr>
            <w:r w:rsidRPr="00AA2617">
              <w:rPr>
                <w:rFonts w:cs="Times New Roman"/>
                <w:i/>
                <w:sz w:val="22"/>
                <w:lang w:val="en-GB"/>
              </w:rPr>
              <w:t>1.1.1.4.  Create multi-party Internal arrangements (agreements/circulars/memo) for relevant data-sharing.</w:t>
            </w:r>
          </w:p>
        </w:tc>
        <w:tc>
          <w:tcPr>
            <w:tcW w:w="1547" w:type="dxa"/>
            <w:tcBorders>
              <w:top w:val="nil"/>
              <w:left w:val="single" w:sz="4" w:space="0" w:color="auto"/>
              <w:bottom w:val="single" w:sz="4" w:space="0" w:color="auto"/>
              <w:right w:val="single" w:sz="4" w:space="0" w:color="auto"/>
            </w:tcBorders>
            <w:shd w:val="clear" w:color="auto" w:fill="auto"/>
          </w:tcPr>
          <w:p w14:paraId="48E897F9" w14:textId="683CFB1F" w:rsidR="004501B2" w:rsidRPr="00AA2617" w:rsidRDefault="004501B2"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 xml:space="preserve"> </w:t>
            </w:r>
            <w:r w:rsidRPr="00AA2617">
              <w:rPr>
                <w:rFonts w:ascii="Arial Narrow" w:eastAsia="Times New Roman" w:hAnsi="Arial Narrow" w:cs="Calibri"/>
                <w:color w:val="000000"/>
                <w:sz w:val="20"/>
                <w:szCs w:val="20"/>
                <w:lang w:val="en-GB"/>
              </w:rPr>
              <w:t>PMU, ALL STAKEHOLDERS</w:t>
            </w:r>
          </w:p>
        </w:tc>
        <w:tc>
          <w:tcPr>
            <w:tcW w:w="435" w:type="dxa"/>
            <w:tcBorders>
              <w:top w:val="nil"/>
              <w:left w:val="single" w:sz="8" w:space="0" w:color="auto"/>
              <w:bottom w:val="single" w:sz="4" w:space="0" w:color="auto"/>
              <w:right w:val="single" w:sz="4" w:space="0" w:color="auto"/>
            </w:tcBorders>
            <w:shd w:val="clear" w:color="000000" w:fill="B4C6E7"/>
            <w:noWrap/>
            <w:vAlign w:val="center"/>
          </w:tcPr>
          <w:p w14:paraId="1E1B0B25"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tcPr>
          <w:p w14:paraId="0E873C32"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tcPr>
          <w:p w14:paraId="751D1504"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tcPr>
          <w:p w14:paraId="77BC25E6"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tcPr>
          <w:p w14:paraId="0806D4AE"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tcPr>
          <w:p w14:paraId="0919CEE3"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tcPr>
          <w:p w14:paraId="3E228C5E"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tcPr>
          <w:p w14:paraId="4E6FCAF0" w14:textId="77777777" w:rsidR="004501B2" w:rsidRPr="00AA2617" w:rsidRDefault="004501B2" w:rsidP="00AA2617">
            <w:pPr>
              <w:jc w:val="center"/>
              <w:rPr>
                <w:rFonts w:ascii="Arial Narrow" w:eastAsia="Times New Roman" w:hAnsi="Arial Narrow" w:cs="Calibri"/>
                <w:color w:val="000000"/>
                <w:sz w:val="20"/>
                <w:szCs w:val="20"/>
                <w:lang w:val="en-GB"/>
              </w:rPr>
            </w:pPr>
          </w:p>
        </w:tc>
      </w:tr>
      <w:tr w:rsidR="004501B2" w:rsidRPr="00AA2617" w14:paraId="33E4FFA2" w14:textId="77777777" w:rsidTr="009F21B4">
        <w:trPr>
          <w:cantSplit/>
          <w:trHeight w:val="197"/>
        </w:trPr>
        <w:tc>
          <w:tcPr>
            <w:tcW w:w="578" w:type="dxa"/>
            <w:tcBorders>
              <w:top w:val="nil"/>
              <w:left w:val="single" w:sz="4" w:space="0" w:color="auto"/>
              <w:bottom w:val="nil"/>
              <w:right w:val="nil"/>
            </w:tcBorders>
            <w:shd w:val="clear" w:color="auto" w:fill="auto"/>
            <w:noWrap/>
          </w:tcPr>
          <w:p w14:paraId="1308D4F2" w14:textId="77777777" w:rsidR="004501B2" w:rsidRPr="00AA2617" w:rsidRDefault="004501B2" w:rsidP="00AA2617">
            <w:pPr>
              <w:jc w:val="left"/>
              <w:rPr>
                <w:rFonts w:ascii="Arial Narrow" w:eastAsia="Times New Roman" w:hAnsi="Arial Narrow" w:cs="Calibri"/>
                <w:color w:val="000000"/>
                <w:sz w:val="20"/>
                <w:szCs w:val="20"/>
                <w:lang w:val="en-GB"/>
              </w:rPr>
            </w:pPr>
          </w:p>
        </w:tc>
        <w:tc>
          <w:tcPr>
            <w:tcW w:w="578" w:type="dxa"/>
            <w:tcBorders>
              <w:top w:val="nil"/>
              <w:left w:val="nil"/>
              <w:bottom w:val="nil"/>
              <w:right w:val="nil"/>
            </w:tcBorders>
            <w:shd w:val="clear" w:color="auto" w:fill="auto"/>
            <w:noWrap/>
          </w:tcPr>
          <w:p w14:paraId="54DE0D4C" w14:textId="77777777" w:rsidR="004501B2" w:rsidRPr="00AA2617" w:rsidRDefault="004501B2"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noWrap/>
          </w:tcPr>
          <w:p w14:paraId="65B0FE17" w14:textId="0D62A280" w:rsidR="004501B2" w:rsidRPr="00AA2617" w:rsidRDefault="004501B2" w:rsidP="00AA2617">
            <w:pPr>
              <w:jc w:val="left"/>
              <w:rPr>
                <w:rFonts w:ascii="Arial Narrow" w:eastAsia="Times New Roman" w:hAnsi="Arial Narrow" w:cs="Calibri"/>
                <w:color w:val="000000"/>
                <w:sz w:val="20"/>
                <w:szCs w:val="20"/>
                <w:lang w:val="en-GB"/>
              </w:rPr>
            </w:pPr>
            <w:r w:rsidRPr="00AA2617">
              <w:rPr>
                <w:rFonts w:cs="Times New Roman"/>
                <w:i/>
                <w:sz w:val="22"/>
                <w:lang w:val="en-GB"/>
              </w:rPr>
              <w:t>1.1.1.5.  Create an online portal for ETF-related information on CCS with mobile uploading capability.</w:t>
            </w:r>
          </w:p>
        </w:tc>
        <w:tc>
          <w:tcPr>
            <w:tcW w:w="1547" w:type="dxa"/>
            <w:tcBorders>
              <w:top w:val="nil"/>
              <w:left w:val="single" w:sz="4" w:space="0" w:color="auto"/>
              <w:bottom w:val="single" w:sz="4" w:space="0" w:color="auto"/>
              <w:right w:val="single" w:sz="4" w:space="0" w:color="auto"/>
            </w:tcBorders>
            <w:shd w:val="clear" w:color="auto" w:fill="auto"/>
            <w:vAlign w:val="center"/>
          </w:tcPr>
          <w:p w14:paraId="52109E42" w14:textId="7E92CD57" w:rsidR="004501B2" w:rsidRPr="00AA2617" w:rsidRDefault="004501B2"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LOA</w:t>
            </w:r>
          </w:p>
        </w:tc>
        <w:tc>
          <w:tcPr>
            <w:tcW w:w="435" w:type="dxa"/>
            <w:tcBorders>
              <w:top w:val="nil"/>
              <w:left w:val="single" w:sz="8" w:space="0" w:color="auto"/>
              <w:bottom w:val="single" w:sz="4" w:space="0" w:color="auto"/>
              <w:right w:val="single" w:sz="4" w:space="0" w:color="auto"/>
            </w:tcBorders>
            <w:shd w:val="clear" w:color="auto" w:fill="8EAADB" w:themeFill="accent1" w:themeFillTint="99"/>
            <w:noWrap/>
            <w:vAlign w:val="center"/>
          </w:tcPr>
          <w:p w14:paraId="62942503"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8EAADB" w:themeFill="accent1" w:themeFillTint="99"/>
            <w:noWrap/>
            <w:vAlign w:val="center"/>
          </w:tcPr>
          <w:p w14:paraId="685CD887"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8EAADB" w:themeFill="accent1" w:themeFillTint="99"/>
            <w:noWrap/>
            <w:vAlign w:val="center"/>
          </w:tcPr>
          <w:p w14:paraId="4CEB9739"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8EAADB" w:themeFill="accent1" w:themeFillTint="99"/>
            <w:noWrap/>
            <w:vAlign w:val="center"/>
          </w:tcPr>
          <w:p w14:paraId="051539EE"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8EAADB" w:themeFill="accent1" w:themeFillTint="99"/>
            <w:noWrap/>
            <w:vAlign w:val="center"/>
          </w:tcPr>
          <w:p w14:paraId="1A5C193C"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8EAADB" w:themeFill="accent1" w:themeFillTint="99"/>
            <w:noWrap/>
            <w:vAlign w:val="center"/>
          </w:tcPr>
          <w:p w14:paraId="5A40C7FF"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tcPr>
          <w:p w14:paraId="02455A22"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tcPr>
          <w:p w14:paraId="399F6B52" w14:textId="77777777" w:rsidR="004501B2" w:rsidRPr="00AA2617" w:rsidRDefault="004501B2" w:rsidP="00AA2617">
            <w:pPr>
              <w:jc w:val="center"/>
              <w:rPr>
                <w:rFonts w:ascii="Arial Narrow" w:eastAsia="Times New Roman" w:hAnsi="Arial Narrow" w:cs="Calibri"/>
                <w:color w:val="000000"/>
                <w:sz w:val="20"/>
                <w:szCs w:val="20"/>
                <w:lang w:val="en-GB"/>
              </w:rPr>
            </w:pPr>
          </w:p>
        </w:tc>
      </w:tr>
      <w:tr w:rsidR="00630C69" w:rsidRPr="00AA2617" w14:paraId="4BE9312E" w14:textId="77777777" w:rsidTr="009F21B4">
        <w:trPr>
          <w:cantSplit/>
          <w:trHeight w:val="359"/>
        </w:trPr>
        <w:tc>
          <w:tcPr>
            <w:tcW w:w="578" w:type="dxa"/>
            <w:tcBorders>
              <w:top w:val="nil"/>
              <w:left w:val="single" w:sz="4" w:space="0" w:color="auto"/>
              <w:bottom w:val="nil"/>
              <w:right w:val="nil"/>
            </w:tcBorders>
            <w:shd w:val="clear" w:color="auto" w:fill="auto"/>
            <w:noWrap/>
            <w:hideMark/>
          </w:tcPr>
          <w:p w14:paraId="5E983178"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nil"/>
            </w:tcBorders>
            <w:shd w:val="clear" w:color="auto" w:fill="auto"/>
            <w:hideMark/>
          </w:tcPr>
          <w:p w14:paraId="0FAEB41E" w14:textId="77777777" w:rsidR="00630C69" w:rsidRPr="00AA2617" w:rsidRDefault="00630C69" w:rsidP="00AA2617">
            <w:pPr>
              <w:jc w:val="left"/>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 xml:space="preserve">1.1.2.  </w:t>
            </w:r>
            <w:r w:rsidRPr="00AA2617">
              <w:rPr>
                <w:rFonts w:cs="Times New Roman"/>
                <w:i/>
                <w:sz w:val="22"/>
                <w:lang w:val="en-GB"/>
              </w:rPr>
              <w:t>Assessment prepared to assess institutional, data collection, analysis and reporting capacity gaps and needs for meeting ETF requirements with specific focus on the priority NDC actions for the agriculture, forestry and land-use sectors.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3C40AF7A" w14:textId="77777777" w:rsidR="00630C69" w:rsidRPr="00AA2617" w:rsidRDefault="00630C69" w:rsidP="00AA2617">
            <w:pPr>
              <w:jc w:val="center"/>
              <w:rPr>
                <w:rFonts w:ascii="Arial Narrow" w:eastAsia="Times New Roman" w:hAnsi="Arial Narrow" w:cs="Calibri"/>
                <w:sz w:val="20"/>
                <w:szCs w:val="20"/>
                <w:lang w:val="en-GB"/>
              </w:rPr>
            </w:pPr>
          </w:p>
        </w:tc>
        <w:tc>
          <w:tcPr>
            <w:tcW w:w="435" w:type="dxa"/>
            <w:tcBorders>
              <w:top w:val="nil"/>
              <w:left w:val="single" w:sz="8" w:space="0" w:color="auto"/>
              <w:bottom w:val="single" w:sz="4" w:space="0" w:color="auto"/>
              <w:right w:val="single" w:sz="4" w:space="0" w:color="auto"/>
            </w:tcBorders>
            <w:shd w:val="clear" w:color="000000" w:fill="305496"/>
            <w:noWrap/>
            <w:vAlign w:val="center"/>
            <w:hideMark/>
          </w:tcPr>
          <w:p w14:paraId="1898A73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305496"/>
            <w:noWrap/>
            <w:vAlign w:val="center"/>
            <w:hideMark/>
          </w:tcPr>
          <w:p w14:paraId="33540F9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3AE81F6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305496"/>
            <w:noWrap/>
            <w:vAlign w:val="center"/>
            <w:hideMark/>
          </w:tcPr>
          <w:p w14:paraId="760987A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305496"/>
            <w:noWrap/>
            <w:vAlign w:val="center"/>
            <w:hideMark/>
          </w:tcPr>
          <w:p w14:paraId="66A7398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305496"/>
            <w:noWrap/>
            <w:vAlign w:val="center"/>
            <w:hideMark/>
          </w:tcPr>
          <w:p w14:paraId="38572B70"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032A4C6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305496"/>
            <w:noWrap/>
            <w:vAlign w:val="center"/>
            <w:hideMark/>
          </w:tcPr>
          <w:p w14:paraId="08C176F7"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0196EA47" w14:textId="77777777" w:rsidTr="009F21B4">
        <w:trPr>
          <w:cantSplit/>
          <w:trHeight w:val="359"/>
        </w:trPr>
        <w:tc>
          <w:tcPr>
            <w:tcW w:w="578" w:type="dxa"/>
            <w:tcBorders>
              <w:top w:val="nil"/>
              <w:left w:val="single" w:sz="4" w:space="0" w:color="auto"/>
              <w:bottom w:val="nil"/>
              <w:right w:val="nil"/>
            </w:tcBorders>
            <w:shd w:val="clear" w:color="auto" w:fill="auto"/>
            <w:noWrap/>
            <w:hideMark/>
          </w:tcPr>
          <w:p w14:paraId="4C109F1B"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hideMark/>
          </w:tcPr>
          <w:p w14:paraId="34B4B024" w14:textId="77777777" w:rsidR="00630C69" w:rsidRPr="00AA2617" w:rsidRDefault="00630C69" w:rsidP="00AA2617">
            <w:pPr>
              <w:jc w:val="left"/>
              <w:rPr>
                <w:rFonts w:ascii="Arial Narrow" w:eastAsia="Times New Roman" w:hAnsi="Arial Narrow" w:cs="Calibri"/>
                <w:color w:val="FF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12D62D0C" w14:textId="713C5294"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1.1.2.1.  </w:t>
            </w:r>
            <w:r w:rsidR="004501B2" w:rsidRPr="00AA2617">
              <w:rPr>
                <w:i/>
                <w:sz w:val="22"/>
                <w:lang w:val="en-GB"/>
              </w:rPr>
              <w:t xml:space="preserve"> Develop a AFOLU MRV assessment framework.</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3D8AE247" w14:textId="0827B833" w:rsidR="00630C69" w:rsidRPr="00AA2617" w:rsidRDefault="00630C69"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PMU, CCS</w:t>
            </w:r>
            <w:r w:rsidR="004501B2" w:rsidRPr="00AA2617">
              <w:rPr>
                <w:rFonts w:ascii="Arial Narrow" w:eastAsia="Times New Roman" w:hAnsi="Arial Narrow" w:cs="Calibri"/>
                <w:sz w:val="20"/>
                <w:szCs w:val="20"/>
                <w:lang w:val="en-GB"/>
              </w:rPr>
              <w:t xml:space="preserve"> LOA</w:t>
            </w:r>
          </w:p>
        </w:tc>
        <w:tc>
          <w:tcPr>
            <w:tcW w:w="435" w:type="dxa"/>
            <w:tcBorders>
              <w:top w:val="nil"/>
              <w:left w:val="single" w:sz="8" w:space="0" w:color="auto"/>
              <w:bottom w:val="single" w:sz="4" w:space="0" w:color="auto"/>
              <w:right w:val="single" w:sz="4" w:space="0" w:color="auto"/>
            </w:tcBorders>
            <w:shd w:val="clear" w:color="000000" w:fill="B4C6E7"/>
            <w:noWrap/>
            <w:vAlign w:val="center"/>
            <w:hideMark/>
          </w:tcPr>
          <w:p w14:paraId="14178B1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B4C6E7"/>
            <w:noWrap/>
            <w:vAlign w:val="center"/>
            <w:hideMark/>
          </w:tcPr>
          <w:p w14:paraId="6640E91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633C215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14D76FE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27ECC956"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41F4A89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61F51D4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1370CD8A"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1B70A6B2" w14:textId="77777777" w:rsidTr="009F21B4">
        <w:trPr>
          <w:cantSplit/>
          <w:trHeight w:val="161"/>
        </w:trPr>
        <w:tc>
          <w:tcPr>
            <w:tcW w:w="578" w:type="dxa"/>
            <w:tcBorders>
              <w:top w:val="nil"/>
              <w:left w:val="single" w:sz="4" w:space="0" w:color="auto"/>
              <w:bottom w:val="nil"/>
              <w:right w:val="nil"/>
            </w:tcBorders>
            <w:shd w:val="clear" w:color="auto" w:fill="auto"/>
            <w:noWrap/>
            <w:hideMark/>
          </w:tcPr>
          <w:p w14:paraId="37D04277"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nil"/>
            </w:tcBorders>
            <w:shd w:val="clear" w:color="auto" w:fill="auto"/>
            <w:hideMark/>
          </w:tcPr>
          <w:p w14:paraId="4B9295D0" w14:textId="4011DE0B"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1.1.3. </w:t>
            </w:r>
            <w:r w:rsidRPr="00AA2617">
              <w:rPr>
                <w:rFonts w:cs="Times New Roman"/>
                <w:i/>
                <w:sz w:val="22"/>
                <w:lang w:val="en-GB"/>
              </w:rPr>
              <w:t xml:space="preserve">National ETF monitoring and reporting roadmap for the </w:t>
            </w:r>
            <w:r w:rsidR="00AF5E2E" w:rsidRPr="00AA2617">
              <w:rPr>
                <w:rFonts w:cs="Times New Roman"/>
                <w:i/>
                <w:sz w:val="22"/>
                <w:lang w:val="en-GB"/>
              </w:rPr>
              <w:t xml:space="preserve">AFOLU </w:t>
            </w:r>
            <w:r w:rsidRPr="00AA2617">
              <w:rPr>
                <w:rFonts w:cs="Times New Roman"/>
                <w:i/>
                <w:sz w:val="22"/>
                <w:lang w:val="en-GB"/>
              </w:rPr>
              <w:t>sectors prepared and adopted</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518A2A72"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3C8B481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465A14D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8EAADB" w:themeFill="accent1" w:themeFillTint="99"/>
            <w:noWrap/>
            <w:vAlign w:val="center"/>
            <w:hideMark/>
          </w:tcPr>
          <w:p w14:paraId="08DE5E9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8EAADB" w:themeFill="accent1" w:themeFillTint="99"/>
            <w:noWrap/>
            <w:vAlign w:val="center"/>
            <w:hideMark/>
          </w:tcPr>
          <w:p w14:paraId="55DE87B6"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5509434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5F6800A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33ED96B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3CBB4C49"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1602C54D" w14:textId="77777777" w:rsidTr="009F21B4">
        <w:trPr>
          <w:cantSplit/>
          <w:trHeight w:val="278"/>
        </w:trPr>
        <w:tc>
          <w:tcPr>
            <w:tcW w:w="578" w:type="dxa"/>
            <w:tcBorders>
              <w:top w:val="nil"/>
              <w:left w:val="single" w:sz="4" w:space="0" w:color="auto"/>
              <w:bottom w:val="nil"/>
              <w:right w:val="nil"/>
            </w:tcBorders>
            <w:shd w:val="clear" w:color="auto" w:fill="auto"/>
            <w:noWrap/>
            <w:hideMark/>
          </w:tcPr>
          <w:p w14:paraId="4BB7AD04"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60754EB0" w14:textId="77777777" w:rsidR="00630C69" w:rsidRPr="00AA2617" w:rsidRDefault="00630C69"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0F58A6C8"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1.1.3.1.  </w:t>
            </w:r>
            <w:r w:rsidRPr="00AA2617">
              <w:rPr>
                <w:rFonts w:eastAsia="Times New Roman" w:cs="Times New Roman"/>
                <w:i/>
                <w:color w:val="000000"/>
                <w:sz w:val="22"/>
              </w:rPr>
              <w:t>Produce an ETF-compliant MRV protocol for the agricultural and land-use sectors.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57030F43" w14:textId="7E5BB83F"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PMU, FAO, STAKEHOLDERS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2B6D578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1CC4B0BD"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8EAADB" w:themeFill="accent1" w:themeFillTint="99"/>
            <w:noWrap/>
            <w:vAlign w:val="center"/>
            <w:hideMark/>
          </w:tcPr>
          <w:p w14:paraId="40BD0772"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8EAADB" w:themeFill="accent1" w:themeFillTint="99"/>
            <w:noWrap/>
            <w:vAlign w:val="center"/>
            <w:hideMark/>
          </w:tcPr>
          <w:p w14:paraId="2ED3708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0090321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36DEC120"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1AA3AC8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141DF243"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5B23EA23" w14:textId="77777777" w:rsidTr="009F21B4">
        <w:trPr>
          <w:cantSplit/>
          <w:trHeight w:val="170"/>
        </w:trPr>
        <w:tc>
          <w:tcPr>
            <w:tcW w:w="578" w:type="dxa"/>
            <w:tcBorders>
              <w:top w:val="nil"/>
              <w:left w:val="single" w:sz="4" w:space="0" w:color="auto"/>
              <w:bottom w:val="nil"/>
              <w:right w:val="nil"/>
            </w:tcBorders>
            <w:shd w:val="clear" w:color="auto" w:fill="auto"/>
            <w:noWrap/>
            <w:hideMark/>
          </w:tcPr>
          <w:p w14:paraId="0357C756"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lastRenderedPageBreak/>
              <w:t> </w:t>
            </w:r>
          </w:p>
        </w:tc>
        <w:tc>
          <w:tcPr>
            <w:tcW w:w="7862" w:type="dxa"/>
            <w:gridSpan w:val="2"/>
            <w:tcBorders>
              <w:top w:val="single" w:sz="4" w:space="0" w:color="auto"/>
              <w:left w:val="nil"/>
              <w:bottom w:val="nil"/>
              <w:right w:val="nil"/>
            </w:tcBorders>
            <w:shd w:val="clear" w:color="auto" w:fill="auto"/>
            <w:hideMark/>
          </w:tcPr>
          <w:p w14:paraId="5986CFBC" w14:textId="01B9D135"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1.1.4.  </w:t>
            </w:r>
            <w:r w:rsidR="00AF5E2E" w:rsidRPr="00AA2617">
              <w:rPr>
                <w:rFonts w:cs="Times New Roman"/>
                <w:i/>
                <w:sz w:val="22"/>
                <w:lang w:val="en-GB"/>
              </w:rPr>
              <w:t>Capacity developed to clarify measurement and reporting of key NDC information (baselines, Business-As-Usual targets) and support provided for ETF reporting in AFOLU sectors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23DC408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53A5589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0944338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8EAADB" w:themeFill="accent1" w:themeFillTint="99"/>
            <w:noWrap/>
            <w:vAlign w:val="center"/>
            <w:hideMark/>
          </w:tcPr>
          <w:p w14:paraId="1879B55C"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8EAADB" w:themeFill="accent1" w:themeFillTint="99"/>
            <w:noWrap/>
            <w:vAlign w:val="center"/>
            <w:hideMark/>
          </w:tcPr>
          <w:p w14:paraId="102F52C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8EAADB" w:themeFill="accent1" w:themeFillTint="99"/>
            <w:noWrap/>
            <w:vAlign w:val="center"/>
            <w:hideMark/>
          </w:tcPr>
          <w:p w14:paraId="02886E26"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46F65BF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743289A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51D8306C"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4501B2" w:rsidRPr="00AA2617" w14:paraId="6C608865" w14:textId="77777777" w:rsidTr="009F21B4">
        <w:trPr>
          <w:cantSplit/>
          <w:trHeight w:val="377"/>
        </w:trPr>
        <w:tc>
          <w:tcPr>
            <w:tcW w:w="578" w:type="dxa"/>
            <w:tcBorders>
              <w:top w:val="nil"/>
              <w:left w:val="single" w:sz="4" w:space="0" w:color="auto"/>
              <w:bottom w:val="nil"/>
              <w:right w:val="nil"/>
            </w:tcBorders>
            <w:shd w:val="clear" w:color="auto" w:fill="auto"/>
            <w:noWrap/>
            <w:hideMark/>
          </w:tcPr>
          <w:p w14:paraId="0BDA1D1B" w14:textId="77777777" w:rsidR="004501B2" w:rsidRPr="00AA2617" w:rsidRDefault="004501B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hideMark/>
          </w:tcPr>
          <w:p w14:paraId="499B46DC" w14:textId="77777777" w:rsidR="004501B2" w:rsidRPr="00AA2617" w:rsidRDefault="004501B2" w:rsidP="00AA2617">
            <w:pPr>
              <w:jc w:val="left"/>
              <w:rPr>
                <w:rFonts w:ascii="Arial Narrow" w:eastAsia="Times New Roman" w:hAnsi="Arial Narrow" w:cs="Calibri"/>
                <w:b/>
                <w:bCs/>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64FA4CA6" w14:textId="282B3413" w:rsidR="004501B2" w:rsidRPr="00AA2617" w:rsidRDefault="004501B2" w:rsidP="00AA2617">
            <w:pPr>
              <w:jc w:val="left"/>
              <w:rPr>
                <w:rFonts w:ascii="Arial Narrow" w:eastAsia="Times New Roman" w:hAnsi="Arial Narrow" w:cs="Calibri"/>
                <w:color w:val="000000"/>
                <w:sz w:val="20"/>
                <w:szCs w:val="20"/>
                <w:lang w:val="en-GB"/>
              </w:rPr>
            </w:pPr>
            <w:r w:rsidRPr="00AA2617">
              <w:rPr>
                <w:rFonts w:cs="Times New Roman"/>
                <w:i/>
                <w:sz w:val="22"/>
                <w:lang w:val="en-GB"/>
              </w:rPr>
              <w:t>1.1.4.1.  Provide training and necessary capacity for CCS to liaise with AFOLU stakeholders: to train stakeholders to generate data necessary for UNFCCC reporting.</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715B5744" w14:textId="6A316E96" w:rsidR="004501B2" w:rsidRPr="00AA2617" w:rsidRDefault="004501B2"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PMU through FAO and LOA with National Consultants </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582FB92C"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39DFB55C"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8EAADB" w:themeFill="accent1" w:themeFillTint="99"/>
            <w:noWrap/>
            <w:vAlign w:val="center"/>
            <w:hideMark/>
          </w:tcPr>
          <w:p w14:paraId="563D653C"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8EAADB" w:themeFill="accent1" w:themeFillTint="99"/>
            <w:noWrap/>
            <w:vAlign w:val="center"/>
            <w:hideMark/>
          </w:tcPr>
          <w:p w14:paraId="0C618E55"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8EAADB" w:themeFill="accent1" w:themeFillTint="99"/>
            <w:noWrap/>
            <w:vAlign w:val="center"/>
            <w:hideMark/>
          </w:tcPr>
          <w:p w14:paraId="159E1D10"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6DCD9B8B"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03D50E33"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1F8E60D1" w14:textId="77777777" w:rsidR="004501B2" w:rsidRPr="00AA2617" w:rsidRDefault="004501B2" w:rsidP="00AA2617">
            <w:pPr>
              <w:jc w:val="center"/>
              <w:rPr>
                <w:rFonts w:ascii="Arial Narrow" w:eastAsia="Times New Roman" w:hAnsi="Arial Narrow" w:cs="Calibri"/>
                <w:color w:val="000000"/>
                <w:sz w:val="20"/>
                <w:szCs w:val="20"/>
                <w:lang w:val="en-GB"/>
              </w:rPr>
            </w:pPr>
          </w:p>
        </w:tc>
      </w:tr>
      <w:tr w:rsidR="004501B2" w:rsidRPr="00AA2617" w14:paraId="71DA4A8D" w14:textId="77777777" w:rsidTr="009F21B4">
        <w:trPr>
          <w:cantSplit/>
          <w:trHeight w:val="449"/>
        </w:trPr>
        <w:tc>
          <w:tcPr>
            <w:tcW w:w="578" w:type="dxa"/>
            <w:tcBorders>
              <w:top w:val="nil"/>
              <w:left w:val="single" w:sz="4" w:space="0" w:color="auto"/>
              <w:bottom w:val="nil"/>
              <w:right w:val="nil"/>
            </w:tcBorders>
            <w:shd w:val="clear" w:color="auto" w:fill="auto"/>
            <w:noWrap/>
            <w:hideMark/>
          </w:tcPr>
          <w:p w14:paraId="4E5D7B4F" w14:textId="77777777" w:rsidR="004501B2" w:rsidRPr="00AA2617" w:rsidRDefault="004501B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hideMark/>
          </w:tcPr>
          <w:p w14:paraId="73505FD6" w14:textId="77777777" w:rsidR="004501B2" w:rsidRPr="00AA2617" w:rsidRDefault="004501B2" w:rsidP="00AA2617">
            <w:pPr>
              <w:jc w:val="left"/>
              <w:rPr>
                <w:rFonts w:ascii="Arial Narrow" w:eastAsia="Times New Roman" w:hAnsi="Arial Narrow" w:cs="Calibri"/>
                <w:b/>
                <w:bCs/>
                <w:color w:val="000000"/>
                <w:sz w:val="20"/>
                <w:szCs w:val="20"/>
                <w:lang w:val="en-GB"/>
              </w:rPr>
            </w:pPr>
          </w:p>
        </w:tc>
        <w:tc>
          <w:tcPr>
            <w:tcW w:w="7284" w:type="dxa"/>
            <w:tcBorders>
              <w:top w:val="nil"/>
              <w:left w:val="nil"/>
              <w:bottom w:val="single" w:sz="4" w:space="0" w:color="auto"/>
              <w:right w:val="nil"/>
            </w:tcBorders>
            <w:shd w:val="clear" w:color="auto" w:fill="auto"/>
            <w:hideMark/>
          </w:tcPr>
          <w:p w14:paraId="6D798249" w14:textId="1C79922C" w:rsidR="004501B2" w:rsidRPr="00AA2617" w:rsidRDefault="004501B2" w:rsidP="00AA2617">
            <w:pPr>
              <w:jc w:val="left"/>
              <w:rPr>
                <w:rFonts w:ascii="Arial Narrow" w:eastAsia="Times New Roman" w:hAnsi="Arial Narrow" w:cs="Calibri"/>
                <w:color w:val="000000"/>
                <w:sz w:val="20"/>
                <w:szCs w:val="20"/>
                <w:lang w:val="en-GB"/>
              </w:rPr>
            </w:pPr>
            <w:r w:rsidRPr="00AA2617">
              <w:rPr>
                <w:rFonts w:cs="Times New Roman"/>
                <w:i/>
                <w:sz w:val="22"/>
                <w:lang w:val="en-GB"/>
              </w:rPr>
              <w:t>1.1.4.2.  Create national ETF-complaint reports covering mitigation and adaptation-related activities in accordance with NDC commitments for the AFOLU sector.</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698819F0" w14:textId="1FEA156B" w:rsidR="004501B2" w:rsidRPr="00AA2617" w:rsidRDefault="004501B2"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PMU through FAO and LOA with National Consultants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2557E9ED"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38B5E57E"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3531D5AF"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53DF7C48"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3FAFAA9A"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5130A49F"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522836F6"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6BD154FB" w14:textId="77777777" w:rsidR="004501B2" w:rsidRPr="00AA2617" w:rsidRDefault="004501B2" w:rsidP="00AA2617">
            <w:pPr>
              <w:jc w:val="center"/>
              <w:rPr>
                <w:rFonts w:ascii="Arial Narrow" w:eastAsia="Times New Roman" w:hAnsi="Arial Narrow" w:cs="Calibri"/>
                <w:color w:val="000000"/>
                <w:sz w:val="20"/>
                <w:szCs w:val="20"/>
                <w:lang w:val="en-GB"/>
              </w:rPr>
            </w:pPr>
          </w:p>
        </w:tc>
      </w:tr>
      <w:tr w:rsidR="00630C69" w:rsidRPr="00AA2617" w14:paraId="0EEA5430" w14:textId="77777777" w:rsidTr="009F21B4">
        <w:trPr>
          <w:cantSplit/>
          <w:trHeight w:val="170"/>
        </w:trPr>
        <w:tc>
          <w:tcPr>
            <w:tcW w:w="578" w:type="dxa"/>
            <w:tcBorders>
              <w:top w:val="nil"/>
              <w:left w:val="single" w:sz="4" w:space="0" w:color="auto"/>
              <w:bottom w:val="nil"/>
              <w:right w:val="nil"/>
            </w:tcBorders>
            <w:shd w:val="clear" w:color="auto" w:fill="auto"/>
            <w:noWrap/>
            <w:hideMark/>
          </w:tcPr>
          <w:p w14:paraId="5E6B0153"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nil"/>
            </w:tcBorders>
            <w:shd w:val="clear" w:color="auto" w:fill="auto"/>
            <w:hideMark/>
          </w:tcPr>
          <w:p w14:paraId="4A1EC1F7" w14:textId="772F210E" w:rsidR="00630C69" w:rsidRPr="00AA2617" w:rsidRDefault="00630C69" w:rsidP="00AA2617">
            <w:pP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1.1.5.  </w:t>
            </w:r>
            <w:r w:rsidR="00AF5E2E" w:rsidRPr="00AA2617">
              <w:rPr>
                <w:rFonts w:cs="Times New Roman"/>
                <w:i/>
                <w:sz w:val="22"/>
                <w:lang w:val="en-GB"/>
              </w:rPr>
              <w:t>Sri Lanka's engagement strengthened in the AFOLU sectors with international transparency-related processes under the UNFCCC.</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1904016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49B618F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69E7B78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7979B2E6"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4CD12C7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0FA3EEC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1F0D2E4D"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57B6152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7F56DA40"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477BAA83" w14:textId="77777777" w:rsidTr="009F21B4">
        <w:trPr>
          <w:cantSplit/>
          <w:trHeight w:val="377"/>
        </w:trPr>
        <w:tc>
          <w:tcPr>
            <w:tcW w:w="578" w:type="dxa"/>
            <w:tcBorders>
              <w:top w:val="nil"/>
              <w:left w:val="single" w:sz="4" w:space="0" w:color="auto"/>
              <w:bottom w:val="nil"/>
              <w:right w:val="nil"/>
            </w:tcBorders>
            <w:shd w:val="clear" w:color="auto" w:fill="auto"/>
            <w:noWrap/>
            <w:hideMark/>
          </w:tcPr>
          <w:p w14:paraId="4EAC719B"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hideMark/>
          </w:tcPr>
          <w:p w14:paraId="488F1BAD" w14:textId="77777777" w:rsidR="00630C69" w:rsidRPr="00AA2617" w:rsidRDefault="00630C69" w:rsidP="00AA2617">
            <w:pPr>
              <w:jc w:val="left"/>
              <w:rPr>
                <w:rFonts w:ascii="Arial Narrow" w:eastAsia="Times New Roman" w:hAnsi="Arial Narrow" w:cs="Calibri"/>
                <w:b/>
                <w:bCs/>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3525A9EB" w14:textId="702C4364" w:rsidR="00630C69" w:rsidRPr="00AA2617" w:rsidRDefault="004501B2" w:rsidP="00AA2617">
            <w:pPr>
              <w:jc w:val="left"/>
              <w:rPr>
                <w:rFonts w:ascii="Arial Narrow" w:eastAsia="Times New Roman" w:hAnsi="Arial Narrow" w:cs="Calibri"/>
                <w:color w:val="000000"/>
                <w:sz w:val="20"/>
                <w:szCs w:val="20"/>
                <w:lang w:val="en-GB"/>
              </w:rPr>
            </w:pPr>
            <w:r w:rsidRPr="00AA2617">
              <w:rPr>
                <w:rFonts w:cs="Times New Roman"/>
                <w:i/>
                <w:sz w:val="22"/>
                <w:lang w:val="en-GB"/>
              </w:rPr>
              <w:t>1.1.5.1.  Publish a peer-reviewed AFOLU sector ETF-compliant MRV document concurrently with National Communications.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00F46FB2"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  CCS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3C6DB28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8EAADB" w:themeFill="accent1" w:themeFillTint="99"/>
            <w:noWrap/>
            <w:vAlign w:val="center"/>
            <w:hideMark/>
          </w:tcPr>
          <w:p w14:paraId="57673EC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8EAADB" w:themeFill="accent1" w:themeFillTint="99"/>
            <w:noWrap/>
            <w:vAlign w:val="center"/>
            <w:hideMark/>
          </w:tcPr>
          <w:p w14:paraId="2EE0847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8EAADB" w:themeFill="accent1" w:themeFillTint="99"/>
            <w:noWrap/>
            <w:vAlign w:val="center"/>
            <w:hideMark/>
          </w:tcPr>
          <w:p w14:paraId="764725E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8EAADB" w:themeFill="accent1" w:themeFillTint="99"/>
            <w:noWrap/>
            <w:vAlign w:val="center"/>
            <w:hideMark/>
          </w:tcPr>
          <w:p w14:paraId="2285996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8EAADB" w:themeFill="accent1" w:themeFillTint="99"/>
            <w:noWrap/>
            <w:vAlign w:val="center"/>
            <w:hideMark/>
          </w:tcPr>
          <w:p w14:paraId="7A5B151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8EAADB" w:themeFill="accent1" w:themeFillTint="99"/>
            <w:noWrap/>
            <w:vAlign w:val="center"/>
            <w:hideMark/>
          </w:tcPr>
          <w:p w14:paraId="13457CFC"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6BD890CF"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0CDC1A78" w14:textId="77777777" w:rsidTr="009F21B4">
        <w:trPr>
          <w:cantSplit/>
          <w:trHeight w:val="161"/>
        </w:trPr>
        <w:tc>
          <w:tcPr>
            <w:tcW w:w="8440" w:type="dxa"/>
            <w:gridSpan w:val="3"/>
            <w:tcBorders>
              <w:top w:val="single" w:sz="4" w:space="0" w:color="auto"/>
              <w:left w:val="single" w:sz="4" w:space="0" w:color="auto"/>
              <w:bottom w:val="nil"/>
              <w:right w:val="nil"/>
            </w:tcBorders>
            <w:shd w:val="clear" w:color="auto" w:fill="auto"/>
            <w:hideMark/>
          </w:tcPr>
          <w:p w14:paraId="6E493915" w14:textId="661412D7" w:rsidR="00630C69" w:rsidRPr="00AA2617" w:rsidRDefault="00630C69" w:rsidP="00AA2617">
            <w:pP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1.2.  </w:t>
            </w:r>
            <w:r w:rsidR="00AF5E2E" w:rsidRPr="00AA2617">
              <w:rPr>
                <w:rFonts w:cs="Times New Roman"/>
                <w:i/>
                <w:sz w:val="22"/>
                <w:lang w:val="en-GB"/>
              </w:rPr>
              <w:t xml:space="preserve">Best practices on ETF reporting processes, information gathering, system infrastructure, methodologies in the agriculture and land-use sectors disseminated to relevant priority sectors (e.g. energy, industry/trade, transportation). </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0A1FBE2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000000" w:fill="203764"/>
            <w:noWrap/>
            <w:vAlign w:val="center"/>
            <w:hideMark/>
          </w:tcPr>
          <w:p w14:paraId="7ECE009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203764"/>
            <w:noWrap/>
            <w:vAlign w:val="center"/>
            <w:hideMark/>
          </w:tcPr>
          <w:p w14:paraId="3FF932FD"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203764"/>
            <w:noWrap/>
            <w:vAlign w:val="center"/>
            <w:hideMark/>
          </w:tcPr>
          <w:p w14:paraId="5625EC40"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203764"/>
            <w:noWrap/>
            <w:vAlign w:val="center"/>
            <w:hideMark/>
          </w:tcPr>
          <w:p w14:paraId="07E5330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203764"/>
            <w:noWrap/>
            <w:vAlign w:val="center"/>
            <w:hideMark/>
          </w:tcPr>
          <w:p w14:paraId="7EE2B2C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203764"/>
            <w:noWrap/>
            <w:vAlign w:val="center"/>
            <w:hideMark/>
          </w:tcPr>
          <w:p w14:paraId="59F29C4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203764"/>
            <w:noWrap/>
            <w:vAlign w:val="center"/>
            <w:hideMark/>
          </w:tcPr>
          <w:p w14:paraId="4B62D51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203764"/>
            <w:noWrap/>
            <w:vAlign w:val="center"/>
            <w:hideMark/>
          </w:tcPr>
          <w:p w14:paraId="2994D5A1"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45AB3F91" w14:textId="77777777" w:rsidTr="009F21B4">
        <w:trPr>
          <w:cantSplit/>
          <w:trHeight w:val="377"/>
        </w:trPr>
        <w:tc>
          <w:tcPr>
            <w:tcW w:w="578" w:type="dxa"/>
            <w:tcBorders>
              <w:top w:val="nil"/>
              <w:left w:val="single" w:sz="4" w:space="0" w:color="auto"/>
              <w:bottom w:val="nil"/>
              <w:right w:val="nil"/>
            </w:tcBorders>
            <w:shd w:val="clear" w:color="auto" w:fill="auto"/>
            <w:noWrap/>
            <w:hideMark/>
          </w:tcPr>
          <w:p w14:paraId="72F015C1"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nil"/>
            </w:tcBorders>
            <w:shd w:val="clear" w:color="auto" w:fill="auto"/>
            <w:hideMark/>
          </w:tcPr>
          <w:p w14:paraId="7F7F74BC" w14:textId="2B23AC95" w:rsidR="00630C69" w:rsidRPr="00AA2617" w:rsidRDefault="00630C69" w:rsidP="00AA2617">
            <w:pP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1.2.1. </w:t>
            </w:r>
            <w:r w:rsidR="00AF5E2E" w:rsidRPr="00AA2617">
              <w:rPr>
                <w:rFonts w:cstheme="minorHAnsi"/>
                <w:i/>
                <w:sz w:val="22"/>
                <w:lang w:val="en-GB"/>
              </w:rPr>
              <w:t>Multi-sectoral coordination mechanism strengthened integrating relevant authorities into national UNFCCC reporting processes.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57AE589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000000" w:fill="305496"/>
            <w:noWrap/>
            <w:vAlign w:val="center"/>
            <w:hideMark/>
          </w:tcPr>
          <w:p w14:paraId="5689824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305496"/>
            <w:noWrap/>
            <w:vAlign w:val="center"/>
            <w:hideMark/>
          </w:tcPr>
          <w:p w14:paraId="7457CD6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67710DE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305496"/>
            <w:noWrap/>
            <w:vAlign w:val="center"/>
            <w:hideMark/>
          </w:tcPr>
          <w:p w14:paraId="772EB35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305496"/>
            <w:noWrap/>
            <w:vAlign w:val="center"/>
            <w:hideMark/>
          </w:tcPr>
          <w:p w14:paraId="55A26CA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305496"/>
            <w:noWrap/>
            <w:vAlign w:val="center"/>
            <w:hideMark/>
          </w:tcPr>
          <w:p w14:paraId="532EA23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3F124BF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305496"/>
            <w:noWrap/>
            <w:vAlign w:val="center"/>
            <w:hideMark/>
          </w:tcPr>
          <w:p w14:paraId="3BF8DB62"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4501B2" w:rsidRPr="00AA2617" w14:paraId="3E32E737" w14:textId="77777777" w:rsidTr="009F21B4">
        <w:trPr>
          <w:cantSplit/>
          <w:trHeight w:val="359"/>
        </w:trPr>
        <w:tc>
          <w:tcPr>
            <w:tcW w:w="578" w:type="dxa"/>
            <w:tcBorders>
              <w:top w:val="nil"/>
              <w:left w:val="single" w:sz="4" w:space="0" w:color="auto"/>
              <w:bottom w:val="nil"/>
              <w:right w:val="nil"/>
            </w:tcBorders>
            <w:shd w:val="clear" w:color="auto" w:fill="auto"/>
            <w:noWrap/>
            <w:hideMark/>
          </w:tcPr>
          <w:p w14:paraId="55B26C20" w14:textId="77777777" w:rsidR="004501B2" w:rsidRPr="00AA2617" w:rsidRDefault="004501B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38EAE849" w14:textId="77777777" w:rsidR="004501B2" w:rsidRPr="00AA2617" w:rsidRDefault="004501B2"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26DDF823" w14:textId="5B8CF30F" w:rsidR="004501B2" w:rsidRPr="00AA2617" w:rsidRDefault="004501B2" w:rsidP="00AA2617">
            <w:pPr>
              <w:jc w:val="left"/>
              <w:rPr>
                <w:rFonts w:ascii="Arial Narrow" w:eastAsia="Times New Roman" w:hAnsi="Arial Narrow" w:cs="Calibri"/>
                <w:color w:val="000000"/>
                <w:sz w:val="20"/>
                <w:szCs w:val="20"/>
                <w:lang w:val="en-GB"/>
              </w:rPr>
            </w:pPr>
            <w:r w:rsidRPr="00AA2617">
              <w:rPr>
                <w:rFonts w:cstheme="minorHAnsi"/>
                <w:i/>
                <w:sz w:val="22"/>
                <w:lang w:val="en-GB"/>
              </w:rPr>
              <w:t>1.2.1.1.  Identify opportunities for inter-sectoral efficiencies and reduce redundancies in measurement and primary data storage.</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2C85125C" w14:textId="77777777" w:rsidR="004501B2" w:rsidRPr="00AA2617" w:rsidRDefault="004501B2"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LOA:  CCS</w:t>
            </w:r>
          </w:p>
        </w:tc>
        <w:tc>
          <w:tcPr>
            <w:tcW w:w="435" w:type="dxa"/>
            <w:tcBorders>
              <w:top w:val="nil"/>
              <w:left w:val="single" w:sz="8" w:space="0" w:color="auto"/>
              <w:bottom w:val="single" w:sz="4" w:space="0" w:color="auto"/>
              <w:right w:val="single" w:sz="4" w:space="0" w:color="auto"/>
            </w:tcBorders>
            <w:shd w:val="clear" w:color="000000" w:fill="B4C6E7"/>
            <w:noWrap/>
            <w:vAlign w:val="center"/>
            <w:hideMark/>
          </w:tcPr>
          <w:p w14:paraId="081E1D61"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B4C6E7"/>
            <w:noWrap/>
            <w:vAlign w:val="center"/>
            <w:hideMark/>
          </w:tcPr>
          <w:p w14:paraId="0659D06F"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3E9DDCA9"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B4C6E7"/>
            <w:noWrap/>
            <w:vAlign w:val="center"/>
            <w:hideMark/>
          </w:tcPr>
          <w:p w14:paraId="49270AEC"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79DADD2B"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5C63A7DD"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762BC331"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07EC1CF3" w14:textId="77777777" w:rsidR="004501B2" w:rsidRPr="00AA2617" w:rsidRDefault="004501B2" w:rsidP="00AA2617">
            <w:pPr>
              <w:jc w:val="center"/>
              <w:rPr>
                <w:rFonts w:ascii="Arial Narrow" w:eastAsia="Times New Roman" w:hAnsi="Arial Narrow" w:cs="Calibri"/>
                <w:color w:val="000000"/>
                <w:sz w:val="20"/>
                <w:szCs w:val="20"/>
                <w:lang w:val="en-GB"/>
              </w:rPr>
            </w:pPr>
          </w:p>
        </w:tc>
      </w:tr>
      <w:tr w:rsidR="004501B2" w:rsidRPr="00AA2617" w14:paraId="4074E8E7" w14:textId="77777777" w:rsidTr="009F21B4">
        <w:trPr>
          <w:cantSplit/>
          <w:trHeight w:val="431"/>
        </w:trPr>
        <w:tc>
          <w:tcPr>
            <w:tcW w:w="578" w:type="dxa"/>
            <w:tcBorders>
              <w:top w:val="nil"/>
              <w:left w:val="single" w:sz="4" w:space="0" w:color="auto"/>
              <w:bottom w:val="nil"/>
              <w:right w:val="nil"/>
            </w:tcBorders>
            <w:shd w:val="clear" w:color="auto" w:fill="auto"/>
            <w:noWrap/>
            <w:hideMark/>
          </w:tcPr>
          <w:p w14:paraId="41DD0FEF" w14:textId="77777777" w:rsidR="004501B2" w:rsidRPr="00AA2617" w:rsidRDefault="004501B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58B90D54" w14:textId="77777777" w:rsidR="004501B2" w:rsidRPr="00AA2617" w:rsidRDefault="004501B2"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4E41309F" w14:textId="07C0F786" w:rsidR="004501B2" w:rsidRPr="00AA2617" w:rsidRDefault="004501B2" w:rsidP="00AA2617">
            <w:pPr>
              <w:jc w:val="left"/>
              <w:rPr>
                <w:rFonts w:ascii="Arial Narrow" w:eastAsia="Times New Roman" w:hAnsi="Arial Narrow" w:cs="Calibri"/>
                <w:color w:val="000000"/>
                <w:sz w:val="20"/>
                <w:szCs w:val="20"/>
                <w:lang w:val="en-GB"/>
              </w:rPr>
            </w:pPr>
            <w:r w:rsidRPr="00AA2617">
              <w:rPr>
                <w:rFonts w:cstheme="minorHAnsi"/>
                <w:i/>
                <w:sz w:val="22"/>
                <w:lang w:val="en-GB"/>
              </w:rPr>
              <w:t xml:space="preserve">1.2.1.2.  Ensure that AFOLU data-sharing processes are integrated with broader inter-sectoral and national coordination for data-sharing.  </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35F32D30" w14:textId="77777777" w:rsidR="004501B2" w:rsidRPr="00AA2617" w:rsidRDefault="004501B2"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LOA:  CCS</w:t>
            </w:r>
          </w:p>
        </w:tc>
        <w:tc>
          <w:tcPr>
            <w:tcW w:w="435" w:type="dxa"/>
            <w:tcBorders>
              <w:top w:val="nil"/>
              <w:left w:val="single" w:sz="8" w:space="0" w:color="auto"/>
              <w:bottom w:val="single" w:sz="4" w:space="0" w:color="auto"/>
              <w:right w:val="single" w:sz="4" w:space="0" w:color="auto"/>
            </w:tcBorders>
            <w:shd w:val="clear" w:color="000000" w:fill="B4C6E7"/>
            <w:noWrap/>
            <w:vAlign w:val="center"/>
            <w:hideMark/>
          </w:tcPr>
          <w:p w14:paraId="4D1953B8"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B4C6E7"/>
            <w:noWrap/>
            <w:vAlign w:val="center"/>
            <w:hideMark/>
          </w:tcPr>
          <w:p w14:paraId="5FAD860B"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1EFC49C9"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B4C6E7"/>
            <w:noWrap/>
            <w:vAlign w:val="center"/>
            <w:hideMark/>
          </w:tcPr>
          <w:p w14:paraId="4FA76C2D"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64EDD11D"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127C2C6A"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40C0A10B"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38EF083A" w14:textId="77777777" w:rsidR="004501B2" w:rsidRPr="00AA2617" w:rsidRDefault="004501B2" w:rsidP="00AA2617">
            <w:pPr>
              <w:jc w:val="center"/>
              <w:rPr>
                <w:rFonts w:ascii="Arial Narrow" w:eastAsia="Times New Roman" w:hAnsi="Arial Narrow" w:cs="Calibri"/>
                <w:color w:val="000000"/>
                <w:sz w:val="20"/>
                <w:szCs w:val="20"/>
                <w:lang w:val="en-GB"/>
              </w:rPr>
            </w:pPr>
          </w:p>
        </w:tc>
      </w:tr>
      <w:tr w:rsidR="004501B2" w:rsidRPr="00AA2617" w14:paraId="2395E745" w14:textId="77777777" w:rsidTr="009F21B4">
        <w:trPr>
          <w:cantSplit/>
          <w:trHeight w:val="431"/>
        </w:trPr>
        <w:tc>
          <w:tcPr>
            <w:tcW w:w="578" w:type="dxa"/>
            <w:tcBorders>
              <w:top w:val="nil"/>
              <w:left w:val="single" w:sz="4" w:space="0" w:color="auto"/>
              <w:bottom w:val="nil"/>
              <w:right w:val="nil"/>
            </w:tcBorders>
            <w:shd w:val="clear" w:color="auto" w:fill="auto"/>
            <w:noWrap/>
            <w:hideMark/>
          </w:tcPr>
          <w:p w14:paraId="6017B09F" w14:textId="77777777" w:rsidR="004501B2" w:rsidRPr="00AA2617" w:rsidRDefault="004501B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lastRenderedPageBreak/>
              <w:t> </w:t>
            </w:r>
          </w:p>
        </w:tc>
        <w:tc>
          <w:tcPr>
            <w:tcW w:w="578" w:type="dxa"/>
            <w:tcBorders>
              <w:top w:val="nil"/>
              <w:left w:val="nil"/>
              <w:bottom w:val="nil"/>
              <w:right w:val="nil"/>
            </w:tcBorders>
            <w:shd w:val="clear" w:color="auto" w:fill="auto"/>
            <w:noWrap/>
            <w:hideMark/>
          </w:tcPr>
          <w:p w14:paraId="07DFA147" w14:textId="77777777" w:rsidR="004501B2" w:rsidRPr="00AA2617" w:rsidRDefault="004501B2"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293AC848" w14:textId="6F3BC6D4" w:rsidR="004501B2" w:rsidRPr="00AA2617" w:rsidRDefault="004501B2" w:rsidP="00AA2617">
            <w:pPr>
              <w:jc w:val="left"/>
              <w:rPr>
                <w:rFonts w:ascii="Arial Narrow" w:eastAsia="Times New Roman" w:hAnsi="Arial Narrow" w:cs="Calibri"/>
                <w:color w:val="000000"/>
                <w:sz w:val="20"/>
                <w:szCs w:val="20"/>
                <w:lang w:val="en-GB"/>
              </w:rPr>
            </w:pPr>
            <w:r w:rsidRPr="00AA2617">
              <w:rPr>
                <w:rFonts w:cstheme="minorHAnsi"/>
                <w:i/>
                <w:sz w:val="22"/>
                <w:lang w:val="en-GB"/>
              </w:rPr>
              <w:t>1.2.1.3.  Establish QC protocols for collecting, managing, and archiving data</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4F22416E" w14:textId="7A671428" w:rsidR="004501B2" w:rsidRPr="00AA2617" w:rsidRDefault="004501B2"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color w:val="000000"/>
                <w:sz w:val="20"/>
                <w:szCs w:val="20"/>
                <w:lang w:val="en-GB"/>
              </w:rPr>
              <w:t>PMU through FAO and CCS and LOA with National Consultants</w:t>
            </w:r>
          </w:p>
        </w:tc>
        <w:tc>
          <w:tcPr>
            <w:tcW w:w="435" w:type="dxa"/>
            <w:tcBorders>
              <w:top w:val="nil"/>
              <w:left w:val="single" w:sz="8" w:space="0" w:color="auto"/>
              <w:bottom w:val="single" w:sz="4" w:space="0" w:color="auto"/>
              <w:right w:val="single" w:sz="4" w:space="0" w:color="auto"/>
            </w:tcBorders>
            <w:shd w:val="clear" w:color="000000" w:fill="B4C6E7"/>
            <w:noWrap/>
            <w:vAlign w:val="center"/>
            <w:hideMark/>
          </w:tcPr>
          <w:p w14:paraId="7034F98A"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B4C6E7"/>
            <w:noWrap/>
            <w:vAlign w:val="center"/>
            <w:hideMark/>
          </w:tcPr>
          <w:p w14:paraId="3B562881"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735CC2FD"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B4C6E7"/>
            <w:noWrap/>
            <w:vAlign w:val="center"/>
            <w:hideMark/>
          </w:tcPr>
          <w:p w14:paraId="48B153DA"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B4C6E7"/>
            <w:noWrap/>
            <w:vAlign w:val="center"/>
            <w:hideMark/>
          </w:tcPr>
          <w:p w14:paraId="55EABA6B"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B4C6E7"/>
            <w:noWrap/>
            <w:vAlign w:val="center"/>
            <w:hideMark/>
          </w:tcPr>
          <w:p w14:paraId="28FE8E1D"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489EAFF3" w14:textId="77777777" w:rsidR="004501B2" w:rsidRPr="00AA2617" w:rsidRDefault="004501B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B4C6E7"/>
            <w:noWrap/>
            <w:vAlign w:val="center"/>
            <w:hideMark/>
          </w:tcPr>
          <w:p w14:paraId="0AD0C6B6" w14:textId="77777777" w:rsidR="004501B2" w:rsidRPr="00AA2617" w:rsidRDefault="004501B2" w:rsidP="00AA2617">
            <w:pPr>
              <w:jc w:val="center"/>
              <w:rPr>
                <w:rFonts w:ascii="Arial Narrow" w:eastAsia="Times New Roman" w:hAnsi="Arial Narrow" w:cs="Calibri"/>
                <w:color w:val="000000"/>
                <w:sz w:val="20"/>
                <w:szCs w:val="20"/>
                <w:lang w:val="en-GB"/>
              </w:rPr>
            </w:pPr>
          </w:p>
        </w:tc>
      </w:tr>
      <w:tr w:rsidR="00630C69" w:rsidRPr="00AA2617" w14:paraId="62066776" w14:textId="77777777" w:rsidTr="009F21B4">
        <w:trPr>
          <w:cantSplit/>
          <w:trHeight w:val="170"/>
        </w:trPr>
        <w:tc>
          <w:tcPr>
            <w:tcW w:w="578" w:type="dxa"/>
            <w:tcBorders>
              <w:top w:val="nil"/>
              <w:left w:val="single" w:sz="4" w:space="0" w:color="auto"/>
              <w:bottom w:val="nil"/>
              <w:right w:val="nil"/>
            </w:tcBorders>
            <w:shd w:val="clear" w:color="auto" w:fill="auto"/>
            <w:noWrap/>
            <w:hideMark/>
          </w:tcPr>
          <w:p w14:paraId="48D60859"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nil"/>
            </w:tcBorders>
            <w:shd w:val="clear" w:color="auto" w:fill="auto"/>
            <w:hideMark/>
          </w:tcPr>
          <w:p w14:paraId="560B26B5" w14:textId="12A087E1" w:rsidR="00630C69" w:rsidRPr="00AA2617" w:rsidRDefault="00AF5E2E" w:rsidP="00AA2617">
            <w:pPr>
              <w:rPr>
                <w:rFonts w:ascii="Arial Narrow" w:eastAsia="Times New Roman" w:hAnsi="Arial Narrow" w:cs="Calibri"/>
                <w:color w:val="000000"/>
                <w:sz w:val="20"/>
                <w:szCs w:val="20"/>
                <w:lang w:val="en-GB"/>
              </w:rPr>
            </w:pPr>
            <w:r w:rsidRPr="00AA2617">
              <w:rPr>
                <w:rFonts w:cstheme="minorHAnsi"/>
                <w:i/>
                <w:sz w:val="22"/>
                <w:lang w:val="en-GB"/>
              </w:rPr>
              <w:t>1.2.2 ETF lessons learned from AFOLU sectors monitored, captured, scaled up and shared to enhance wider national reporting.</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04D8C892"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0B934236"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2F5496" w:themeFill="accent1" w:themeFillShade="BF"/>
            <w:noWrap/>
            <w:vAlign w:val="center"/>
            <w:hideMark/>
          </w:tcPr>
          <w:p w14:paraId="2B5FDBCC"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2F5496" w:themeFill="accent1" w:themeFillShade="BF"/>
            <w:noWrap/>
            <w:vAlign w:val="center"/>
            <w:hideMark/>
          </w:tcPr>
          <w:p w14:paraId="177FF43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2F5496" w:themeFill="accent1" w:themeFillShade="BF"/>
            <w:noWrap/>
            <w:vAlign w:val="center"/>
            <w:hideMark/>
          </w:tcPr>
          <w:p w14:paraId="22C8599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2F5496" w:themeFill="accent1" w:themeFillShade="BF"/>
            <w:noWrap/>
            <w:vAlign w:val="center"/>
            <w:hideMark/>
          </w:tcPr>
          <w:p w14:paraId="7B21C28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2F5496" w:themeFill="accent1" w:themeFillShade="BF"/>
            <w:noWrap/>
            <w:vAlign w:val="center"/>
            <w:hideMark/>
          </w:tcPr>
          <w:p w14:paraId="592FC81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191C3D0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305496"/>
            <w:noWrap/>
            <w:vAlign w:val="center"/>
            <w:hideMark/>
          </w:tcPr>
          <w:p w14:paraId="6B5DF621"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AF5E2E" w:rsidRPr="00AA2617" w14:paraId="3D288AF2" w14:textId="77777777" w:rsidTr="009F21B4">
        <w:trPr>
          <w:cantSplit/>
          <w:trHeight w:val="107"/>
        </w:trPr>
        <w:tc>
          <w:tcPr>
            <w:tcW w:w="578" w:type="dxa"/>
            <w:tcBorders>
              <w:top w:val="nil"/>
              <w:left w:val="single" w:sz="4" w:space="0" w:color="auto"/>
              <w:bottom w:val="nil"/>
              <w:right w:val="nil"/>
            </w:tcBorders>
            <w:shd w:val="clear" w:color="auto" w:fill="auto"/>
            <w:noWrap/>
            <w:hideMark/>
          </w:tcPr>
          <w:p w14:paraId="2ABC0C22" w14:textId="77777777" w:rsidR="00AF5E2E" w:rsidRPr="00AA2617" w:rsidRDefault="00AF5E2E"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hideMark/>
          </w:tcPr>
          <w:p w14:paraId="0B2A4E45" w14:textId="77777777" w:rsidR="00AF5E2E" w:rsidRPr="00AA2617" w:rsidRDefault="00AF5E2E"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71095F57" w14:textId="5AF6EC61" w:rsidR="00AF5E2E" w:rsidRPr="00AA2617" w:rsidRDefault="00AF5E2E" w:rsidP="00AA2617">
            <w:pPr>
              <w:jc w:val="left"/>
              <w:rPr>
                <w:rFonts w:ascii="Arial Narrow" w:eastAsia="Times New Roman" w:hAnsi="Arial Narrow" w:cs="Calibri"/>
                <w:color w:val="000000"/>
                <w:sz w:val="20"/>
                <w:szCs w:val="20"/>
                <w:lang w:val="en-GB"/>
              </w:rPr>
            </w:pPr>
            <w:r w:rsidRPr="00AA2617">
              <w:rPr>
                <w:rFonts w:cstheme="minorHAnsi"/>
                <w:i/>
                <w:sz w:val="22"/>
                <w:lang w:val="en-GB"/>
              </w:rPr>
              <w:t xml:space="preserve">1.2.2.1.  Conduct bi-annual Stakeholder feedback sessions.                                                                                                                               </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0F9B883E" w14:textId="77777777" w:rsidR="00AF5E2E" w:rsidRPr="00AA2617" w:rsidRDefault="00AF5E2E"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  CCS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5CC65AE9"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B4C6E7" w:themeFill="accent1" w:themeFillTint="66"/>
            <w:noWrap/>
            <w:vAlign w:val="center"/>
            <w:hideMark/>
          </w:tcPr>
          <w:p w14:paraId="409A72D0"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00336B0F"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B4C6E7" w:themeFill="accent1" w:themeFillTint="66"/>
            <w:noWrap/>
            <w:vAlign w:val="center"/>
            <w:hideMark/>
          </w:tcPr>
          <w:p w14:paraId="4F9EDB97"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1C5B1217"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B4C6E7" w:themeFill="accent1" w:themeFillTint="66"/>
            <w:noWrap/>
            <w:vAlign w:val="center"/>
            <w:hideMark/>
          </w:tcPr>
          <w:p w14:paraId="6CD1C33C"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463BCE8E"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B4C6E7" w:themeFill="accent1" w:themeFillTint="66"/>
            <w:noWrap/>
            <w:vAlign w:val="center"/>
            <w:hideMark/>
          </w:tcPr>
          <w:p w14:paraId="7F6FFDDE" w14:textId="77777777" w:rsidR="00AF5E2E" w:rsidRPr="00AA2617" w:rsidRDefault="00AF5E2E" w:rsidP="00AA2617">
            <w:pPr>
              <w:jc w:val="center"/>
              <w:rPr>
                <w:rFonts w:ascii="Arial Narrow" w:eastAsia="Times New Roman" w:hAnsi="Arial Narrow" w:cs="Calibri"/>
                <w:color w:val="000000"/>
                <w:sz w:val="20"/>
                <w:szCs w:val="20"/>
                <w:lang w:val="en-GB"/>
              </w:rPr>
            </w:pPr>
          </w:p>
        </w:tc>
      </w:tr>
      <w:tr w:rsidR="00AF5E2E" w:rsidRPr="00AA2617" w14:paraId="7360488A" w14:textId="77777777" w:rsidTr="009F21B4">
        <w:trPr>
          <w:cantSplit/>
          <w:trHeight w:val="233"/>
        </w:trPr>
        <w:tc>
          <w:tcPr>
            <w:tcW w:w="578" w:type="dxa"/>
            <w:tcBorders>
              <w:top w:val="nil"/>
              <w:left w:val="single" w:sz="4" w:space="0" w:color="auto"/>
              <w:bottom w:val="nil"/>
              <w:right w:val="nil"/>
            </w:tcBorders>
            <w:shd w:val="clear" w:color="auto" w:fill="auto"/>
            <w:noWrap/>
            <w:hideMark/>
          </w:tcPr>
          <w:p w14:paraId="57672F0B" w14:textId="77777777" w:rsidR="00AF5E2E" w:rsidRPr="00AA2617" w:rsidRDefault="00AF5E2E"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2C849DA0" w14:textId="77777777" w:rsidR="00AF5E2E" w:rsidRPr="00AA2617" w:rsidRDefault="00AF5E2E"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769FDACA" w14:textId="2EFEB164" w:rsidR="00AF5E2E" w:rsidRPr="00AA2617" w:rsidRDefault="00AF5E2E" w:rsidP="00AA2617">
            <w:pPr>
              <w:jc w:val="left"/>
              <w:rPr>
                <w:rFonts w:ascii="Arial Narrow" w:eastAsia="Times New Roman" w:hAnsi="Arial Narrow" w:cs="Calibri"/>
                <w:color w:val="000000"/>
                <w:sz w:val="20"/>
                <w:szCs w:val="20"/>
                <w:lang w:val="en-GB"/>
              </w:rPr>
            </w:pPr>
            <w:r w:rsidRPr="00AA2617">
              <w:rPr>
                <w:rFonts w:cstheme="minorHAnsi"/>
                <w:i/>
                <w:sz w:val="22"/>
                <w:lang w:val="en-GB"/>
              </w:rPr>
              <w:t xml:space="preserve">1.2.2.2.  Compile AFOLU MRV best practices with relation to similar practices in other NDC sectors. </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6D996526" w14:textId="77777777" w:rsidR="00AF5E2E" w:rsidRPr="00AA2617" w:rsidRDefault="00AF5E2E"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  CCS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30CA670E"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5FE04E7D"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3B2FF969"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3A800F7B"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5DDEAF75"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42FE0A2C"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26D91EB1"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727B2492" w14:textId="77777777" w:rsidR="00AF5E2E" w:rsidRPr="00AA2617" w:rsidRDefault="00AF5E2E" w:rsidP="00AA2617">
            <w:pPr>
              <w:jc w:val="center"/>
              <w:rPr>
                <w:rFonts w:ascii="Arial Narrow" w:eastAsia="Times New Roman" w:hAnsi="Arial Narrow" w:cs="Calibri"/>
                <w:color w:val="000000"/>
                <w:sz w:val="20"/>
                <w:szCs w:val="20"/>
                <w:lang w:val="en-GB"/>
              </w:rPr>
            </w:pPr>
          </w:p>
        </w:tc>
      </w:tr>
      <w:tr w:rsidR="00AF5E2E" w:rsidRPr="00AA2617" w14:paraId="08E0D3A2" w14:textId="77777777" w:rsidTr="009F21B4">
        <w:trPr>
          <w:cantSplit/>
          <w:trHeight w:val="350"/>
        </w:trPr>
        <w:tc>
          <w:tcPr>
            <w:tcW w:w="578" w:type="dxa"/>
            <w:tcBorders>
              <w:top w:val="nil"/>
              <w:left w:val="single" w:sz="4" w:space="0" w:color="auto"/>
              <w:bottom w:val="single" w:sz="8" w:space="0" w:color="auto"/>
              <w:right w:val="nil"/>
            </w:tcBorders>
            <w:shd w:val="clear" w:color="auto" w:fill="auto"/>
            <w:noWrap/>
            <w:hideMark/>
          </w:tcPr>
          <w:p w14:paraId="4FCBDB81" w14:textId="77777777" w:rsidR="00AF5E2E" w:rsidRPr="00AA2617" w:rsidRDefault="00AF5E2E"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single" w:sz="8" w:space="0" w:color="auto"/>
              <w:right w:val="nil"/>
            </w:tcBorders>
            <w:shd w:val="clear" w:color="auto" w:fill="auto"/>
            <w:noWrap/>
            <w:hideMark/>
          </w:tcPr>
          <w:p w14:paraId="5AB0C9FD" w14:textId="77777777" w:rsidR="00AF5E2E" w:rsidRPr="00AA2617" w:rsidRDefault="00AF5E2E"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284" w:type="dxa"/>
            <w:tcBorders>
              <w:top w:val="nil"/>
              <w:left w:val="nil"/>
              <w:bottom w:val="single" w:sz="8" w:space="0" w:color="auto"/>
              <w:right w:val="nil"/>
            </w:tcBorders>
            <w:shd w:val="clear" w:color="auto" w:fill="auto"/>
            <w:hideMark/>
          </w:tcPr>
          <w:p w14:paraId="4B41DEDA" w14:textId="4ED52FA4" w:rsidR="00AF5E2E" w:rsidRPr="00AA2617" w:rsidRDefault="00AF5E2E" w:rsidP="00AA2617">
            <w:pPr>
              <w:jc w:val="left"/>
              <w:rPr>
                <w:rFonts w:ascii="Arial Narrow" w:eastAsia="Times New Roman" w:hAnsi="Arial Narrow" w:cs="Calibri"/>
                <w:color w:val="000000"/>
                <w:sz w:val="20"/>
                <w:szCs w:val="20"/>
                <w:lang w:val="en-GB"/>
              </w:rPr>
            </w:pPr>
            <w:r w:rsidRPr="00AA2617">
              <w:rPr>
                <w:rFonts w:cstheme="minorHAnsi"/>
                <w:i/>
                <w:sz w:val="22"/>
                <w:lang w:val="en-GB"/>
              </w:rPr>
              <w:t>1.2.2.3.  Contribute to efforts via the CBIT global projects to share and up-scale relevant AFOLU MRV best practices and lessons learned.</w:t>
            </w:r>
          </w:p>
        </w:tc>
        <w:tc>
          <w:tcPr>
            <w:tcW w:w="1547" w:type="dxa"/>
            <w:tcBorders>
              <w:top w:val="nil"/>
              <w:left w:val="single" w:sz="4" w:space="0" w:color="auto"/>
              <w:bottom w:val="single" w:sz="8" w:space="0" w:color="auto"/>
              <w:right w:val="single" w:sz="4" w:space="0" w:color="auto"/>
            </w:tcBorders>
            <w:shd w:val="clear" w:color="auto" w:fill="auto"/>
            <w:vAlign w:val="center"/>
            <w:hideMark/>
          </w:tcPr>
          <w:p w14:paraId="390F3945" w14:textId="77777777" w:rsidR="00AF5E2E" w:rsidRPr="00AA2617" w:rsidRDefault="00AF5E2E"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  CCS</w:t>
            </w:r>
          </w:p>
        </w:tc>
        <w:tc>
          <w:tcPr>
            <w:tcW w:w="435" w:type="dxa"/>
            <w:tcBorders>
              <w:top w:val="nil"/>
              <w:left w:val="single" w:sz="8" w:space="0" w:color="auto"/>
              <w:bottom w:val="single" w:sz="8" w:space="0" w:color="auto"/>
              <w:right w:val="single" w:sz="4" w:space="0" w:color="auto"/>
            </w:tcBorders>
            <w:shd w:val="clear" w:color="auto" w:fill="auto"/>
            <w:noWrap/>
            <w:vAlign w:val="center"/>
            <w:hideMark/>
          </w:tcPr>
          <w:p w14:paraId="1814F15F"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8" w:space="0" w:color="auto"/>
              <w:right w:val="nil"/>
            </w:tcBorders>
            <w:shd w:val="clear" w:color="auto" w:fill="auto"/>
            <w:noWrap/>
            <w:vAlign w:val="center"/>
            <w:hideMark/>
          </w:tcPr>
          <w:p w14:paraId="767C932A"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8" w:space="0" w:color="auto"/>
              <w:right w:val="single" w:sz="4" w:space="0" w:color="auto"/>
            </w:tcBorders>
            <w:shd w:val="clear" w:color="auto" w:fill="auto"/>
            <w:noWrap/>
            <w:vAlign w:val="center"/>
            <w:hideMark/>
          </w:tcPr>
          <w:p w14:paraId="2426A14E"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8" w:space="0" w:color="auto"/>
              <w:right w:val="single" w:sz="8" w:space="0" w:color="auto"/>
            </w:tcBorders>
            <w:shd w:val="clear" w:color="auto" w:fill="auto"/>
            <w:noWrap/>
            <w:vAlign w:val="center"/>
            <w:hideMark/>
          </w:tcPr>
          <w:p w14:paraId="7906E84D"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8" w:space="0" w:color="auto"/>
              <w:right w:val="single" w:sz="4" w:space="0" w:color="auto"/>
            </w:tcBorders>
            <w:shd w:val="clear" w:color="auto" w:fill="auto"/>
            <w:noWrap/>
            <w:vAlign w:val="center"/>
            <w:hideMark/>
          </w:tcPr>
          <w:p w14:paraId="190AD04E"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8" w:space="0" w:color="auto"/>
              <w:right w:val="nil"/>
            </w:tcBorders>
            <w:shd w:val="clear" w:color="auto" w:fill="auto"/>
            <w:noWrap/>
            <w:vAlign w:val="center"/>
            <w:hideMark/>
          </w:tcPr>
          <w:p w14:paraId="4EE5FD67"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8" w:space="0" w:color="auto"/>
              <w:right w:val="single" w:sz="4" w:space="0" w:color="auto"/>
            </w:tcBorders>
            <w:shd w:val="clear" w:color="000000" w:fill="B4C6E7"/>
            <w:noWrap/>
            <w:vAlign w:val="center"/>
            <w:hideMark/>
          </w:tcPr>
          <w:p w14:paraId="683733AE"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8" w:space="0" w:color="auto"/>
              <w:right w:val="single" w:sz="4" w:space="0" w:color="auto"/>
            </w:tcBorders>
            <w:shd w:val="clear" w:color="000000" w:fill="B4C6E7"/>
            <w:noWrap/>
            <w:vAlign w:val="center"/>
            <w:hideMark/>
          </w:tcPr>
          <w:p w14:paraId="28C67D31" w14:textId="77777777" w:rsidR="00AF5E2E" w:rsidRPr="00AA2617" w:rsidRDefault="00AF5E2E" w:rsidP="00AA2617">
            <w:pPr>
              <w:jc w:val="center"/>
              <w:rPr>
                <w:rFonts w:ascii="Arial Narrow" w:eastAsia="Times New Roman" w:hAnsi="Arial Narrow" w:cs="Calibri"/>
                <w:color w:val="000000"/>
                <w:sz w:val="20"/>
                <w:szCs w:val="20"/>
                <w:lang w:val="en-GB"/>
              </w:rPr>
            </w:pPr>
          </w:p>
        </w:tc>
      </w:tr>
      <w:tr w:rsidR="00630C69" w:rsidRPr="00AA2617" w14:paraId="1702ABA1" w14:textId="77777777" w:rsidTr="009F21B4">
        <w:trPr>
          <w:cantSplit/>
          <w:trHeight w:val="170"/>
        </w:trPr>
        <w:tc>
          <w:tcPr>
            <w:tcW w:w="578" w:type="dxa"/>
            <w:tcBorders>
              <w:top w:val="nil"/>
              <w:left w:val="single" w:sz="4" w:space="0" w:color="auto"/>
              <w:bottom w:val="nil"/>
              <w:right w:val="nil"/>
            </w:tcBorders>
            <w:shd w:val="clear" w:color="auto" w:fill="auto"/>
            <w:noWrap/>
            <w:hideMark/>
          </w:tcPr>
          <w:p w14:paraId="3423975D"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nil"/>
            </w:tcBorders>
            <w:shd w:val="clear" w:color="auto" w:fill="auto"/>
            <w:hideMark/>
          </w:tcPr>
          <w:p w14:paraId="54729663"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1.2.3.  </w:t>
            </w:r>
            <w:r w:rsidRPr="00AA2617">
              <w:rPr>
                <w:rFonts w:cstheme="minorHAnsi"/>
                <w:i/>
                <w:sz w:val="22"/>
                <w:lang w:val="en-GB"/>
              </w:rPr>
              <w:t>Peer exchange program on transparency activities established for relevant priority sectors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4B00385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627F574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4A43EC3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2AC93D3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2F5496" w:themeFill="accent1" w:themeFillShade="BF"/>
            <w:noWrap/>
            <w:vAlign w:val="center"/>
            <w:hideMark/>
          </w:tcPr>
          <w:p w14:paraId="053E34E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2F5496" w:themeFill="accent1" w:themeFillShade="BF"/>
            <w:noWrap/>
            <w:vAlign w:val="center"/>
            <w:hideMark/>
          </w:tcPr>
          <w:p w14:paraId="3E807E86"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2F5496" w:themeFill="accent1" w:themeFillShade="BF"/>
            <w:noWrap/>
            <w:vAlign w:val="center"/>
            <w:hideMark/>
          </w:tcPr>
          <w:p w14:paraId="6282B72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4BB8BF76"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0995F47A"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289AE960" w14:textId="77777777" w:rsidTr="009F21B4">
        <w:trPr>
          <w:cantSplit/>
          <w:trHeight w:val="107"/>
        </w:trPr>
        <w:tc>
          <w:tcPr>
            <w:tcW w:w="578" w:type="dxa"/>
            <w:tcBorders>
              <w:top w:val="nil"/>
              <w:left w:val="single" w:sz="4" w:space="0" w:color="auto"/>
              <w:bottom w:val="nil"/>
              <w:right w:val="nil"/>
            </w:tcBorders>
            <w:shd w:val="clear" w:color="auto" w:fill="auto"/>
            <w:noWrap/>
            <w:hideMark/>
          </w:tcPr>
          <w:p w14:paraId="5C7EEEFE"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hideMark/>
          </w:tcPr>
          <w:p w14:paraId="0CA36643" w14:textId="77777777" w:rsidR="00630C69" w:rsidRPr="00AA2617" w:rsidRDefault="00630C69"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7396BF99" w14:textId="33897B9C" w:rsidR="00630C69" w:rsidRPr="00AA2617" w:rsidRDefault="00630C69" w:rsidP="00AA2617">
            <w:pP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1.2.3.1.  </w:t>
            </w:r>
            <w:r w:rsidR="00AF5E2E" w:rsidRPr="00AA2617">
              <w:rPr>
                <w:rFonts w:cstheme="minorHAnsi"/>
                <w:i/>
                <w:sz w:val="22"/>
                <w:lang w:val="en-GB"/>
              </w:rPr>
              <w:t>Create a capacity building and conferencing platform for transparency improving modifications of MRV across sectors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794157AD"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  CCS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5ACD74D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17094D9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5AF1F3F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B4C6E7" w:themeFill="accent1" w:themeFillTint="66"/>
            <w:noWrap/>
            <w:vAlign w:val="center"/>
            <w:hideMark/>
          </w:tcPr>
          <w:p w14:paraId="0F2841D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B4C6E7" w:themeFill="accent1" w:themeFillTint="66"/>
            <w:noWrap/>
            <w:vAlign w:val="center"/>
            <w:hideMark/>
          </w:tcPr>
          <w:p w14:paraId="16728E0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B4C6E7" w:themeFill="accent1" w:themeFillTint="66"/>
            <w:noWrap/>
            <w:vAlign w:val="center"/>
            <w:hideMark/>
          </w:tcPr>
          <w:p w14:paraId="43C0645C"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46D6FCE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40B02D50"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4D8C01B6" w14:textId="77777777" w:rsidTr="009F21B4">
        <w:trPr>
          <w:cantSplit/>
          <w:trHeight w:val="322"/>
        </w:trPr>
        <w:tc>
          <w:tcPr>
            <w:tcW w:w="8440" w:type="dxa"/>
            <w:gridSpan w:val="3"/>
            <w:tcBorders>
              <w:top w:val="nil"/>
              <w:left w:val="single" w:sz="4" w:space="0" w:color="auto"/>
              <w:bottom w:val="nil"/>
              <w:right w:val="single" w:sz="4" w:space="0" w:color="000000"/>
            </w:tcBorders>
            <w:shd w:val="clear" w:color="auto" w:fill="auto"/>
            <w:hideMark/>
          </w:tcPr>
          <w:p w14:paraId="72D8FB62"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2.1.  </w:t>
            </w:r>
            <w:r w:rsidRPr="00AA2617">
              <w:rPr>
                <w:rFonts w:cs="Times New Roman"/>
                <w:i/>
                <w:sz w:val="22"/>
                <w:lang w:val="en-GB"/>
              </w:rPr>
              <w:t>Strengthened capacity to measure GHG emissions, removals, and emission-reduction activities from agricultural , forestry and land-use sectors.</w:t>
            </w:r>
            <w:r w:rsidRPr="00AA2617">
              <w:rPr>
                <w:rFonts w:ascii="Arial Narrow" w:eastAsia="Times New Roman" w:hAnsi="Arial Narrow" w:cs="Calibri"/>
                <w:color w:val="000000"/>
                <w:sz w:val="20"/>
                <w:szCs w:val="20"/>
                <w:lang w:val="en-GB"/>
              </w:rPr>
              <w:t>.</w:t>
            </w:r>
          </w:p>
        </w:tc>
        <w:tc>
          <w:tcPr>
            <w:tcW w:w="1547" w:type="dxa"/>
            <w:tcBorders>
              <w:top w:val="nil"/>
              <w:left w:val="nil"/>
              <w:bottom w:val="single" w:sz="4" w:space="0" w:color="auto"/>
              <w:right w:val="single" w:sz="4" w:space="0" w:color="auto"/>
            </w:tcBorders>
            <w:shd w:val="clear" w:color="auto" w:fill="auto"/>
            <w:vAlign w:val="center"/>
            <w:hideMark/>
          </w:tcPr>
          <w:p w14:paraId="0930D35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000000" w:fill="203764"/>
            <w:noWrap/>
            <w:vAlign w:val="center"/>
            <w:hideMark/>
          </w:tcPr>
          <w:p w14:paraId="31288A72"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203764"/>
            <w:noWrap/>
            <w:vAlign w:val="center"/>
            <w:hideMark/>
          </w:tcPr>
          <w:p w14:paraId="7B54091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203764"/>
            <w:noWrap/>
            <w:vAlign w:val="center"/>
            <w:hideMark/>
          </w:tcPr>
          <w:p w14:paraId="61ED6A6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203764"/>
            <w:noWrap/>
            <w:vAlign w:val="center"/>
            <w:hideMark/>
          </w:tcPr>
          <w:p w14:paraId="6C16FFE6"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203764"/>
            <w:noWrap/>
            <w:vAlign w:val="center"/>
            <w:hideMark/>
          </w:tcPr>
          <w:p w14:paraId="496413A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203764"/>
            <w:noWrap/>
            <w:vAlign w:val="center"/>
            <w:hideMark/>
          </w:tcPr>
          <w:p w14:paraId="1F524270"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203764"/>
            <w:noWrap/>
            <w:vAlign w:val="center"/>
            <w:hideMark/>
          </w:tcPr>
          <w:p w14:paraId="31CB7D9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203764"/>
            <w:noWrap/>
            <w:vAlign w:val="center"/>
            <w:hideMark/>
          </w:tcPr>
          <w:p w14:paraId="669D8E20"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70F1AA05" w14:textId="77777777" w:rsidTr="009F21B4">
        <w:trPr>
          <w:cantSplit/>
          <w:trHeight w:val="305"/>
        </w:trPr>
        <w:tc>
          <w:tcPr>
            <w:tcW w:w="578" w:type="dxa"/>
            <w:tcBorders>
              <w:top w:val="nil"/>
              <w:left w:val="single" w:sz="4" w:space="0" w:color="auto"/>
              <w:bottom w:val="nil"/>
              <w:right w:val="nil"/>
            </w:tcBorders>
            <w:shd w:val="clear" w:color="auto" w:fill="auto"/>
            <w:hideMark/>
          </w:tcPr>
          <w:p w14:paraId="0F2A941D"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single" w:sz="4" w:space="0" w:color="000000"/>
            </w:tcBorders>
            <w:shd w:val="clear" w:color="auto" w:fill="auto"/>
            <w:hideMark/>
          </w:tcPr>
          <w:p w14:paraId="6F80CCB6" w14:textId="3C57E457" w:rsidR="00630C69" w:rsidRPr="00AA2617" w:rsidRDefault="00630C69" w:rsidP="00AA2617">
            <w:pP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2.1.1. </w:t>
            </w:r>
            <w:r w:rsidR="00AF5E2E" w:rsidRPr="00AA2617">
              <w:rPr>
                <w:rFonts w:cs="Times New Roman"/>
                <w:i/>
                <w:sz w:val="22"/>
                <w:lang w:val="en-GB"/>
              </w:rPr>
              <w:t>Quality-control (QC) protocols established for regular, systematic estimates  of emissions, removals, and emission-reduction activities in the agricultural and land-use sectors.</w:t>
            </w:r>
          </w:p>
        </w:tc>
        <w:tc>
          <w:tcPr>
            <w:tcW w:w="1547" w:type="dxa"/>
            <w:tcBorders>
              <w:top w:val="nil"/>
              <w:left w:val="nil"/>
              <w:bottom w:val="single" w:sz="4" w:space="0" w:color="auto"/>
              <w:right w:val="single" w:sz="4" w:space="0" w:color="auto"/>
            </w:tcBorders>
            <w:shd w:val="clear" w:color="auto" w:fill="auto"/>
            <w:vAlign w:val="center"/>
            <w:hideMark/>
          </w:tcPr>
          <w:p w14:paraId="3B3A5A7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48ACE33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2B949A7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7EF725B0"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305496"/>
            <w:noWrap/>
            <w:vAlign w:val="center"/>
            <w:hideMark/>
          </w:tcPr>
          <w:p w14:paraId="6A6DDC4D"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13A9707C"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664CF7D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31CD1F8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253EE312"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AF5E2E" w:rsidRPr="00AA2617" w14:paraId="56AA3973" w14:textId="77777777" w:rsidTr="009F21B4">
        <w:trPr>
          <w:cantSplit/>
          <w:trHeight w:val="197"/>
        </w:trPr>
        <w:tc>
          <w:tcPr>
            <w:tcW w:w="578" w:type="dxa"/>
            <w:tcBorders>
              <w:top w:val="nil"/>
              <w:left w:val="single" w:sz="4" w:space="0" w:color="auto"/>
              <w:bottom w:val="nil"/>
              <w:right w:val="nil"/>
            </w:tcBorders>
            <w:shd w:val="clear" w:color="auto" w:fill="auto"/>
            <w:hideMark/>
          </w:tcPr>
          <w:p w14:paraId="02146CAB" w14:textId="77777777" w:rsidR="00AF5E2E" w:rsidRPr="00AA2617" w:rsidRDefault="00AF5E2E"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hideMark/>
          </w:tcPr>
          <w:p w14:paraId="6499907E" w14:textId="77777777" w:rsidR="00AF5E2E" w:rsidRPr="00AA2617" w:rsidRDefault="00AF5E2E"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724930B4" w14:textId="2D031146" w:rsidR="00AF5E2E" w:rsidRPr="00AA2617" w:rsidRDefault="00AF5E2E" w:rsidP="00AA2617">
            <w:pPr>
              <w:jc w:val="left"/>
              <w:rPr>
                <w:rFonts w:ascii="Arial Narrow" w:eastAsia="Times New Roman" w:hAnsi="Arial Narrow" w:cs="Calibri"/>
                <w:color w:val="000000"/>
                <w:sz w:val="20"/>
                <w:szCs w:val="20"/>
                <w:lang w:val="en-GB"/>
              </w:rPr>
            </w:pPr>
            <w:r w:rsidRPr="00AA2617">
              <w:rPr>
                <w:rFonts w:cs="Times New Roman"/>
                <w:i/>
                <w:sz w:val="22"/>
                <w:lang w:val="en-GB"/>
              </w:rPr>
              <w:t xml:space="preserve">2.1.1.1.  Establish data entry templates and specifiy updating frequency for partner agencies to match with national GHG inventory/ reporting cycles.   </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7CDE4EB1" w14:textId="42C403C2" w:rsidR="00AF5E2E" w:rsidRPr="00AA2617" w:rsidRDefault="00AF5E2E"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PMU through FAO and LOA with National Consultants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777DCC51"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30142E8C"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8EAADB" w:themeFill="accent1" w:themeFillTint="99"/>
            <w:noWrap/>
            <w:vAlign w:val="center"/>
            <w:hideMark/>
          </w:tcPr>
          <w:p w14:paraId="114A72B9"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8EAADB" w:themeFill="accent1" w:themeFillTint="99"/>
            <w:noWrap/>
            <w:vAlign w:val="center"/>
            <w:hideMark/>
          </w:tcPr>
          <w:p w14:paraId="701FF015"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144A3D68"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7F228848"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6AD339A0"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4456988D" w14:textId="77777777" w:rsidR="00AF5E2E" w:rsidRPr="00AA2617" w:rsidRDefault="00AF5E2E" w:rsidP="00AA2617">
            <w:pPr>
              <w:jc w:val="center"/>
              <w:rPr>
                <w:rFonts w:ascii="Arial Narrow" w:eastAsia="Times New Roman" w:hAnsi="Arial Narrow" w:cs="Calibri"/>
                <w:color w:val="000000"/>
                <w:sz w:val="20"/>
                <w:szCs w:val="20"/>
                <w:lang w:val="en-GB"/>
              </w:rPr>
            </w:pPr>
          </w:p>
        </w:tc>
      </w:tr>
      <w:tr w:rsidR="00AF5E2E" w:rsidRPr="00AA2617" w14:paraId="742C0368" w14:textId="77777777" w:rsidTr="009F21B4">
        <w:trPr>
          <w:cantSplit/>
          <w:trHeight w:val="384"/>
        </w:trPr>
        <w:tc>
          <w:tcPr>
            <w:tcW w:w="578" w:type="dxa"/>
            <w:tcBorders>
              <w:top w:val="nil"/>
              <w:left w:val="single" w:sz="4" w:space="0" w:color="auto"/>
              <w:bottom w:val="nil"/>
              <w:right w:val="nil"/>
            </w:tcBorders>
            <w:shd w:val="clear" w:color="auto" w:fill="auto"/>
            <w:hideMark/>
          </w:tcPr>
          <w:p w14:paraId="5B6AE54A" w14:textId="77777777" w:rsidR="00AF5E2E" w:rsidRPr="00AA2617" w:rsidRDefault="00AF5E2E"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lastRenderedPageBreak/>
              <w:t> </w:t>
            </w:r>
          </w:p>
        </w:tc>
        <w:tc>
          <w:tcPr>
            <w:tcW w:w="578" w:type="dxa"/>
            <w:tcBorders>
              <w:top w:val="nil"/>
              <w:left w:val="nil"/>
              <w:bottom w:val="nil"/>
              <w:right w:val="nil"/>
            </w:tcBorders>
            <w:shd w:val="clear" w:color="auto" w:fill="auto"/>
            <w:hideMark/>
          </w:tcPr>
          <w:p w14:paraId="2EEB3308" w14:textId="77777777" w:rsidR="00AF5E2E" w:rsidRPr="00AA2617" w:rsidRDefault="00AF5E2E"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single" w:sz="4" w:space="0" w:color="auto"/>
            </w:tcBorders>
            <w:shd w:val="clear" w:color="auto" w:fill="auto"/>
            <w:hideMark/>
          </w:tcPr>
          <w:p w14:paraId="10118A02" w14:textId="69BA852A" w:rsidR="00AF5E2E" w:rsidRPr="00AA2617" w:rsidRDefault="00AF5E2E" w:rsidP="00AA2617">
            <w:pPr>
              <w:jc w:val="left"/>
              <w:rPr>
                <w:rFonts w:ascii="Arial Narrow" w:eastAsia="Times New Roman" w:hAnsi="Arial Narrow" w:cs="Calibri"/>
                <w:color w:val="000000"/>
                <w:sz w:val="20"/>
                <w:szCs w:val="20"/>
                <w:lang w:val="en-GB"/>
              </w:rPr>
            </w:pPr>
            <w:r w:rsidRPr="00AA2617">
              <w:rPr>
                <w:rFonts w:cs="Times New Roman"/>
                <w:i/>
                <w:sz w:val="22"/>
                <w:lang w:val="en-GB"/>
              </w:rPr>
              <w:t xml:space="preserve">                                                                                                                                                                                                                                                                   2.1.1.2.  Estimate resource requirements and sources for initial and sustained support (e.g., technology, personnel, funding, etc.).                                                                                                                                                                                                                                                               </w:t>
            </w:r>
          </w:p>
        </w:tc>
        <w:tc>
          <w:tcPr>
            <w:tcW w:w="1547" w:type="dxa"/>
            <w:tcBorders>
              <w:top w:val="nil"/>
              <w:left w:val="nil"/>
              <w:bottom w:val="single" w:sz="4" w:space="0" w:color="auto"/>
              <w:right w:val="single" w:sz="4" w:space="0" w:color="auto"/>
            </w:tcBorders>
            <w:shd w:val="clear" w:color="auto" w:fill="auto"/>
            <w:vAlign w:val="center"/>
            <w:hideMark/>
          </w:tcPr>
          <w:p w14:paraId="0BE828E0" w14:textId="77777777" w:rsidR="00AF5E2E" w:rsidRPr="00AA2617" w:rsidRDefault="00AF5E2E"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LOAs:  CCS.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6474CB0D"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6F9E9BF8"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8EAADB" w:themeFill="accent1" w:themeFillTint="99"/>
            <w:noWrap/>
            <w:vAlign w:val="center"/>
            <w:hideMark/>
          </w:tcPr>
          <w:p w14:paraId="32D268AA"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8EAADB" w:themeFill="accent1" w:themeFillTint="99"/>
            <w:noWrap/>
            <w:vAlign w:val="center"/>
            <w:hideMark/>
          </w:tcPr>
          <w:p w14:paraId="4D060711"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7B49F1B0"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5EC9D6F6"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0048761C"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76E7C25F" w14:textId="77777777" w:rsidR="00AF5E2E" w:rsidRPr="00AA2617" w:rsidRDefault="00AF5E2E" w:rsidP="00AA2617">
            <w:pPr>
              <w:jc w:val="center"/>
              <w:rPr>
                <w:rFonts w:ascii="Arial Narrow" w:eastAsia="Times New Roman" w:hAnsi="Arial Narrow" w:cs="Calibri"/>
                <w:color w:val="000000"/>
                <w:sz w:val="20"/>
                <w:szCs w:val="20"/>
                <w:lang w:val="en-GB"/>
              </w:rPr>
            </w:pPr>
          </w:p>
        </w:tc>
      </w:tr>
      <w:tr w:rsidR="00AF5E2E" w:rsidRPr="00AA2617" w14:paraId="2F35B495" w14:textId="77777777" w:rsidTr="009F21B4">
        <w:trPr>
          <w:cantSplit/>
          <w:trHeight w:val="431"/>
        </w:trPr>
        <w:tc>
          <w:tcPr>
            <w:tcW w:w="578" w:type="dxa"/>
            <w:tcBorders>
              <w:top w:val="nil"/>
              <w:left w:val="single" w:sz="4" w:space="0" w:color="auto"/>
              <w:bottom w:val="nil"/>
              <w:right w:val="nil"/>
            </w:tcBorders>
            <w:shd w:val="clear" w:color="auto" w:fill="auto"/>
            <w:hideMark/>
          </w:tcPr>
          <w:p w14:paraId="578B9F32" w14:textId="77777777" w:rsidR="00AF5E2E" w:rsidRPr="00AA2617" w:rsidRDefault="00AF5E2E"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hideMark/>
          </w:tcPr>
          <w:p w14:paraId="22672917" w14:textId="77777777" w:rsidR="00AF5E2E" w:rsidRPr="00AA2617" w:rsidRDefault="00AF5E2E"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single" w:sz="4" w:space="0" w:color="auto"/>
            </w:tcBorders>
            <w:shd w:val="clear" w:color="auto" w:fill="auto"/>
            <w:hideMark/>
          </w:tcPr>
          <w:p w14:paraId="6AA02EB8" w14:textId="33939B30" w:rsidR="00AF5E2E" w:rsidRPr="00AA2617" w:rsidRDefault="00AF5E2E" w:rsidP="00AA2617">
            <w:pPr>
              <w:jc w:val="left"/>
              <w:rPr>
                <w:rFonts w:ascii="Arial Narrow" w:eastAsia="Times New Roman" w:hAnsi="Arial Narrow" w:cs="Calibri"/>
                <w:color w:val="000000"/>
                <w:sz w:val="20"/>
                <w:szCs w:val="20"/>
                <w:lang w:val="en-GB"/>
              </w:rPr>
            </w:pPr>
            <w:r w:rsidRPr="00AA2617">
              <w:rPr>
                <w:rFonts w:cs="Times New Roman"/>
                <w:i/>
                <w:sz w:val="22"/>
                <w:lang w:val="en-GB"/>
              </w:rPr>
              <w:t>2.1.1.3.  Draft AFOLU ETF data-provision guidelines.  (related to Output 1.1.3.)</w:t>
            </w:r>
          </w:p>
        </w:tc>
        <w:tc>
          <w:tcPr>
            <w:tcW w:w="1547" w:type="dxa"/>
            <w:tcBorders>
              <w:top w:val="nil"/>
              <w:left w:val="nil"/>
              <w:bottom w:val="single" w:sz="4" w:space="0" w:color="auto"/>
              <w:right w:val="single" w:sz="4" w:space="0" w:color="auto"/>
            </w:tcBorders>
            <w:shd w:val="clear" w:color="auto" w:fill="auto"/>
            <w:vAlign w:val="center"/>
            <w:hideMark/>
          </w:tcPr>
          <w:p w14:paraId="1E2D411B" w14:textId="113F8EB0" w:rsidR="00AF5E2E" w:rsidRPr="00AA2617" w:rsidRDefault="00AF5E2E"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PMU through FAO and LOA with National Consultants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492770BD"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091CEAE4"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8EAADB" w:themeFill="accent1" w:themeFillTint="99"/>
            <w:noWrap/>
            <w:vAlign w:val="center"/>
            <w:hideMark/>
          </w:tcPr>
          <w:p w14:paraId="356BD358"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8EAADB" w:themeFill="accent1" w:themeFillTint="99"/>
            <w:noWrap/>
            <w:vAlign w:val="center"/>
            <w:hideMark/>
          </w:tcPr>
          <w:p w14:paraId="04979863"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46BDB108"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763D5A0B"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2AB4458B" w14:textId="77777777" w:rsidR="00AF5E2E" w:rsidRPr="00AA2617" w:rsidRDefault="00AF5E2E"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60DCAE8D" w14:textId="77777777" w:rsidR="00AF5E2E" w:rsidRPr="00AA2617" w:rsidRDefault="00AF5E2E" w:rsidP="00AA2617">
            <w:pPr>
              <w:jc w:val="center"/>
              <w:rPr>
                <w:rFonts w:ascii="Arial Narrow" w:eastAsia="Times New Roman" w:hAnsi="Arial Narrow" w:cs="Calibri"/>
                <w:color w:val="000000"/>
                <w:sz w:val="20"/>
                <w:szCs w:val="20"/>
                <w:lang w:val="en-GB"/>
              </w:rPr>
            </w:pPr>
          </w:p>
        </w:tc>
      </w:tr>
      <w:tr w:rsidR="00630C69" w:rsidRPr="00AA2617" w14:paraId="28E3467C" w14:textId="77777777" w:rsidTr="009F21B4">
        <w:trPr>
          <w:cantSplit/>
          <w:trHeight w:val="305"/>
        </w:trPr>
        <w:tc>
          <w:tcPr>
            <w:tcW w:w="578" w:type="dxa"/>
            <w:tcBorders>
              <w:top w:val="nil"/>
              <w:left w:val="single" w:sz="4" w:space="0" w:color="auto"/>
              <w:bottom w:val="nil"/>
              <w:right w:val="nil"/>
            </w:tcBorders>
            <w:shd w:val="clear" w:color="auto" w:fill="auto"/>
            <w:hideMark/>
          </w:tcPr>
          <w:p w14:paraId="3A5D750C"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single" w:sz="4" w:space="0" w:color="000000"/>
            </w:tcBorders>
            <w:shd w:val="clear" w:color="auto" w:fill="auto"/>
            <w:hideMark/>
          </w:tcPr>
          <w:p w14:paraId="2E601AB0" w14:textId="2749F6DB"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2.1.2. </w:t>
            </w:r>
            <w:r w:rsidR="009F21B4" w:rsidRPr="00AA2617">
              <w:rPr>
                <w:rFonts w:cs="Times New Roman"/>
                <w:i/>
                <w:sz w:val="22"/>
                <w:lang w:val="en-GB"/>
              </w:rPr>
              <w:t>Information technology systems upgraded to integrate, analyze, and archive diverse data types.</w:t>
            </w:r>
          </w:p>
        </w:tc>
        <w:tc>
          <w:tcPr>
            <w:tcW w:w="1547" w:type="dxa"/>
            <w:tcBorders>
              <w:top w:val="nil"/>
              <w:left w:val="nil"/>
              <w:bottom w:val="single" w:sz="4" w:space="0" w:color="auto"/>
              <w:right w:val="single" w:sz="4" w:space="0" w:color="auto"/>
            </w:tcBorders>
            <w:shd w:val="clear" w:color="auto" w:fill="auto"/>
            <w:vAlign w:val="center"/>
            <w:hideMark/>
          </w:tcPr>
          <w:p w14:paraId="37EC96CC"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0A61E72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68EE85B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218D55B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305496"/>
            <w:noWrap/>
            <w:vAlign w:val="center"/>
            <w:hideMark/>
          </w:tcPr>
          <w:p w14:paraId="461E0DD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0A05F26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2132536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22B78B4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76665D2E"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41F2E6F1" w14:textId="77777777" w:rsidTr="009F21B4">
        <w:trPr>
          <w:cantSplit/>
          <w:trHeight w:val="197"/>
        </w:trPr>
        <w:tc>
          <w:tcPr>
            <w:tcW w:w="578" w:type="dxa"/>
            <w:tcBorders>
              <w:top w:val="nil"/>
              <w:left w:val="single" w:sz="4" w:space="0" w:color="auto"/>
              <w:bottom w:val="nil"/>
              <w:right w:val="nil"/>
            </w:tcBorders>
            <w:shd w:val="clear" w:color="auto" w:fill="auto"/>
            <w:hideMark/>
          </w:tcPr>
          <w:p w14:paraId="3213D120"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hideMark/>
          </w:tcPr>
          <w:p w14:paraId="3D4A7671" w14:textId="77777777" w:rsidR="00630C69" w:rsidRPr="00AA2617" w:rsidRDefault="00630C69"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6CAEA145" w14:textId="5690F3E8" w:rsidR="00630C69" w:rsidRPr="00AA2617" w:rsidRDefault="009F21B4" w:rsidP="00AA2617">
            <w:pPr>
              <w:jc w:val="left"/>
              <w:rPr>
                <w:rFonts w:ascii="Arial Narrow" w:eastAsia="Times New Roman" w:hAnsi="Arial Narrow" w:cs="Calibri"/>
                <w:color w:val="000000"/>
                <w:sz w:val="20"/>
                <w:szCs w:val="20"/>
                <w:lang w:val="en-GB"/>
              </w:rPr>
            </w:pPr>
            <w:r w:rsidRPr="00AA2617">
              <w:rPr>
                <w:rFonts w:cs="Times New Roman"/>
                <w:i/>
                <w:sz w:val="22"/>
                <w:lang w:val="en-GB"/>
              </w:rPr>
              <w:t>2.1.2.1.  Develop a dedicated ICT infrastructure for parallel updating by stakeholder and partner institutions with appropriate security clearances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026DB434" w14:textId="455ABEB8"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PMU through FAO, CCS and LOA with National Consultants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45A6E42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2E8BFEB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4BB7B30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615D149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4AEC1CB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5F17020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10B5CD6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2996338D"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5BF32B18" w14:textId="77777777" w:rsidTr="009F21B4">
        <w:trPr>
          <w:cantSplit/>
          <w:trHeight w:val="647"/>
        </w:trPr>
        <w:tc>
          <w:tcPr>
            <w:tcW w:w="578" w:type="dxa"/>
            <w:tcBorders>
              <w:top w:val="nil"/>
              <w:left w:val="single" w:sz="4" w:space="0" w:color="auto"/>
              <w:bottom w:val="nil"/>
              <w:right w:val="nil"/>
            </w:tcBorders>
            <w:shd w:val="clear" w:color="auto" w:fill="auto"/>
            <w:noWrap/>
            <w:hideMark/>
          </w:tcPr>
          <w:p w14:paraId="1E9286AA"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single" w:sz="4" w:space="0" w:color="000000"/>
            </w:tcBorders>
            <w:shd w:val="clear" w:color="auto" w:fill="auto"/>
            <w:hideMark/>
          </w:tcPr>
          <w:p w14:paraId="7644FCCC" w14:textId="40B54EBD" w:rsidR="00630C69" w:rsidRPr="00AA2617" w:rsidRDefault="00630C69" w:rsidP="00AA2617">
            <w:pP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2.1.3. </w:t>
            </w:r>
            <w:r w:rsidR="009F21B4" w:rsidRPr="00AA2617">
              <w:rPr>
                <w:rFonts w:cs="Times New Roman"/>
                <w:i/>
                <w:sz w:val="22"/>
                <w:lang w:val="en-GB"/>
              </w:rPr>
              <w:t>Capacity and technology upgraded in relevant institutions to strengthen mitigation-related MRV, including country-specific emissions factors, activity data, and Tier 2 reporting for key sub-categories in the agriculture, forestry and land-use sectors.  (Coordinates with 3.1.3.)</w:t>
            </w:r>
          </w:p>
        </w:tc>
        <w:tc>
          <w:tcPr>
            <w:tcW w:w="1547" w:type="dxa"/>
            <w:tcBorders>
              <w:top w:val="nil"/>
              <w:left w:val="nil"/>
              <w:bottom w:val="nil"/>
              <w:right w:val="single" w:sz="4" w:space="0" w:color="auto"/>
            </w:tcBorders>
            <w:shd w:val="clear" w:color="auto" w:fill="auto"/>
            <w:vAlign w:val="center"/>
            <w:hideMark/>
          </w:tcPr>
          <w:p w14:paraId="4FA3248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nil"/>
              <w:right w:val="single" w:sz="4" w:space="0" w:color="auto"/>
            </w:tcBorders>
            <w:shd w:val="clear" w:color="auto" w:fill="auto"/>
            <w:noWrap/>
            <w:vAlign w:val="center"/>
            <w:hideMark/>
          </w:tcPr>
          <w:p w14:paraId="40BD4A2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nil"/>
              <w:right w:val="nil"/>
            </w:tcBorders>
            <w:shd w:val="clear" w:color="auto" w:fill="2F5496" w:themeFill="accent1" w:themeFillShade="BF"/>
            <w:noWrap/>
            <w:vAlign w:val="center"/>
            <w:hideMark/>
          </w:tcPr>
          <w:p w14:paraId="38D27E5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nil"/>
              <w:right w:val="single" w:sz="4" w:space="0" w:color="auto"/>
            </w:tcBorders>
            <w:shd w:val="clear" w:color="auto" w:fill="2F5496" w:themeFill="accent1" w:themeFillShade="BF"/>
            <w:noWrap/>
            <w:vAlign w:val="center"/>
            <w:hideMark/>
          </w:tcPr>
          <w:p w14:paraId="7E4627C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nil"/>
              <w:right w:val="single" w:sz="8" w:space="0" w:color="auto"/>
            </w:tcBorders>
            <w:shd w:val="clear" w:color="auto" w:fill="2F5496" w:themeFill="accent1" w:themeFillShade="BF"/>
            <w:noWrap/>
            <w:vAlign w:val="center"/>
            <w:hideMark/>
          </w:tcPr>
          <w:p w14:paraId="6470B20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nil"/>
              <w:right w:val="single" w:sz="4" w:space="0" w:color="auto"/>
            </w:tcBorders>
            <w:shd w:val="clear" w:color="auto" w:fill="2F5496" w:themeFill="accent1" w:themeFillShade="BF"/>
            <w:noWrap/>
            <w:vAlign w:val="center"/>
            <w:hideMark/>
          </w:tcPr>
          <w:p w14:paraId="526B250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nil"/>
              <w:right w:val="nil"/>
            </w:tcBorders>
            <w:shd w:val="clear" w:color="auto" w:fill="2F5496" w:themeFill="accent1" w:themeFillShade="BF"/>
            <w:noWrap/>
            <w:vAlign w:val="center"/>
            <w:hideMark/>
          </w:tcPr>
          <w:p w14:paraId="7378D0B0"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nil"/>
              <w:right w:val="single" w:sz="4" w:space="0" w:color="auto"/>
            </w:tcBorders>
            <w:shd w:val="clear" w:color="auto" w:fill="2F5496" w:themeFill="accent1" w:themeFillShade="BF"/>
            <w:noWrap/>
            <w:vAlign w:val="center"/>
            <w:hideMark/>
          </w:tcPr>
          <w:p w14:paraId="7CEAEAE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nil"/>
              <w:right w:val="single" w:sz="4" w:space="0" w:color="auto"/>
            </w:tcBorders>
            <w:shd w:val="clear" w:color="auto" w:fill="2F5496" w:themeFill="accent1" w:themeFillShade="BF"/>
            <w:noWrap/>
            <w:vAlign w:val="center"/>
            <w:hideMark/>
          </w:tcPr>
          <w:p w14:paraId="5B422FE0"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9F21B4" w:rsidRPr="00AA2617" w14:paraId="1B7C37AD" w14:textId="77777777" w:rsidTr="009F21B4">
        <w:trPr>
          <w:cantSplit/>
          <w:trHeight w:val="552"/>
        </w:trPr>
        <w:tc>
          <w:tcPr>
            <w:tcW w:w="578" w:type="dxa"/>
            <w:tcBorders>
              <w:top w:val="nil"/>
              <w:left w:val="single" w:sz="4" w:space="0" w:color="auto"/>
              <w:bottom w:val="nil"/>
              <w:right w:val="nil"/>
            </w:tcBorders>
            <w:shd w:val="clear" w:color="auto" w:fill="auto"/>
            <w:noWrap/>
          </w:tcPr>
          <w:p w14:paraId="3002A585"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578" w:type="dxa"/>
            <w:tcBorders>
              <w:top w:val="nil"/>
              <w:left w:val="nil"/>
              <w:bottom w:val="nil"/>
              <w:right w:val="nil"/>
            </w:tcBorders>
            <w:shd w:val="clear" w:color="auto" w:fill="auto"/>
            <w:noWrap/>
            <w:vAlign w:val="bottom"/>
          </w:tcPr>
          <w:p w14:paraId="7094AE71"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tcPr>
          <w:p w14:paraId="12F50EB4" w14:textId="75180601" w:rsidR="009F21B4" w:rsidRPr="00AA2617" w:rsidRDefault="009F21B4" w:rsidP="00AA2617">
            <w:pPr>
              <w:jc w:val="left"/>
              <w:rPr>
                <w:rFonts w:ascii="Arial Narrow" w:eastAsia="Times New Roman" w:hAnsi="Arial Narrow" w:cs="Calibri"/>
                <w:color w:val="000000"/>
                <w:sz w:val="20"/>
                <w:szCs w:val="20"/>
                <w:lang w:val="en-GB"/>
              </w:rPr>
            </w:pPr>
            <w:r w:rsidRPr="00AA2617">
              <w:rPr>
                <w:rFonts w:cs="Times New Roman"/>
                <w:i/>
                <w:sz w:val="22"/>
                <w:lang w:val="en-GB"/>
              </w:rPr>
              <w:t>2.1.3.1.  Update forest cover maps, develop allometric equations for updated estimates of emission from source and removals from sinks in forestry sector</w:t>
            </w:r>
          </w:p>
        </w:tc>
        <w:tc>
          <w:tcPr>
            <w:tcW w:w="1547" w:type="dxa"/>
            <w:tcBorders>
              <w:top w:val="single" w:sz="4" w:space="0" w:color="auto"/>
              <w:left w:val="single" w:sz="4" w:space="0" w:color="auto"/>
              <w:bottom w:val="single" w:sz="4" w:space="0" w:color="auto"/>
              <w:right w:val="single" w:sz="4" w:space="0" w:color="auto"/>
            </w:tcBorders>
            <w:shd w:val="clear" w:color="auto" w:fill="auto"/>
            <w:vAlign w:val="center"/>
          </w:tcPr>
          <w:p w14:paraId="5E41C75C" w14:textId="7C5A6997" w:rsidR="009F21B4" w:rsidRPr="00AA2617" w:rsidRDefault="009F21B4"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LOA: FD</w:t>
            </w:r>
          </w:p>
        </w:tc>
        <w:tc>
          <w:tcPr>
            <w:tcW w:w="435" w:type="dxa"/>
            <w:tcBorders>
              <w:top w:val="single" w:sz="4" w:space="0" w:color="auto"/>
              <w:left w:val="single" w:sz="8" w:space="0" w:color="auto"/>
              <w:bottom w:val="nil"/>
              <w:right w:val="single" w:sz="4" w:space="0" w:color="auto"/>
            </w:tcBorders>
            <w:shd w:val="clear" w:color="auto" w:fill="B4C6E7" w:themeFill="accent1" w:themeFillTint="66"/>
            <w:noWrap/>
            <w:vAlign w:val="center"/>
          </w:tcPr>
          <w:p w14:paraId="1C8A0890"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B4C6E7" w:themeFill="accent1" w:themeFillTint="66"/>
            <w:noWrap/>
            <w:vAlign w:val="center"/>
          </w:tcPr>
          <w:p w14:paraId="7677449E"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auto" w:fill="B4C6E7" w:themeFill="accent1" w:themeFillTint="66"/>
            <w:noWrap/>
            <w:vAlign w:val="center"/>
          </w:tcPr>
          <w:p w14:paraId="5890461A"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8" w:space="0" w:color="auto"/>
            </w:tcBorders>
            <w:shd w:val="clear" w:color="auto" w:fill="B4C6E7" w:themeFill="accent1" w:themeFillTint="66"/>
            <w:noWrap/>
            <w:vAlign w:val="center"/>
          </w:tcPr>
          <w:p w14:paraId="31DE321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auto" w:fill="B4C6E7" w:themeFill="accent1" w:themeFillTint="66"/>
            <w:noWrap/>
            <w:vAlign w:val="center"/>
          </w:tcPr>
          <w:p w14:paraId="343412EA"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B4C6E7" w:themeFill="accent1" w:themeFillTint="66"/>
            <w:noWrap/>
            <w:vAlign w:val="center"/>
          </w:tcPr>
          <w:p w14:paraId="4CC67931"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auto" w:fill="B4C6E7" w:themeFill="accent1" w:themeFillTint="66"/>
            <w:noWrap/>
            <w:vAlign w:val="center"/>
          </w:tcPr>
          <w:p w14:paraId="75243300"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auto" w:fill="B4C6E7" w:themeFill="accent1" w:themeFillTint="66"/>
            <w:noWrap/>
            <w:vAlign w:val="center"/>
          </w:tcPr>
          <w:p w14:paraId="08C57DEA"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1CF427F8" w14:textId="77777777" w:rsidTr="009F21B4">
        <w:trPr>
          <w:cantSplit/>
          <w:trHeight w:val="552"/>
        </w:trPr>
        <w:tc>
          <w:tcPr>
            <w:tcW w:w="578" w:type="dxa"/>
            <w:tcBorders>
              <w:top w:val="nil"/>
              <w:left w:val="single" w:sz="4" w:space="0" w:color="auto"/>
              <w:bottom w:val="nil"/>
              <w:right w:val="nil"/>
            </w:tcBorders>
            <w:shd w:val="clear" w:color="auto" w:fill="auto"/>
            <w:noWrap/>
            <w:hideMark/>
          </w:tcPr>
          <w:p w14:paraId="1AC920B2"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vAlign w:val="bottom"/>
            <w:hideMark/>
          </w:tcPr>
          <w:p w14:paraId="30F81280"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37EA7711" w14:textId="35AB55D7" w:rsidR="009F21B4" w:rsidRPr="00AA2617" w:rsidRDefault="009F21B4" w:rsidP="00AA2617">
            <w:pPr>
              <w:jc w:val="left"/>
              <w:rPr>
                <w:rFonts w:ascii="Arial Narrow" w:eastAsia="Times New Roman" w:hAnsi="Arial Narrow" w:cs="Calibri"/>
                <w:color w:val="000000"/>
                <w:sz w:val="20"/>
                <w:szCs w:val="20"/>
                <w:lang w:val="en-GB"/>
              </w:rPr>
            </w:pPr>
            <w:r w:rsidRPr="00AA2617">
              <w:rPr>
                <w:rFonts w:cs="Times New Roman"/>
                <w:i/>
                <w:sz w:val="22"/>
                <w:lang w:val="en-GB"/>
              </w:rPr>
              <w:t>2.1.3.2. Capacity development for three priority key categories</w:t>
            </w:r>
          </w:p>
        </w:tc>
        <w:tc>
          <w:tcPr>
            <w:tcW w:w="15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E6945A" w14:textId="6C496C96" w:rsidR="009F21B4" w:rsidRPr="00AA2617" w:rsidRDefault="009F21B4"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LOA: CCS</w:t>
            </w:r>
          </w:p>
        </w:tc>
        <w:tc>
          <w:tcPr>
            <w:tcW w:w="435" w:type="dxa"/>
            <w:tcBorders>
              <w:top w:val="single" w:sz="4" w:space="0" w:color="auto"/>
              <w:left w:val="single" w:sz="8" w:space="0" w:color="auto"/>
              <w:bottom w:val="nil"/>
              <w:right w:val="single" w:sz="4" w:space="0" w:color="auto"/>
            </w:tcBorders>
            <w:shd w:val="clear" w:color="auto" w:fill="auto"/>
            <w:noWrap/>
            <w:vAlign w:val="center"/>
            <w:hideMark/>
          </w:tcPr>
          <w:p w14:paraId="00D61DFC"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B4C6E7" w:themeFill="accent1" w:themeFillTint="66"/>
            <w:noWrap/>
            <w:vAlign w:val="center"/>
            <w:hideMark/>
          </w:tcPr>
          <w:p w14:paraId="3149057E"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auto" w:fill="B4C6E7" w:themeFill="accent1" w:themeFillTint="66"/>
            <w:noWrap/>
            <w:vAlign w:val="center"/>
            <w:hideMark/>
          </w:tcPr>
          <w:p w14:paraId="59648E69"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8" w:space="0" w:color="auto"/>
            </w:tcBorders>
            <w:shd w:val="clear" w:color="auto" w:fill="B4C6E7" w:themeFill="accent1" w:themeFillTint="66"/>
            <w:noWrap/>
            <w:vAlign w:val="center"/>
            <w:hideMark/>
          </w:tcPr>
          <w:p w14:paraId="01B83D1C"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auto" w:fill="B4C6E7" w:themeFill="accent1" w:themeFillTint="66"/>
            <w:noWrap/>
            <w:vAlign w:val="center"/>
            <w:hideMark/>
          </w:tcPr>
          <w:p w14:paraId="140D06A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B4C6E7" w:themeFill="accent1" w:themeFillTint="66"/>
            <w:noWrap/>
            <w:vAlign w:val="center"/>
            <w:hideMark/>
          </w:tcPr>
          <w:p w14:paraId="52C435D1"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auto" w:fill="B4C6E7" w:themeFill="accent1" w:themeFillTint="66"/>
            <w:noWrap/>
            <w:vAlign w:val="center"/>
            <w:hideMark/>
          </w:tcPr>
          <w:p w14:paraId="4C516FE9"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auto" w:fill="B4C6E7" w:themeFill="accent1" w:themeFillTint="66"/>
            <w:noWrap/>
            <w:vAlign w:val="center"/>
            <w:hideMark/>
          </w:tcPr>
          <w:p w14:paraId="6B3F2771"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7E762CC5" w14:textId="77777777" w:rsidTr="009F21B4">
        <w:trPr>
          <w:cantSplit/>
          <w:trHeight w:val="323"/>
        </w:trPr>
        <w:tc>
          <w:tcPr>
            <w:tcW w:w="578" w:type="dxa"/>
            <w:tcBorders>
              <w:top w:val="nil"/>
              <w:left w:val="single" w:sz="4" w:space="0" w:color="auto"/>
              <w:bottom w:val="nil"/>
              <w:right w:val="nil"/>
            </w:tcBorders>
            <w:shd w:val="clear" w:color="auto" w:fill="auto"/>
            <w:noWrap/>
            <w:hideMark/>
          </w:tcPr>
          <w:p w14:paraId="5DAE1BD3"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vAlign w:val="bottom"/>
            <w:hideMark/>
          </w:tcPr>
          <w:p w14:paraId="7B6E5979"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536B5F68" w14:textId="0908EE27" w:rsidR="009F21B4" w:rsidRPr="00AA2617" w:rsidRDefault="009F21B4" w:rsidP="00AA2617">
            <w:pPr>
              <w:jc w:val="left"/>
              <w:rPr>
                <w:rFonts w:ascii="Arial Narrow" w:eastAsia="Times New Roman" w:hAnsi="Arial Narrow" w:cs="Calibri"/>
                <w:color w:val="000000"/>
                <w:sz w:val="20"/>
                <w:szCs w:val="20"/>
                <w:lang w:val="en-GB"/>
              </w:rPr>
            </w:pPr>
            <w:r w:rsidRPr="00AA2617">
              <w:rPr>
                <w:rFonts w:cs="Times New Roman"/>
                <w:i/>
                <w:sz w:val="22"/>
                <w:lang w:val="en-GB"/>
              </w:rPr>
              <w:t>2.1.3.3.  Provide relevant stakeholders with the equipment and software necessary for decentralized data collection, storage, and uploading in line with data-provision guidelines</w:t>
            </w:r>
          </w:p>
        </w:tc>
        <w:tc>
          <w:tcPr>
            <w:tcW w:w="1547" w:type="dxa"/>
            <w:tcBorders>
              <w:top w:val="nil"/>
              <w:left w:val="single" w:sz="4" w:space="0" w:color="auto"/>
              <w:bottom w:val="single" w:sz="4" w:space="0" w:color="auto"/>
              <w:right w:val="single" w:sz="4" w:space="0" w:color="auto"/>
            </w:tcBorders>
            <w:shd w:val="clear" w:color="auto" w:fill="auto"/>
            <w:noWrap/>
            <w:vAlign w:val="center"/>
            <w:hideMark/>
          </w:tcPr>
          <w:p w14:paraId="5937FAB6" w14:textId="4B673380"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PMU through FAO, CCS and LOA with National Consultants</w:t>
            </w:r>
          </w:p>
        </w:tc>
        <w:tc>
          <w:tcPr>
            <w:tcW w:w="435" w:type="dxa"/>
            <w:tcBorders>
              <w:top w:val="single" w:sz="4" w:space="0" w:color="auto"/>
              <w:left w:val="single" w:sz="8" w:space="0" w:color="auto"/>
              <w:bottom w:val="nil"/>
              <w:right w:val="single" w:sz="4" w:space="0" w:color="auto"/>
            </w:tcBorders>
            <w:shd w:val="clear" w:color="auto" w:fill="auto"/>
            <w:noWrap/>
            <w:vAlign w:val="center"/>
            <w:hideMark/>
          </w:tcPr>
          <w:p w14:paraId="539A0177"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auto"/>
            <w:noWrap/>
            <w:vAlign w:val="center"/>
            <w:hideMark/>
          </w:tcPr>
          <w:p w14:paraId="56371AE7"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auto" w:fill="auto"/>
            <w:noWrap/>
            <w:vAlign w:val="center"/>
            <w:hideMark/>
          </w:tcPr>
          <w:p w14:paraId="1B10069B"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8" w:space="0" w:color="auto"/>
            </w:tcBorders>
            <w:shd w:val="clear" w:color="auto" w:fill="auto"/>
            <w:noWrap/>
            <w:vAlign w:val="center"/>
            <w:hideMark/>
          </w:tcPr>
          <w:p w14:paraId="50DA375B"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000000" w:fill="B4C6E7"/>
            <w:noWrap/>
            <w:vAlign w:val="center"/>
            <w:hideMark/>
          </w:tcPr>
          <w:p w14:paraId="5E8A9019"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auto"/>
            <w:noWrap/>
            <w:vAlign w:val="center"/>
            <w:hideMark/>
          </w:tcPr>
          <w:p w14:paraId="04C6FA7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auto" w:fill="auto"/>
            <w:noWrap/>
            <w:vAlign w:val="center"/>
            <w:hideMark/>
          </w:tcPr>
          <w:p w14:paraId="60831924"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auto" w:fill="auto"/>
            <w:noWrap/>
            <w:vAlign w:val="center"/>
            <w:hideMark/>
          </w:tcPr>
          <w:p w14:paraId="20687497"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698EF1F6" w14:textId="77777777" w:rsidTr="009F21B4">
        <w:trPr>
          <w:cantSplit/>
          <w:trHeight w:val="395"/>
        </w:trPr>
        <w:tc>
          <w:tcPr>
            <w:tcW w:w="578" w:type="dxa"/>
            <w:tcBorders>
              <w:top w:val="nil"/>
              <w:left w:val="single" w:sz="4" w:space="0" w:color="auto"/>
              <w:bottom w:val="nil"/>
              <w:right w:val="nil"/>
            </w:tcBorders>
            <w:shd w:val="clear" w:color="auto" w:fill="auto"/>
            <w:noWrap/>
            <w:hideMark/>
          </w:tcPr>
          <w:p w14:paraId="16A06D8A"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lastRenderedPageBreak/>
              <w:t> </w:t>
            </w:r>
          </w:p>
        </w:tc>
        <w:tc>
          <w:tcPr>
            <w:tcW w:w="578" w:type="dxa"/>
            <w:tcBorders>
              <w:top w:val="nil"/>
              <w:left w:val="nil"/>
              <w:bottom w:val="nil"/>
              <w:right w:val="nil"/>
            </w:tcBorders>
            <w:shd w:val="clear" w:color="auto" w:fill="auto"/>
            <w:noWrap/>
            <w:vAlign w:val="bottom"/>
            <w:hideMark/>
          </w:tcPr>
          <w:p w14:paraId="2397173C"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766312F0" w14:textId="36A507DD" w:rsidR="009F21B4" w:rsidRPr="00AA2617" w:rsidRDefault="009F21B4" w:rsidP="00AA2617">
            <w:pPr>
              <w:jc w:val="left"/>
              <w:rPr>
                <w:rFonts w:ascii="Arial Narrow" w:eastAsia="Times New Roman" w:hAnsi="Arial Narrow" w:cs="Calibri"/>
                <w:sz w:val="20"/>
                <w:szCs w:val="20"/>
                <w:lang w:val="en-GB"/>
              </w:rPr>
            </w:pPr>
            <w:r w:rsidRPr="00AA2617">
              <w:rPr>
                <w:rFonts w:cs="Times New Roman"/>
                <w:i/>
                <w:sz w:val="22"/>
                <w:lang w:val="en-GB"/>
              </w:rPr>
              <w:t xml:space="preserve"> 2.1.3.4.  Produce training materials, including materials for training of trainers, for associated technologies and QC protocols.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51DA7F97" w14:textId="2CB2C8D7"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PMU through FAO, CCS and LOA with National Consultants</w:t>
            </w:r>
          </w:p>
        </w:tc>
        <w:tc>
          <w:tcPr>
            <w:tcW w:w="435" w:type="dxa"/>
            <w:tcBorders>
              <w:top w:val="single" w:sz="4" w:space="0" w:color="auto"/>
              <w:left w:val="single" w:sz="8" w:space="0" w:color="auto"/>
              <w:bottom w:val="nil"/>
              <w:right w:val="single" w:sz="4" w:space="0" w:color="auto"/>
            </w:tcBorders>
            <w:shd w:val="clear" w:color="auto" w:fill="auto"/>
            <w:noWrap/>
            <w:vAlign w:val="center"/>
            <w:hideMark/>
          </w:tcPr>
          <w:p w14:paraId="465DAE2E"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auto"/>
            <w:noWrap/>
            <w:vAlign w:val="center"/>
            <w:hideMark/>
          </w:tcPr>
          <w:p w14:paraId="12EFEAE3"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auto" w:fill="auto"/>
            <w:noWrap/>
            <w:vAlign w:val="center"/>
            <w:hideMark/>
          </w:tcPr>
          <w:p w14:paraId="1912C79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8" w:space="0" w:color="auto"/>
            </w:tcBorders>
            <w:shd w:val="clear" w:color="auto" w:fill="B4C6E7" w:themeFill="accent1" w:themeFillTint="66"/>
            <w:noWrap/>
            <w:vAlign w:val="center"/>
            <w:hideMark/>
          </w:tcPr>
          <w:p w14:paraId="007F4CB1"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auto" w:fill="B4C6E7" w:themeFill="accent1" w:themeFillTint="66"/>
            <w:noWrap/>
            <w:vAlign w:val="center"/>
            <w:hideMark/>
          </w:tcPr>
          <w:p w14:paraId="2EADC033"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B4C6E7" w:themeFill="accent1" w:themeFillTint="66"/>
            <w:noWrap/>
            <w:vAlign w:val="center"/>
            <w:hideMark/>
          </w:tcPr>
          <w:p w14:paraId="5AB32A36"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000000" w:fill="B4C6E7"/>
            <w:noWrap/>
            <w:vAlign w:val="center"/>
            <w:hideMark/>
          </w:tcPr>
          <w:p w14:paraId="26673C1D"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000000" w:fill="B4C6E7"/>
            <w:noWrap/>
            <w:vAlign w:val="center"/>
            <w:hideMark/>
          </w:tcPr>
          <w:p w14:paraId="6179E246"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48F86CCE" w14:textId="77777777" w:rsidTr="009F21B4">
        <w:trPr>
          <w:cantSplit/>
          <w:trHeight w:val="395"/>
        </w:trPr>
        <w:tc>
          <w:tcPr>
            <w:tcW w:w="578" w:type="dxa"/>
            <w:tcBorders>
              <w:top w:val="nil"/>
              <w:left w:val="single" w:sz="4" w:space="0" w:color="auto"/>
              <w:bottom w:val="nil"/>
              <w:right w:val="nil"/>
            </w:tcBorders>
            <w:shd w:val="clear" w:color="auto" w:fill="auto"/>
            <w:noWrap/>
          </w:tcPr>
          <w:p w14:paraId="2A0AB14B"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578" w:type="dxa"/>
            <w:tcBorders>
              <w:top w:val="nil"/>
              <w:left w:val="nil"/>
              <w:bottom w:val="nil"/>
              <w:right w:val="nil"/>
            </w:tcBorders>
            <w:shd w:val="clear" w:color="auto" w:fill="auto"/>
            <w:noWrap/>
            <w:vAlign w:val="bottom"/>
          </w:tcPr>
          <w:p w14:paraId="774057B8"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tcPr>
          <w:p w14:paraId="7A722700" w14:textId="742B7DE0" w:rsidR="009F21B4" w:rsidRPr="00AA2617" w:rsidRDefault="009F21B4" w:rsidP="00AA2617">
            <w:pPr>
              <w:jc w:val="left"/>
              <w:rPr>
                <w:rFonts w:ascii="Arial Narrow" w:eastAsia="Times New Roman" w:hAnsi="Arial Narrow" w:cs="Calibri"/>
                <w:sz w:val="20"/>
                <w:szCs w:val="20"/>
                <w:lang w:val="en-GB"/>
              </w:rPr>
            </w:pPr>
            <w:r w:rsidRPr="00AA2617">
              <w:rPr>
                <w:rFonts w:cs="Times New Roman"/>
                <w:i/>
                <w:sz w:val="22"/>
                <w:lang w:val="en-GB"/>
              </w:rPr>
              <w:t>2.1.3.5.  Conduct training of relevant stakeholders, including training of trainers, to enable measurements in line with data-provision guidelines.</w:t>
            </w:r>
          </w:p>
        </w:tc>
        <w:tc>
          <w:tcPr>
            <w:tcW w:w="1547" w:type="dxa"/>
            <w:tcBorders>
              <w:top w:val="nil"/>
              <w:left w:val="single" w:sz="4" w:space="0" w:color="auto"/>
              <w:bottom w:val="single" w:sz="4" w:space="0" w:color="auto"/>
              <w:right w:val="single" w:sz="4" w:space="0" w:color="auto"/>
            </w:tcBorders>
            <w:shd w:val="clear" w:color="auto" w:fill="auto"/>
            <w:vAlign w:val="center"/>
          </w:tcPr>
          <w:p w14:paraId="084F2044"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8" w:space="0" w:color="auto"/>
              <w:bottom w:val="nil"/>
              <w:right w:val="single" w:sz="4" w:space="0" w:color="auto"/>
            </w:tcBorders>
            <w:shd w:val="clear" w:color="auto" w:fill="auto"/>
            <w:noWrap/>
            <w:vAlign w:val="center"/>
          </w:tcPr>
          <w:p w14:paraId="5E958E84"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B4C6E7" w:themeFill="accent1" w:themeFillTint="66"/>
            <w:noWrap/>
            <w:vAlign w:val="center"/>
          </w:tcPr>
          <w:p w14:paraId="2A89588A"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auto" w:fill="B4C6E7" w:themeFill="accent1" w:themeFillTint="66"/>
            <w:noWrap/>
            <w:vAlign w:val="center"/>
          </w:tcPr>
          <w:p w14:paraId="72165FE6"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8" w:space="0" w:color="auto"/>
            </w:tcBorders>
            <w:shd w:val="clear" w:color="auto" w:fill="B4C6E7" w:themeFill="accent1" w:themeFillTint="66"/>
            <w:noWrap/>
            <w:vAlign w:val="center"/>
          </w:tcPr>
          <w:p w14:paraId="5F69FC7B"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auto" w:fill="B4C6E7" w:themeFill="accent1" w:themeFillTint="66"/>
            <w:noWrap/>
            <w:vAlign w:val="center"/>
          </w:tcPr>
          <w:p w14:paraId="0007D354"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B4C6E7" w:themeFill="accent1" w:themeFillTint="66"/>
            <w:noWrap/>
            <w:vAlign w:val="center"/>
          </w:tcPr>
          <w:p w14:paraId="4742EC6C"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auto" w:fill="B4C6E7" w:themeFill="accent1" w:themeFillTint="66"/>
            <w:noWrap/>
            <w:vAlign w:val="center"/>
          </w:tcPr>
          <w:p w14:paraId="6D74B9D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auto" w:fill="B4C6E7" w:themeFill="accent1" w:themeFillTint="66"/>
            <w:noWrap/>
            <w:vAlign w:val="center"/>
          </w:tcPr>
          <w:p w14:paraId="320A1C9C"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630C69" w:rsidRPr="00AA2617" w14:paraId="0D343449" w14:textId="77777777" w:rsidTr="009F21B4">
        <w:trPr>
          <w:cantSplit/>
          <w:trHeight w:val="242"/>
        </w:trPr>
        <w:tc>
          <w:tcPr>
            <w:tcW w:w="578" w:type="dxa"/>
            <w:tcBorders>
              <w:top w:val="nil"/>
              <w:left w:val="single" w:sz="4" w:space="0" w:color="auto"/>
              <w:bottom w:val="nil"/>
              <w:right w:val="nil"/>
            </w:tcBorders>
            <w:shd w:val="clear" w:color="auto" w:fill="auto"/>
            <w:noWrap/>
            <w:hideMark/>
          </w:tcPr>
          <w:p w14:paraId="2BE565B3"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single" w:sz="4" w:space="0" w:color="000000"/>
            </w:tcBorders>
            <w:shd w:val="clear" w:color="auto" w:fill="auto"/>
            <w:hideMark/>
          </w:tcPr>
          <w:p w14:paraId="0392AC85" w14:textId="77777777" w:rsidR="009F21B4" w:rsidRPr="00AA2617" w:rsidRDefault="00630C69" w:rsidP="00AA2617">
            <w:pPr>
              <w:rPr>
                <w:rFonts w:cs="Times New Roman"/>
                <w:i/>
                <w:sz w:val="22"/>
                <w:lang w:val="en-GB"/>
              </w:rPr>
            </w:pPr>
            <w:r w:rsidRPr="00AA2617">
              <w:rPr>
                <w:rFonts w:ascii="Arial Narrow" w:eastAsia="Times New Roman" w:hAnsi="Arial Narrow" w:cs="Calibri"/>
                <w:color w:val="000000"/>
                <w:sz w:val="20"/>
                <w:szCs w:val="20"/>
                <w:lang w:val="en-GB"/>
              </w:rPr>
              <w:t xml:space="preserve">2.1.4. </w:t>
            </w:r>
            <w:r w:rsidR="009F21B4" w:rsidRPr="00AA2617">
              <w:rPr>
                <w:rFonts w:cs="Times New Roman"/>
                <w:i/>
                <w:sz w:val="22"/>
                <w:lang w:val="en-GB"/>
              </w:rPr>
              <w:t>Relevant measures validated and piloted for key mitigation sub-categories in the agriculture, forestry and other land-use sectors.</w:t>
            </w:r>
          </w:p>
          <w:p w14:paraId="1A7B5D1F" w14:textId="796C2CA6" w:rsidR="00630C69" w:rsidRPr="00AA2617" w:rsidRDefault="00630C69" w:rsidP="00AA2617">
            <w:pPr>
              <w:jc w:val="left"/>
              <w:rPr>
                <w:rFonts w:ascii="Arial Narrow" w:eastAsia="Times New Roman" w:hAnsi="Arial Narrow" w:cs="Calibri"/>
                <w:color w:val="000000"/>
                <w:sz w:val="20"/>
                <w:szCs w:val="20"/>
                <w:lang w:val="en-GB"/>
              </w:rPr>
            </w:pPr>
          </w:p>
        </w:tc>
        <w:tc>
          <w:tcPr>
            <w:tcW w:w="1547" w:type="dxa"/>
            <w:tcBorders>
              <w:top w:val="nil"/>
              <w:left w:val="nil"/>
              <w:bottom w:val="nil"/>
              <w:right w:val="single" w:sz="4" w:space="0" w:color="auto"/>
            </w:tcBorders>
            <w:shd w:val="clear" w:color="auto" w:fill="auto"/>
            <w:vAlign w:val="center"/>
            <w:hideMark/>
          </w:tcPr>
          <w:p w14:paraId="09B0209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8" w:space="0" w:color="auto"/>
              <w:bottom w:val="nil"/>
              <w:right w:val="single" w:sz="4" w:space="0" w:color="auto"/>
            </w:tcBorders>
            <w:shd w:val="clear" w:color="000000" w:fill="305496"/>
            <w:noWrap/>
            <w:vAlign w:val="center"/>
            <w:hideMark/>
          </w:tcPr>
          <w:p w14:paraId="44E00346"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000000" w:fill="305496"/>
            <w:noWrap/>
            <w:vAlign w:val="center"/>
            <w:hideMark/>
          </w:tcPr>
          <w:p w14:paraId="60EA5EE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000000" w:fill="305496"/>
            <w:noWrap/>
            <w:vAlign w:val="center"/>
            <w:hideMark/>
          </w:tcPr>
          <w:p w14:paraId="1A47D94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8" w:space="0" w:color="auto"/>
            </w:tcBorders>
            <w:shd w:val="clear" w:color="000000" w:fill="305496"/>
            <w:noWrap/>
            <w:vAlign w:val="center"/>
            <w:hideMark/>
          </w:tcPr>
          <w:p w14:paraId="5166467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000000" w:fill="305496"/>
            <w:noWrap/>
            <w:vAlign w:val="center"/>
            <w:hideMark/>
          </w:tcPr>
          <w:p w14:paraId="5BAA116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000000" w:fill="305496"/>
            <w:noWrap/>
            <w:vAlign w:val="center"/>
            <w:hideMark/>
          </w:tcPr>
          <w:p w14:paraId="2669A16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000000" w:fill="305496"/>
            <w:noWrap/>
            <w:vAlign w:val="center"/>
            <w:hideMark/>
          </w:tcPr>
          <w:p w14:paraId="3D612310"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000000" w:fill="305496"/>
            <w:noWrap/>
            <w:vAlign w:val="center"/>
            <w:hideMark/>
          </w:tcPr>
          <w:p w14:paraId="528AFD52"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9F21B4" w:rsidRPr="00AA2617" w14:paraId="63CE2C11" w14:textId="77777777" w:rsidTr="009F21B4">
        <w:trPr>
          <w:cantSplit/>
          <w:trHeight w:val="276"/>
        </w:trPr>
        <w:tc>
          <w:tcPr>
            <w:tcW w:w="578" w:type="dxa"/>
            <w:tcBorders>
              <w:top w:val="nil"/>
              <w:left w:val="single" w:sz="4" w:space="0" w:color="auto"/>
              <w:bottom w:val="nil"/>
              <w:right w:val="nil"/>
            </w:tcBorders>
            <w:shd w:val="clear" w:color="auto" w:fill="auto"/>
            <w:noWrap/>
            <w:hideMark/>
          </w:tcPr>
          <w:p w14:paraId="26C69C4D"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vAlign w:val="bottom"/>
            <w:hideMark/>
          </w:tcPr>
          <w:p w14:paraId="2C671043"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08E7AF76" w14:textId="331D1F57" w:rsidR="009F21B4" w:rsidRPr="00AA2617" w:rsidRDefault="009F21B4" w:rsidP="00AA2617">
            <w:pPr>
              <w:jc w:val="left"/>
              <w:rPr>
                <w:rFonts w:ascii="Arial Narrow" w:eastAsia="Times New Roman" w:hAnsi="Arial Narrow" w:cs="Calibri"/>
                <w:color w:val="000000"/>
                <w:sz w:val="20"/>
                <w:szCs w:val="20"/>
                <w:lang w:val="en-GB"/>
              </w:rPr>
            </w:pPr>
            <w:r w:rsidRPr="00AA2617">
              <w:rPr>
                <w:rFonts w:cs="Times New Roman"/>
                <w:i/>
                <w:sz w:val="22"/>
                <w:lang w:val="en-GB"/>
              </w:rPr>
              <w:t xml:space="preserve">2.1.4.1.  Commission meta-analysis studies to review relevant research literature to determine provisional Tier 2 estimates where possible and, as needed, uncertainty assessments for estimates in key sub-categories.  </w:t>
            </w: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430288" w14:textId="3D107BA0"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PMU through FAO, CCS and LOA with National Consultants</w:t>
            </w:r>
          </w:p>
        </w:tc>
        <w:tc>
          <w:tcPr>
            <w:tcW w:w="435" w:type="dxa"/>
            <w:tcBorders>
              <w:top w:val="single" w:sz="4" w:space="0" w:color="auto"/>
              <w:left w:val="single" w:sz="8" w:space="0" w:color="auto"/>
              <w:bottom w:val="single" w:sz="4" w:space="0" w:color="auto"/>
              <w:right w:val="single" w:sz="4" w:space="0" w:color="auto"/>
            </w:tcBorders>
            <w:shd w:val="clear" w:color="000000" w:fill="B4C6E7"/>
            <w:noWrap/>
            <w:vAlign w:val="center"/>
            <w:hideMark/>
          </w:tcPr>
          <w:p w14:paraId="14C4EBE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4" w:space="0" w:color="auto"/>
              <w:right w:val="nil"/>
            </w:tcBorders>
            <w:shd w:val="clear" w:color="000000" w:fill="B4C6E7"/>
            <w:noWrap/>
            <w:vAlign w:val="center"/>
            <w:hideMark/>
          </w:tcPr>
          <w:p w14:paraId="6199F3B9"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6A27EA01"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4" w:space="0" w:color="auto"/>
              <w:right w:val="single" w:sz="8" w:space="0" w:color="auto"/>
            </w:tcBorders>
            <w:shd w:val="clear" w:color="000000" w:fill="B4C6E7"/>
            <w:noWrap/>
            <w:vAlign w:val="center"/>
            <w:hideMark/>
          </w:tcPr>
          <w:p w14:paraId="1849147D"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4" w:space="0" w:color="auto"/>
              <w:right w:val="single" w:sz="4" w:space="0" w:color="auto"/>
            </w:tcBorders>
            <w:shd w:val="clear" w:color="auto" w:fill="auto"/>
            <w:noWrap/>
            <w:vAlign w:val="center"/>
            <w:hideMark/>
          </w:tcPr>
          <w:p w14:paraId="46A3B70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4" w:space="0" w:color="auto"/>
              <w:right w:val="nil"/>
            </w:tcBorders>
            <w:shd w:val="clear" w:color="auto" w:fill="auto"/>
            <w:noWrap/>
            <w:vAlign w:val="center"/>
            <w:hideMark/>
          </w:tcPr>
          <w:p w14:paraId="11B09907"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B5817"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4" w:space="0" w:color="auto"/>
              <w:right w:val="single" w:sz="4" w:space="0" w:color="auto"/>
            </w:tcBorders>
            <w:shd w:val="clear" w:color="auto" w:fill="auto"/>
            <w:noWrap/>
            <w:vAlign w:val="center"/>
            <w:hideMark/>
          </w:tcPr>
          <w:p w14:paraId="659F4D2F"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3A8AF825" w14:textId="77777777" w:rsidTr="009F21B4">
        <w:trPr>
          <w:cantSplit/>
          <w:trHeight w:val="552"/>
        </w:trPr>
        <w:tc>
          <w:tcPr>
            <w:tcW w:w="578" w:type="dxa"/>
            <w:tcBorders>
              <w:top w:val="nil"/>
              <w:left w:val="single" w:sz="4" w:space="0" w:color="auto"/>
              <w:bottom w:val="nil"/>
              <w:right w:val="nil"/>
            </w:tcBorders>
            <w:shd w:val="clear" w:color="auto" w:fill="auto"/>
            <w:noWrap/>
            <w:hideMark/>
          </w:tcPr>
          <w:p w14:paraId="777D63A9"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vAlign w:val="bottom"/>
            <w:hideMark/>
          </w:tcPr>
          <w:p w14:paraId="20654248"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67AC8F9B" w14:textId="49157CB6" w:rsidR="009F21B4" w:rsidRPr="00AA2617" w:rsidRDefault="009F21B4" w:rsidP="00AA2617">
            <w:pPr>
              <w:jc w:val="left"/>
              <w:rPr>
                <w:rFonts w:ascii="Arial Narrow" w:eastAsia="Times New Roman" w:hAnsi="Arial Narrow" w:cs="Calibri"/>
                <w:sz w:val="20"/>
                <w:szCs w:val="20"/>
                <w:lang w:val="en-GB"/>
              </w:rPr>
            </w:pPr>
            <w:r w:rsidRPr="00AA2617">
              <w:rPr>
                <w:rFonts w:cs="Times New Roman"/>
                <w:i/>
                <w:sz w:val="22"/>
                <w:lang w:val="en-GB"/>
              </w:rPr>
              <w:t xml:space="preserve">2.1.4.2.  Conduct pilot tests of measurement protocols and revise protocols as needed. </w:t>
            </w: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0E2A23" w14:textId="4E84C7D8"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PMU through FAO, CCS and LOA with National Consultants</w:t>
            </w:r>
          </w:p>
        </w:tc>
        <w:tc>
          <w:tcPr>
            <w:tcW w:w="435" w:type="dxa"/>
            <w:tcBorders>
              <w:top w:val="single" w:sz="4" w:space="0" w:color="auto"/>
              <w:left w:val="single" w:sz="8" w:space="0" w:color="auto"/>
              <w:bottom w:val="single" w:sz="4" w:space="0" w:color="auto"/>
              <w:right w:val="single" w:sz="4" w:space="0" w:color="auto"/>
            </w:tcBorders>
            <w:shd w:val="clear" w:color="000000" w:fill="B4C6E7"/>
            <w:noWrap/>
            <w:vAlign w:val="center"/>
            <w:hideMark/>
          </w:tcPr>
          <w:p w14:paraId="5473721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4" w:space="0" w:color="auto"/>
              <w:right w:val="nil"/>
            </w:tcBorders>
            <w:shd w:val="clear" w:color="000000" w:fill="B4C6E7"/>
            <w:noWrap/>
            <w:vAlign w:val="center"/>
            <w:hideMark/>
          </w:tcPr>
          <w:p w14:paraId="6BEC62A6"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66915E08"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4" w:space="0" w:color="auto"/>
              <w:right w:val="single" w:sz="8" w:space="0" w:color="auto"/>
            </w:tcBorders>
            <w:shd w:val="clear" w:color="auto" w:fill="auto"/>
            <w:noWrap/>
            <w:vAlign w:val="center"/>
            <w:hideMark/>
          </w:tcPr>
          <w:p w14:paraId="71D1501D"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4" w:space="0" w:color="auto"/>
              <w:right w:val="single" w:sz="4" w:space="0" w:color="auto"/>
            </w:tcBorders>
            <w:shd w:val="clear" w:color="auto" w:fill="auto"/>
            <w:noWrap/>
            <w:vAlign w:val="center"/>
            <w:hideMark/>
          </w:tcPr>
          <w:p w14:paraId="05FB685E"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4" w:space="0" w:color="auto"/>
              <w:right w:val="nil"/>
            </w:tcBorders>
            <w:shd w:val="clear" w:color="auto" w:fill="auto"/>
            <w:noWrap/>
            <w:vAlign w:val="center"/>
            <w:hideMark/>
          </w:tcPr>
          <w:p w14:paraId="18DF8D2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36008E"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4" w:space="0" w:color="auto"/>
              <w:right w:val="single" w:sz="4" w:space="0" w:color="auto"/>
            </w:tcBorders>
            <w:shd w:val="clear" w:color="auto" w:fill="auto"/>
            <w:noWrap/>
            <w:vAlign w:val="center"/>
            <w:hideMark/>
          </w:tcPr>
          <w:p w14:paraId="59C0320F"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31DB28D3" w14:textId="77777777" w:rsidTr="009F21B4">
        <w:trPr>
          <w:cantSplit/>
          <w:trHeight w:val="143"/>
        </w:trPr>
        <w:tc>
          <w:tcPr>
            <w:tcW w:w="578" w:type="dxa"/>
            <w:tcBorders>
              <w:top w:val="nil"/>
              <w:left w:val="single" w:sz="4" w:space="0" w:color="auto"/>
              <w:bottom w:val="nil"/>
              <w:right w:val="nil"/>
            </w:tcBorders>
            <w:shd w:val="clear" w:color="auto" w:fill="auto"/>
            <w:noWrap/>
            <w:hideMark/>
          </w:tcPr>
          <w:p w14:paraId="005E7E2F"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vAlign w:val="bottom"/>
            <w:hideMark/>
          </w:tcPr>
          <w:p w14:paraId="441B8347"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6E880918" w14:textId="785E0184" w:rsidR="009F21B4" w:rsidRPr="00AA2617" w:rsidRDefault="009F21B4" w:rsidP="00AA2617">
            <w:pPr>
              <w:jc w:val="left"/>
              <w:rPr>
                <w:rFonts w:ascii="Arial Narrow" w:eastAsia="Times New Roman" w:hAnsi="Arial Narrow" w:cs="Calibri"/>
                <w:color w:val="000000"/>
                <w:sz w:val="20"/>
                <w:szCs w:val="20"/>
                <w:lang w:val="en-GB"/>
              </w:rPr>
            </w:pPr>
            <w:r w:rsidRPr="00AA2617">
              <w:rPr>
                <w:rFonts w:cs="Times New Roman"/>
                <w:i/>
                <w:sz w:val="22"/>
                <w:lang w:val="en-GB"/>
              </w:rPr>
              <w:t>2.1.4.3.  Conduct validation pilot studies of proxy measures and introduce an updating frequency for proxy measures.</w:t>
            </w:r>
          </w:p>
        </w:tc>
        <w:tc>
          <w:tcPr>
            <w:tcW w:w="1547" w:type="dxa"/>
            <w:tcBorders>
              <w:top w:val="single" w:sz="4" w:space="0" w:color="auto"/>
              <w:left w:val="single" w:sz="4" w:space="0" w:color="auto"/>
              <w:bottom w:val="nil"/>
              <w:right w:val="single" w:sz="4" w:space="0" w:color="auto"/>
            </w:tcBorders>
            <w:shd w:val="clear" w:color="auto" w:fill="auto"/>
            <w:noWrap/>
            <w:vAlign w:val="center"/>
            <w:hideMark/>
          </w:tcPr>
          <w:p w14:paraId="73D1BED3" w14:textId="77777777"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Contracts</w:t>
            </w:r>
          </w:p>
        </w:tc>
        <w:tc>
          <w:tcPr>
            <w:tcW w:w="435" w:type="dxa"/>
            <w:tcBorders>
              <w:top w:val="single" w:sz="4" w:space="0" w:color="auto"/>
              <w:left w:val="single" w:sz="8" w:space="0" w:color="auto"/>
              <w:bottom w:val="nil"/>
              <w:right w:val="single" w:sz="4" w:space="0" w:color="auto"/>
            </w:tcBorders>
            <w:shd w:val="clear" w:color="auto" w:fill="auto"/>
            <w:noWrap/>
            <w:vAlign w:val="center"/>
            <w:hideMark/>
          </w:tcPr>
          <w:p w14:paraId="50928E13"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auto"/>
            <w:noWrap/>
            <w:vAlign w:val="center"/>
            <w:hideMark/>
          </w:tcPr>
          <w:p w14:paraId="21615E9F"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auto" w:fill="auto"/>
            <w:noWrap/>
            <w:vAlign w:val="center"/>
            <w:hideMark/>
          </w:tcPr>
          <w:p w14:paraId="2F77CCEF"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8" w:space="0" w:color="auto"/>
            </w:tcBorders>
            <w:shd w:val="clear" w:color="auto" w:fill="auto"/>
            <w:noWrap/>
            <w:vAlign w:val="center"/>
            <w:hideMark/>
          </w:tcPr>
          <w:p w14:paraId="21FDB821"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auto" w:fill="auto"/>
            <w:noWrap/>
            <w:vAlign w:val="center"/>
            <w:hideMark/>
          </w:tcPr>
          <w:p w14:paraId="1D8D928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nil"/>
            </w:tcBorders>
            <w:shd w:val="clear" w:color="auto" w:fill="auto"/>
            <w:noWrap/>
            <w:vAlign w:val="center"/>
            <w:hideMark/>
          </w:tcPr>
          <w:p w14:paraId="5B3ACB8F"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nil"/>
              <w:right w:val="single" w:sz="4" w:space="0" w:color="auto"/>
            </w:tcBorders>
            <w:shd w:val="clear" w:color="000000" w:fill="B4C6E7"/>
            <w:noWrap/>
            <w:vAlign w:val="center"/>
            <w:hideMark/>
          </w:tcPr>
          <w:p w14:paraId="79A0259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nil"/>
              <w:right w:val="single" w:sz="4" w:space="0" w:color="auto"/>
            </w:tcBorders>
            <w:shd w:val="clear" w:color="000000" w:fill="B4C6E7"/>
            <w:noWrap/>
            <w:vAlign w:val="center"/>
            <w:hideMark/>
          </w:tcPr>
          <w:p w14:paraId="0FCEAFE8"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2E38D55B" w14:textId="77777777" w:rsidTr="009F21B4">
        <w:trPr>
          <w:cantSplit/>
          <w:trHeight w:val="170"/>
        </w:trPr>
        <w:tc>
          <w:tcPr>
            <w:tcW w:w="578" w:type="dxa"/>
            <w:tcBorders>
              <w:top w:val="nil"/>
              <w:left w:val="single" w:sz="4" w:space="0" w:color="auto"/>
              <w:bottom w:val="single" w:sz="8" w:space="0" w:color="auto"/>
              <w:right w:val="nil"/>
            </w:tcBorders>
            <w:shd w:val="clear" w:color="auto" w:fill="auto"/>
            <w:noWrap/>
            <w:hideMark/>
          </w:tcPr>
          <w:p w14:paraId="3FB9F447"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single" w:sz="8" w:space="0" w:color="auto"/>
              <w:right w:val="nil"/>
            </w:tcBorders>
            <w:shd w:val="clear" w:color="auto" w:fill="auto"/>
            <w:noWrap/>
            <w:hideMark/>
          </w:tcPr>
          <w:p w14:paraId="5BDD2886" w14:textId="77777777" w:rsidR="009F21B4" w:rsidRPr="00AA2617" w:rsidRDefault="009F21B4" w:rsidP="00AA2617">
            <w:pPr>
              <w:jc w:val="left"/>
              <w:rPr>
                <w:rFonts w:ascii="Arial Narrow" w:eastAsia="Times New Roman" w:hAnsi="Arial Narrow" w:cs="Calibri"/>
                <w:b/>
                <w:bCs/>
                <w:color w:val="000000"/>
                <w:sz w:val="20"/>
                <w:szCs w:val="20"/>
                <w:lang w:val="en-GB"/>
              </w:rPr>
            </w:pPr>
            <w:r w:rsidRPr="00AA2617">
              <w:rPr>
                <w:rFonts w:ascii="Arial Narrow" w:eastAsia="Times New Roman" w:hAnsi="Arial Narrow" w:cs="Calibri"/>
                <w:b/>
                <w:bCs/>
                <w:color w:val="000000"/>
                <w:sz w:val="20"/>
                <w:szCs w:val="20"/>
                <w:lang w:val="en-GB"/>
              </w:rPr>
              <w:t> </w:t>
            </w:r>
          </w:p>
        </w:tc>
        <w:tc>
          <w:tcPr>
            <w:tcW w:w="7284" w:type="dxa"/>
            <w:tcBorders>
              <w:top w:val="nil"/>
              <w:left w:val="nil"/>
              <w:bottom w:val="single" w:sz="8" w:space="0" w:color="auto"/>
              <w:right w:val="single" w:sz="4" w:space="0" w:color="auto"/>
            </w:tcBorders>
            <w:shd w:val="clear" w:color="auto" w:fill="auto"/>
            <w:hideMark/>
          </w:tcPr>
          <w:p w14:paraId="4E6889A0" w14:textId="1853BC5B" w:rsidR="009F21B4" w:rsidRPr="00AA2617" w:rsidRDefault="009F21B4" w:rsidP="00AA2617">
            <w:pPr>
              <w:jc w:val="left"/>
              <w:rPr>
                <w:rFonts w:ascii="Arial Narrow" w:eastAsia="Times New Roman" w:hAnsi="Arial Narrow" w:cs="Calibri"/>
                <w:color w:val="000000"/>
                <w:sz w:val="20"/>
                <w:szCs w:val="20"/>
                <w:lang w:val="en-GB"/>
              </w:rPr>
            </w:pPr>
            <w:r w:rsidRPr="00AA2617">
              <w:rPr>
                <w:rFonts w:cs="Times New Roman"/>
                <w:i/>
                <w:sz w:val="22"/>
                <w:lang w:val="en-GB"/>
              </w:rPr>
              <w:t>2.1.4.4.  Conduct preliminary validations of proxy measures.</w:t>
            </w:r>
          </w:p>
        </w:tc>
        <w:tc>
          <w:tcPr>
            <w:tcW w:w="1547" w:type="dxa"/>
            <w:tcBorders>
              <w:top w:val="single" w:sz="4" w:space="0" w:color="auto"/>
              <w:left w:val="nil"/>
              <w:bottom w:val="single" w:sz="8" w:space="0" w:color="auto"/>
              <w:right w:val="single" w:sz="4" w:space="0" w:color="auto"/>
            </w:tcBorders>
            <w:shd w:val="clear" w:color="auto" w:fill="auto"/>
            <w:noWrap/>
            <w:vAlign w:val="center"/>
            <w:hideMark/>
          </w:tcPr>
          <w:p w14:paraId="1B749D03" w14:textId="77777777"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LOAs:  contracts with academic and research bodies</w:t>
            </w:r>
          </w:p>
        </w:tc>
        <w:tc>
          <w:tcPr>
            <w:tcW w:w="435"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63B8466B"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8" w:space="0" w:color="auto"/>
              <w:right w:val="nil"/>
            </w:tcBorders>
            <w:shd w:val="clear" w:color="auto" w:fill="auto"/>
            <w:noWrap/>
            <w:vAlign w:val="center"/>
            <w:hideMark/>
          </w:tcPr>
          <w:p w14:paraId="2F7257E8"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0A31B60"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8" w:space="0" w:color="auto"/>
              <w:right w:val="single" w:sz="8" w:space="0" w:color="auto"/>
            </w:tcBorders>
            <w:shd w:val="clear" w:color="auto" w:fill="B4C6E7" w:themeFill="accent1" w:themeFillTint="66"/>
            <w:noWrap/>
            <w:vAlign w:val="center"/>
            <w:hideMark/>
          </w:tcPr>
          <w:p w14:paraId="1C5DFF47"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8" w:space="0" w:color="auto"/>
              <w:right w:val="single" w:sz="4" w:space="0" w:color="auto"/>
            </w:tcBorders>
            <w:shd w:val="clear" w:color="auto" w:fill="B4C6E7" w:themeFill="accent1" w:themeFillTint="66"/>
            <w:noWrap/>
            <w:vAlign w:val="center"/>
            <w:hideMark/>
          </w:tcPr>
          <w:p w14:paraId="5D17129E"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8" w:space="0" w:color="auto"/>
              <w:right w:val="nil"/>
            </w:tcBorders>
            <w:shd w:val="clear" w:color="auto" w:fill="B4C6E7" w:themeFill="accent1" w:themeFillTint="66"/>
            <w:noWrap/>
            <w:vAlign w:val="center"/>
            <w:hideMark/>
          </w:tcPr>
          <w:p w14:paraId="593230B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single" w:sz="4" w:space="0" w:color="auto"/>
              <w:bottom w:val="single" w:sz="8" w:space="0" w:color="auto"/>
              <w:right w:val="single" w:sz="4" w:space="0" w:color="auto"/>
            </w:tcBorders>
            <w:shd w:val="clear" w:color="auto" w:fill="B4C6E7" w:themeFill="accent1" w:themeFillTint="66"/>
            <w:noWrap/>
            <w:vAlign w:val="center"/>
            <w:hideMark/>
          </w:tcPr>
          <w:p w14:paraId="75836C83"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single" w:sz="4" w:space="0" w:color="auto"/>
              <w:left w:val="nil"/>
              <w:bottom w:val="single" w:sz="8" w:space="0" w:color="auto"/>
              <w:right w:val="single" w:sz="4" w:space="0" w:color="auto"/>
            </w:tcBorders>
            <w:shd w:val="clear" w:color="auto" w:fill="B4C6E7" w:themeFill="accent1" w:themeFillTint="66"/>
            <w:noWrap/>
            <w:vAlign w:val="center"/>
            <w:hideMark/>
          </w:tcPr>
          <w:p w14:paraId="4DE6D8D9"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630C69" w:rsidRPr="00AA2617" w14:paraId="2B46BE22" w14:textId="77777777" w:rsidTr="009F21B4">
        <w:trPr>
          <w:cantSplit/>
          <w:trHeight w:val="600"/>
        </w:trPr>
        <w:tc>
          <w:tcPr>
            <w:tcW w:w="8440" w:type="dxa"/>
            <w:gridSpan w:val="3"/>
            <w:tcBorders>
              <w:top w:val="nil"/>
              <w:left w:val="single" w:sz="4" w:space="0" w:color="auto"/>
              <w:bottom w:val="nil"/>
              <w:right w:val="single" w:sz="4" w:space="0" w:color="000000"/>
            </w:tcBorders>
            <w:shd w:val="clear" w:color="auto" w:fill="auto"/>
            <w:hideMark/>
          </w:tcPr>
          <w:p w14:paraId="555DC3AC" w14:textId="4ECC500B"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3.1. </w:t>
            </w:r>
            <w:r w:rsidR="009F21B4" w:rsidRPr="00AA2617">
              <w:rPr>
                <w:rFonts w:cs="Times New Roman"/>
                <w:i/>
                <w:sz w:val="22"/>
                <w:lang w:val="en-GB"/>
              </w:rPr>
              <w:t>Strengthened capacity to measure climate-change impacts, vulnerabilities, and adaptation-related activities in the agricultural and land-use sectors</w:t>
            </w:r>
          </w:p>
        </w:tc>
        <w:tc>
          <w:tcPr>
            <w:tcW w:w="1547" w:type="dxa"/>
            <w:tcBorders>
              <w:top w:val="nil"/>
              <w:left w:val="nil"/>
              <w:bottom w:val="nil"/>
              <w:right w:val="single" w:sz="4" w:space="0" w:color="auto"/>
            </w:tcBorders>
            <w:shd w:val="clear" w:color="auto" w:fill="auto"/>
            <w:vAlign w:val="center"/>
            <w:hideMark/>
          </w:tcPr>
          <w:p w14:paraId="09287F7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000000" w:fill="203764"/>
            <w:noWrap/>
            <w:vAlign w:val="center"/>
            <w:hideMark/>
          </w:tcPr>
          <w:p w14:paraId="71AFCEB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203764"/>
            <w:noWrap/>
            <w:vAlign w:val="center"/>
            <w:hideMark/>
          </w:tcPr>
          <w:p w14:paraId="009A9A2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203764"/>
            <w:noWrap/>
            <w:vAlign w:val="center"/>
            <w:hideMark/>
          </w:tcPr>
          <w:p w14:paraId="46178E7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203764"/>
            <w:noWrap/>
            <w:vAlign w:val="center"/>
            <w:hideMark/>
          </w:tcPr>
          <w:p w14:paraId="10C1916D"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203764"/>
            <w:noWrap/>
            <w:vAlign w:val="center"/>
            <w:hideMark/>
          </w:tcPr>
          <w:p w14:paraId="6CF4BCE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203764"/>
            <w:noWrap/>
            <w:vAlign w:val="center"/>
            <w:hideMark/>
          </w:tcPr>
          <w:p w14:paraId="03FF5CC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203764"/>
            <w:noWrap/>
            <w:vAlign w:val="center"/>
            <w:hideMark/>
          </w:tcPr>
          <w:p w14:paraId="76982CE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203764"/>
            <w:noWrap/>
            <w:vAlign w:val="center"/>
            <w:hideMark/>
          </w:tcPr>
          <w:p w14:paraId="4700044B"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014BC796" w14:textId="77777777" w:rsidTr="009F21B4">
        <w:trPr>
          <w:cantSplit/>
          <w:trHeight w:val="170"/>
        </w:trPr>
        <w:tc>
          <w:tcPr>
            <w:tcW w:w="578" w:type="dxa"/>
            <w:tcBorders>
              <w:top w:val="nil"/>
              <w:left w:val="single" w:sz="4" w:space="0" w:color="auto"/>
              <w:bottom w:val="nil"/>
              <w:right w:val="nil"/>
            </w:tcBorders>
            <w:shd w:val="clear" w:color="auto" w:fill="auto"/>
            <w:noWrap/>
            <w:hideMark/>
          </w:tcPr>
          <w:p w14:paraId="53F8E023"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lastRenderedPageBreak/>
              <w:t> </w:t>
            </w:r>
          </w:p>
        </w:tc>
        <w:tc>
          <w:tcPr>
            <w:tcW w:w="7862" w:type="dxa"/>
            <w:gridSpan w:val="2"/>
            <w:tcBorders>
              <w:top w:val="single" w:sz="4" w:space="0" w:color="auto"/>
              <w:left w:val="nil"/>
              <w:bottom w:val="nil"/>
              <w:right w:val="single" w:sz="4" w:space="0" w:color="000000"/>
            </w:tcBorders>
            <w:shd w:val="clear" w:color="auto" w:fill="auto"/>
            <w:hideMark/>
          </w:tcPr>
          <w:p w14:paraId="3FCBA534" w14:textId="77777777" w:rsidR="009F21B4" w:rsidRPr="00AA2617" w:rsidRDefault="00630C69" w:rsidP="00AA2617">
            <w:pPr>
              <w:rPr>
                <w:rFonts w:cs="Times New Roman"/>
                <w:i/>
                <w:sz w:val="22"/>
                <w:lang w:val="en-GB"/>
              </w:rPr>
            </w:pPr>
            <w:r w:rsidRPr="00AA2617">
              <w:rPr>
                <w:rFonts w:ascii="Arial Narrow" w:eastAsia="Times New Roman" w:hAnsi="Arial Narrow" w:cs="Calibri"/>
                <w:color w:val="000000"/>
                <w:sz w:val="20"/>
                <w:szCs w:val="20"/>
                <w:lang w:val="en-GB"/>
              </w:rPr>
              <w:t xml:space="preserve">3.1.1.  </w:t>
            </w:r>
            <w:r w:rsidR="009F21B4" w:rsidRPr="00AA2617">
              <w:rPr>
                <w:rFonts w:cs="Times New Roman"/>
                <w:i/>
                <w:sz w:val="22"/>
                <w:lang w:val="en-GB"/>
              </w:rPr>
              <w:t>Measurement framework developed for climate-change impacts, vulnerabilities, and adaptation-related activities prioritized in the NDC for the agriculture, forestry  and land-use sectors.</w:t>
            </w:r>
          </w:p>
          <w:p w14:paraId="0DBB8AFD" w14:textId="7BB49730" w:rsidR="00630C69" w:rsidRPr="00AA2617" w:rsidRDefault="00630C69" w:rsidP="00AA2617">
            <w:pPr>
              <w:jc w:val="left"/>
              <w:rPr>
                <w:rFonts w:ascii="Arial Narrow" w:eastAsia="Times New Roman" w:hAnsi="Arial Narrow" w:cs="Calibri"/>
                <w:color w:val="000000"/>
                <w:sz w:val="20"/>
                <w:szCs w:val="20"/>
                <w:lang w:val="en-GB"/>
              </w:rPr>
            </w:pPr>
          </w:p>
        </w:tc>
        <w:tc>
          <w:tcPr>
            <w:tcW w:w="1547" w:type="dxa"/>
            <w:tcBorders>
              <w:top w:val="single" w:sz="4" w:space="0" w:color="auto"/>
              <w:left w:val="nil"/>
              <w:bottom w:val="nil"/>
              <w:right w:val="single" w:sz="4" w:space="0" w:color="auto"/>
            </w:tcBorders>
            <w:shd w:val="clear" w:color="auto" w:fill="auto"/>
            <w:vAlign w:val="center"/>
            <w:hideMark/>
          </w:tcPr>
          <w:p w14:paraId="6ECFD171"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35A2CB7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305496"/>
            <w:noWrap/>
            <w:vAlign w:val="center"/>
            <w:hideMark/>
          </w:tcPr>
          <w:p w14:paraId="4164985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4B34B14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305496"/>
            <w:noWrap/>
            <w:vAlign w:val="center"/>
            <w:hideMark/>
          </w:tcPr>
          <w:p w14:paraId="3F818D5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6818244F"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0135E58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0BB27AE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5921BF1E"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9F21B4" w:rsidRPr="00AA2617" w14:paraId="2C26E923" w14:textId="77777777" w:rsidTr="009F21B4">
        <w:trPr>
          <w:cantSplit/>
          <w:trHeight w:val="276"/>
        </w:trPr>
        <w:tc>
          <w:tcPr>
            <w:tcW w:w="578" w:type="dxa"/>
            <w:tcBorders>
              <w:top w:val="nil"/>
              <w:left w:val="single" w:sz="4" w:space="0" w:color="auto"/>
              <w:bottom w:val="nil"/>
              <w:right w:val="nil"/>
            </w:tcBorders>
            <w:shd w:val="clear" w:color="auto" w:fill="auto"/>
            <w:noWrap/>
            <w:hideMark/>
          </w:tcPr>
          <w:p w14:paraId="53348302"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2092C270"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393A1868" w14:textId="387DAA11" w:rsidR="009F21B4" w:rsidRPr="00AA2617" w:rsidRDefault="009F21B4" w:rsidP="00AA2617">
            <w:pPr>
              <w:jc w:val="left"/>
              <w:rPr>
                <w:rFonts w:ascii="Arial Narrow" w:eastAsia="Times New Roman" w:hAnsi="Arial Narrow" w:cs="Calibri"/>
                <w:color w:val="000000"/>
                <w:sz w:val="20"/>
                <w:szCs w:val="20"/>
                <w:lang w:val="en-GB"/>
              </w:rPr>
            </w:pPr>
            <w:r w:rsidRPr="00AA2617">
              <w:rPr>
                <w:rFonts w:cs="Times New Roman"/>
                <w:i/>
                <w:sz w:val="22"/>
                <w:lang w:val="en-GB"/>
              </w:rPr>
              <w:t xml:space="preserve">3.1.1.1.  Generate a typology of adaptation processes in AFOLU sectors using expertise in adaptation-related sciences and multi-disciplinary expertise.  </w:t>
            </w:r>
          </w:p>
        </w:tc>
        <w:tc>
          <w:tcPr>
            <w:tcW w:w="1547" w:type="dxa"/>
            <w:tcBorders>
              <w:top w:val="single" w:sz="4" w:space="0" w:color="auto"/>
              <w:left w:val="single" w:sz="4" w:space="0" w:color="auto"/>
              <w:bottom w:val="nil"/>
              <w:right w:val="single" w:sz="4" w:space="0" w:color="auto"/>
            </w:tcBorders>
            <w:shd w:val="clear" w:color="auto" w:fill="auto"/>
            <w:noWrap/>
            <w:vAlign w:val="center"/>
            <w:hideMark/>
          </w:tcPr>
          <w:p w14:paraId="04C71FD5" w14:textId="77777777"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LOA:  AFOLU experts </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661CDDE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B4C6E7"/>
            <w:noWrap/>
            <w:vAlign w:val="center"/>
            <w:hideMark/>
          </w:tcPr>
          <w:p w14:paraId="7C79071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4A11A49E"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21E5222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6E5B38EE"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3CA406B6"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7BA23E8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1A455C52"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46BD5A76" w14:textId="77777777" w:rsidTr="009F21B4">
        <w:trPr>
          <w:cantSplit/>
          <w:trHeight w:val="269"/>
        </w:trPr>
        <w:tc>
          <w:tcPr>
            <w:tcW w:w="578" w:type="dxa"/>
            <w:tcBorders>
              <w:top w:val="nil"/>
              <w:left w:val="single" w:sz="4" w:space="0" w:color="auto"/>
              <w:bottom w:val="nil"/>
              <w:right w:val="nil"/>
            </w:tcBorders>
            <w:shd w:val="clear" w:color="auto" w:fill="auto"/>
            <w:noWrap/>
            <w:hideMark/>
          </w:tcPr>
          <w:p w14:paraId="6BCAA7D3"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589527C3"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6D234312" w14:textId="78E7AA20" w:rsidR="009F21B4" w:rsidRPr="00AA2617" w:rsidRDefault="009F21B4" w:rsidP="00AA2617">
            <w:pPr>
              <w:jc w:val="left"/>
              <w:rPr>
                <w:rFonts w:ascii="Arial Narrow" w:eastAsia="Times New Roman" w:hAnsi="Arial Narrow" w:cs="Calibri"/>
                <w:color w:val="000000"/>
                <w:sz w:val="20"/>
                <w:szCs w:val="20"/>
                <w:lang w:val="en-GB"/>
              </w:rPr>
            </w:pPr>
            <w:r w:rsidRPr="00AA2617">
              <w:rPr>
                <w:rFonts w:cs="Times New Roman"/>
                <w:i/>
                <w:sz w:val="22"/>
                <w:lang w:val="en-GB"/>
              </w:rPr>
              <w:t xml:space="preserve">3.1.1.2.  Develop an analytical framework to assess adaptation challenges and opportunities in AFOLU sector through a stakeholder consultation.    </w:t>
            </w:r>
          </w:p>
        </w:tc>
        <w:tc>
          <w:tcPr>
            <w:tcW w:w="15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10491" w14:textId="77777777"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LOAs:  CCS, FAO</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79A938C4"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6BF3AE69"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7E76F20B"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34309299"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4674C223"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0848884B"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61A154F9"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0545C959"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14C232F8" w14:textId="77777777" w:rsidTr="009F21B4">
        <w:trPr>
          <w:cantSplit/>
          <w:trHeight w:val="251"/>
        </w:trPr>
        <w:tc>
          <w:tcPr>
            <w:tcW w:w="578" w:type="dxa"/>
            <w:tcBorders>
              <w:top w:val="nil"/>
              <w:left w:val="single" w:sz="4" w:space="0" w:color="auto"/>
              <w:bottom w:val="nil"/>
              <w:right w:val="nil"/>
            </w:tcBorders>
            <w:shd w:val="clear" w:color="auto" w:fill="auto"/>
            <w:noWrap/>
          </w:tcPr>
          <w:p w14:paraId="241DBDB3"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578" w:type="dxa"/>
            <w:tcBorders>
              <w:top w:val="nil"/>
              <w:left w:val="nil"/>
              <w:bottom w:val="nil"/>
              <w:right w:val="nil"/>
            </w:tcBorders>
            <w:shd w:val="clear" w:color="auto" w:fill="auto"/>
            <w:noWrap/>
          </w:tcPr>
          <w:p w14:paraId="2403331A"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tcPr>
          <w:p w14:paraId="29CC3354" w14:textId="6A769578" w:rsidR="009F21B4" w:rsidRPr="00AA2617" w:rsidRDefault="009F21B4" w:rsidP="00AA2617">
            <w:pPr>
              <w:jc w:val="left"/>
              <w:rPr>
                <w:rFonts w:cs="Times New Roman"/>
                <w:i/>
                <w:sz w:val="22"/>
                <w:lang w:val="en-GB"/>
              </w:rPr>
            </w:pPr>
            <w:r w:rsidRPr="00AA2617">
              <w:rPr>
                <w:i/>
                <w:sz w:val="22"/>
                <w:lang w:val="en-GB"/>
              </w:rPr>
              <w:t>3.1.1.3. Capacity building for development of land use policy and regulations to reduce land and environmental degradation</w:t>
            </w:r>
          </w:p>
        </w:tc>
        <w:tc>
          <w:tcPr>
            <w:tcW w:w="1547" w:type="dxa"/>
            <w:tcBorders>
              <w:top w:val="nil"/>
              <w:left w:val="single" w:sz="4" w:space="0" w:color="auto"/>
              <w:bottom w:val="single" w:sz="4" w:space="0" w:color="auto"/>
              <w:right w:val="single" w:sz="4" w:space="0" w:color="auto"/>
            </w:tcBorders>
            <w:shd w:val="clear" w:color="auto" w:fill="auto"/>
            <w:vAlign w:val="center"/>
          </w:tcPr>
          <w:p w14:paraId="19D9F0EA"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tcPr>
          <w:p w14:paraId="58FBFADA"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tcPr>
          <w:p w14:paraId="55D35FBA"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tcPr>
          <w:p w14:paraId="290C36F1"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7B7B7B" w:themeFill="accent3" w:themeFillShade="BF"/>
            <w:noWrap/>
            <w:vAlign w:val="center"/>
          </w:tcPr>
          <w:p w14:paraId="54A4834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tcPr>
          <w:p w14:paraId="464C4E4C"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tcPr>
          <w:p w14:paraId="786492D9"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tcPr>
          <w:p w14:paraId="4562757C"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tcPr>
          <w:p w14:paraId="6D41EA30"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11326C35" w14:textId="77777777" w:rsidTr="009F21B4">
        <w:trPr>
          <w:cantSplit/>
          <w:trHeight w:val="251"/>
        </w:trPr>
        <w:tc>
          <w:tcPr>
            <w:tcW w:w="578" w:type="dxa"/>
            <w:tcBorders>
              <w:top w:val="nil"/>
              <w:left w:val="single" w:sz="4" w:space="0" w:color="auto"/>
              <w:bottom w:val="nil"/>
              <w:right w:val="nil"/>
            </w:tcBorders>
            <w:shd w:val="clear" w:color="auto" w:fill="auto"/>
            <w:noWrap/>
          </w:tcPr>
          <w:p w14:paraId="69274583"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578" w:type="dxa"/>
            <w:tcBorders>
              <w:top w:val="nil"/>
              <w:left w:val="nil"/>
              <w:bottom w:val="nil"/>
              <w:right w:val="nil"/>
            </w:tcBorders>
            <w:shd w:val="clear" w:color="auto" w:fill="auto"/>
            <w:noWrap/>
          </w:tcPr>
          <w:p w14:paraId="22A29785"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tcPr>
          <w:p w14:paraId="529B967E" w14:textId="58DC7D0B" w:rsidR="009F21B4" w:rsidRPr="00AA2617" w:rsidRDefault="009F21B4" w:rsidP="00AA2617">
            <w:pPr>
              <w:jc w:val="left"/>
              <w:rPr>
                <w:rFonts w:cs="Times New Roman"/>
                <w:i/>
                <w:sz w:val="22"/>
                <w:lang w:val="en-GB"/>
              </w:rPr>
            </w:pPr>
            <w:r w:rsidRPr="00AA2617">
              <w:rPr>
                <w:i/>
                <w:sz w:val="22"/>
                <w:lang w:val="en-GB"/>
              </w:rPr>
              <w:t>3.1.1.4.  Development of Good Practice Guidelines for land use planning</w:t>
            </w:r>
          </w:p>
        </w:tc>
        <w:tc>
          <w:tcPr>
            <w:tcW w:w="1547" w:type="dxa"/>
            <w:tcBorders>
              <w:top w:val="nil"/>
              <w:left w:val="single" w:sz="4" w:space="0" w:color="auto"/>
              <w:bottom w:val="single" w:sz="4" w:space="0" w:color="auto"/>
              <w:right w:val="single" w:sz="4" w:space="0" w:color="auto"/>
            </w:tcBorders>
            <w:shd w:val="clear" w:color="auto" w:fill="auto"/>
            <w:vAlign w:val="center"/>
          </w:tcPr>
          <w:p w14:paraId="35E93D0F"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tcPr>
          <w:p w14:paraId="4FD847C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tcPr>
          <w:p w14:paraId="3745B91D"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tcPr>
          <w:p w14:paraId="08DB6CFF"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7B7B7B" w:themeFill="accent3" w:themeFillShade="BF"/>
            <w:noWrap/>
            <w:vAlign w:val="center"/>
          </w:tcPr>
          <w:p w14:paraId="64F135D8"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7B7B7B" w:themeFill="accent3" w:themeFillShade="BF"/>
            <w:noWrap/>
            <w:vAlign w:val="center"/>
          </w:tcPr>
          <w:p w14:paraId="14AB9D0D"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7B7B7B" w:themeFill="accent3" w:themeFillShade="BF"/>
            <w:noWrap/>
            <w:vAlign w:val="center"/>
          </w:tcPr>
          <w:p w14:paraId="16B4BFAF"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7B7B7B" w:themeFill="accent3" w:themeFillShade="BF"/>
            <w:noWrap/>
            <w:vAlign w:val="center"/>
          </w:tcPr>
          <w:p w14:paraId="2F2A6CC0"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tcPr>
          <w:p w14:paraId="099AC2DE"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3F630398" w14:textId="77777777" w:rsidTr="009F21B4">
        <w:trPr>
          <w:cantSplit/>
          <w:trHeight w:val="251"/>
        </w:trPr>
        <w:tc>
          <w:tcPr>
            <w:tcW w:w="578" w:type="dxa"/>
            <w:tcBorders>
              <w:top w:val="nil"/>
              <w:left w:val="single" w:sz="4" w:space="0" w:color="auto"/>
              <w:bottom w:val="nil"/>
              <w:right w:val="nil"/>
            </w:tcBorders>
            <w:shd w:val="clear" w:color="auto" w:fill="auto"/>
            <w:noWrap/>
            <w:hideMark/>
          </w:tcPr>
          <w:p w14:paraId="69442F51"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77D81715"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37FA669B" w14:textId="650C130D" w:rsidR="009F21B4" w:rsidRPr="00AA2617" w:rsidRDefault="009F21B4" w:rsidP="00AA2617">
            <w:pPr>
              <w:jc w:val="left"/>
              <w:rPr>
                <w:rFonts w:ascii="Arial Narrow" w:eastAsia="Times New Roman" w:hAnsi="Arial Narrow" w:cs="Calibri"/>
                <w:color w:val="000000"/>
                <w:sz w:val="20"/>
                <w:szCs w:val="20"/>
                <w:lang w:val="en-GB"/>
              </w:rPr>
            </w:pPr>
            <w:r w:rsidRPr="00AA2617">
              <w:rPr>
                <w:i/>
                <w:sz w:val="22"/>
                <w:lang w:val="en-GB"/>
              </w:rPr>
              <w:t xml:space="preserve">                                                                                                                                                                                                                                3.1.1.5.  Conduct an assessment of vulnerability based on a revalidation of agroecological zoning    </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1C3F2A64" w14:textId="77777777"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  AFOLU, MoA</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3E4A0F40"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3A37EAAF"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0E330CA6"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5779044F"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58A739E4"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2264CEF3"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10640211"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67B00C15"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1536DBB8" w14:textId="77777777" w:rsidTr="009F21B4">
        <w:trPr>
          <w:cantSplit/>
          <w:trHeight w:val="440"/>
        </w:trPr>
        <w:tc>
          <w:tcPr>
            <w:tcW w:w="578" w:type="dxa"/>
            <w:tcBorders>
              <w:top w:val="nil"/>
              <w:left w:val="single" w:sz="4" w:space="0" w:color="auto"/>
              <w:bottom w:val="nil"/>
              <w:right w:val="nil"/>
            </w:tcBorders>
            <w:shd w:val="clear" w:color="auto" w:fill="auto"/>
            <w:noWrap/>
            <w:hideMark/>
          </w:tcPr>
          <w:p w14:paraId="548DBF8D"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5CFA5C30"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0BAF80B9" w14:textId="6EC0E930" w:rsidR="009F21B4" w:rsidRPr="00AA2617" w:rsidRDefault="009F21B4" w:rsidP="00AA2617">
            <w:pPr>
              <w:jc w:val="left"/>
              <w:rPr>
                <w:rFonts w:ascii="Arial Narrow" w:eastAsia="Times New Roman" w:hAnsi="Arial Narrow" w:cs="Calibri"/>
                <w:color w:val="000000"/>
                <w:sz w:val="20"/>
                <w:szCs w:val="20"/>
                <w:lang w:val="en-GB"/>
              </w:rPr>
            </w:pPr>
            <w:r w:rsidRPr="00AA2617">
              <w:rPr>
                <w:rFonts w:cs="Times New Roman"/>
                <w:i/>
                <w:sz w:val="22"/>
                <w:lang w:val="en-GB"/>
              </w:rPr>
              <w:t xml:space="preserve">                                                                                                                                                                                                                                  3.1.1.6.  Estimate resource requirements and sources for initial and sustained support (e.g., technology, personnel, funding, etc.) for MRV of adaptation activities in AFOLU sectors.</w:t>
            </w:r>
          </w:p>
        </w:tc>
        <w:tc>
          <w:tcPr>
            <w:tcW w:w="1547" w:type="dxa"/>
            <w:tcBorders>
              <w:top w:val="nil"/>
              <w:left w:val="single" w:sz="4" w:space="0" w:color="auto"/>
              <w:bottom w:val="single" w:sz="4" w:space="0" w:color="auto"/>
              <w:right w:val="single" w:sz="4" w:space="0" w:color="auto"/>
            </w:tcBorders>
            <w:shd w:val="clear" w:color="auto" w:fill="auto"/>
            <w:vAlign w:val="center"/>
            <w:hideMark/>
          </w:tcPr>
          <w:p w14:paraId="66E9E02B" w14:textId="77777777"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  AFOLU experts, CCS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3549BCD8"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68DE8189"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3B1C4128"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45FC73F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00F8F1A5"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695AFB8A"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6270CA9A"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1C1969B6"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9F21B4" w:rsidRPr="00AA2617" w14:paraId="25062348" w14:textId="77777777" w:rsidTr="009F21B4">
        <w:trPr>
          <w:cantSplit/>
          <w:trHeight w:val="276"/>
        </w:trPr>
        <w:tc>
          <w:tcPr>
            <w:tcW w:w="578" w:type="dxa"/>
            <w:tcBorders>
              <w:top w:val="nil"/>
              <w:left w:val="single" w:sz="4" w:space="0" w:color="auto"/>
              <w:bottom w:val="nil"/>
              <w:right w:val="nil"/>
            </w:tcBorders>
            <w:shd w:val="clear" w:color="auto" w:fill="auto"/>
            <w:noWrap/>
            <w:hideMark/>
          </w:tcPr>
          <w:p w14:paraId="7497D850" w14:textId="77777777" w:rsidR="009F21B4" w:rsidRPr="00AA2617" w:rsidRDefault="009F21B4"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0052774B" w14:textId="77777777" w:rsidR="009F21B4" w:rsidRPr="00AA2617" w:rsidRDefault="009F21B4"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nil"/>
            </w:tcBorders>
            <w:shd w:val="clear" w:color="auto" w:fill="auto"/>
            <w:hideMark/>
          </w:tcPr>
          <w:p w14:paraId="76B72008" w14:textId="2810171C" w:rsidR="009F21B4" w:rsidRPr="00AA2617" w:rsidRDefault="009F21B4" w:rsidP="00AA2617">
            <w:pPr>
              <w:jc w:val="left"/>
              <w:rPr>
                <w:rFonts w:ascii="Arial Narrow" w:eastAsia="Times New Roman" w:hAnsi="Arial Narrow" w:cs="Calibri"/>
                <w:sz w:val="20"/>
                <w:szCs w:val="20"/>
                <w:lang w:val="en-GB"/>
              </w:rPr>
            </w:pPr>
            <w:r w:rsidRPr="00AA2617">
              <w:rPr>
                <w:rFonts w:cs="Times New Roman"/>
                <w:i/>
                <w:sz w:val="22"/>
                <w:lang w:val="en-GB"/>
              </w:rPr>
              <w:t>3.1.1.7.  Prepare knowledge-management plan, products and demonstrate for adaptation activities.</w:t>
            </w:r>
          </w:p>
        </w:tc>
        <w:tc>
          <w:tcPr>
            <w:tcW w:w="1547" w:type="dxa"/>
            <w:tcBorders>
              <w:top w:val="nil"/>
              <w:left w:val="single" w:sz="4" w:space="0" w:color="auto"/>
              <w:bottom w:val="nil"/>
              <w:right w:val="single" w:sz="4" w:space="0" w:color="auto"/>
            </w:tcBorders>
            <w:shd w:val="clear" w:color="auto" w:fill="auto"/>
            <w:noWrap/>
            <w:vAlign w:val="center"/>
            <w:hideMark/>
          </w:tcPr>
          <w:p w14:paraId="6A54BE0E" w14:textId="77777777" w:rsidR="009F21B4" w:rsidRPr="00AA2617" w:rsidRDefault="009F21B4"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 CC adaptation experts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500BFD9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770BA5C0"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14E29D2E"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B4C6E7"/>
            <w:noWrap/>
            <w:vAlign w:val="center"/>
            <w:hideMark/>
          </w:tcPr>
          <w:p w14:paraId="54B4ACE0"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3258EBF0"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18601282"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38B2C12C" w14:textId="77777777" w:rsidR="009F21B4" w:rsidRPr="00AA2617" w:rsidRDefault="009F21B4"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3CA97473" w14:textId="77777777" w:rsidR="009F21B4" w:rsidRPr="00AA2617" w:rsidRDefault="009F21B4" w:rsidP="00AA2617">
            <w:pPr>
              <w:jc w:val="center"/>
              <w:rPr>
                <w:rFonts w:ascii="Arial Narrow" w:eastAsia="Times New Roman" w:hAnsi="Arial Narrow" w:cs="Calibri"/>
                <w:color w:val="000000"/>
                <w:sz w:val="20"/>
                <w:szCs w:val="20"/>
                <w:lang w:val="en-GB"/>
              </w:rPr>
            </w:pPr>
          </w:p>
        </w:tc>
      </w:tr>
      <w:tr w:rsidR="00630C69" w:rsidRPr="00AA2617" w14:paraId="6180B0E1" w14:textId="77777777" w:rsidTr="009F21B4">
        <w:trPr>
          <w:cantSplit/>
          <w:trHeight w:val="170"/>
        </w:trPr>
        <w:tc>
          <w:tcPr>
            <w:tcW w:w="578" w:type="dxa"/>
            <w:tcBorders>
              <w:top w:val="nil"/>
              <w:left w:val="single" w:sz="4" w:space="0" w:color="auto"/>
              <w:bottom w:val="nil"/>
              <w:right w:val="nil"/>
            </w:tcBorders>
            <w:shd w:val="clear" w:color="auto" w:fill="auto"/>
            <w:noWrap/>
            <w:hideMark/>
          </w:tcPr>
          <w:p w14:paraId="7784347B"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single" w:sz="4" w:space="0" w:color="000000"/>
            </w:tcBorders>
            <w:shd w:val="clear" w:color="auto" w:fill="auto"/>
            <w:hideMark/>
          </w:tcPr>
          <w:p w14:paraId="25DE3CC9"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3.1.2.  </w:t>
            </w:r>
            <w:r w:rsidRPr="00AA2617">
              <w:rPr>
                <w:rFonts w:cs="Times New Roman"/>
                <w:i/>
                <w:sz w:val="22"/>
                <w:lang w:val="en-GB"/>
              </w:rPr>
              <w:t>Information technology systems upgraded to integrate and analyze adaptation-related data.</w:t>
            </w:r>
            <w:r w:rsidRPr="00AA2617">
              <w:rPr>
                <w:rFonts w:ascii="Arial Narrow" w:eastAsia="Times New Roman" w:hAnsi="Arial Narrow" w:cs="Calibri"/>
                <w:color w:val="000000"/>
                <w:sz w:val="20"/>
                <w:szCs w:val="20"/>
                <w:lang w:val="en-GB"/>
              </w:rPr>
              <w:t>.</w:t>
            </w:r>
          </w:p>
        </w:tc>
        <w:tc>
          <w:tcPr>
            <w:tcW w:w="1547" w:type="dxa"/>
            <w:tcBorders>
              <w:top w:val="single" w:sz="4" w:space="0" w:color="auto"/>
              <w:left w:val="nil"/>
              <w:bottom w:val="single" w:sz="4" w:space="0" w:color="auto"/>
              <w:right w:val="single" w:sz="4" w:space="0" w:color="auto"/>
            </w:tcBorders>
            <w:shd w:val="clear" w:color="auto" w:fill="auto"/>
            <w:vAlign w:val="center"/>
            <w:hideMark/>
          </w:tcPr>
          <w:p w14:paraId="59CEA649"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67CE325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305496"/>
            <w:noWrap/>
            <w:vAlign w:val="center"/>
            <w:hideMark/>
          </w:tcPr>
          <w:p w14:paraId="6C6EC63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70B7212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3C804BC2"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20E722ED"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5E33A29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7DF108B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22E84579"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53299CC3" w14:textId="77777777" w:rsidTr="009F21B4">
        <w:trPr>
          <w:cantSplit/>
          <w:trHeight w:val="276"/>
        </w:trPr>
        <w:tc>
          <w:tcPr>
            <w:tcW w:w="578" w:type="dxa"/>
            <w:tcBorders>
              <w:top w:val="nil"/>
              <w:left w:val="single" w:sz="4" w:space="0" w:color="auto"/>
              <w:bottom w:val="nil"/>
              <w:right w:val="nil"/>
            </w:tcBorders>
            <w:shd w:val="clear" w:color="auto" w:fill="auto"/>
            <w:noWrap/>
            <w:hideMark/>
          </w:tcPr>
          <w:p w14:paraId="210E87E0"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lastRenderedPageBreak/>
              <w:t> </w:t>
            </w:r>
          </w:p>
        </w:tc>
        <w:tc>
          <w:tcPr>
            <w:tcW w:w="578" w:type="dxa"/>
            <w:tcBorders>
              <w:top w:val="nil"/>
              <w:left w:val="nil"/>
              <w:bottom w:val="nil"/>
              <w:right w:val="nil"/>
            </w:tcBorders>
            <w:shd w:val="clear" w:color="auto" w:fill="auto"/>
            <w:noWrap/>
            <w:hideMark/>
          </w:tcPr>
          <w:p w14:paraId="457F5193" w14:textId="77777777" w:rsidR="00630C69" w:rsidRPr="00AA2617" w:rsidRDefault="00630C69"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6D95CA81" w14:textId="77777777" w:rsidR="00C17202" w:rsidRPr="00AA2617" w:rsidRDefault="00630C69" w:rsidP="00AA2617">
            <w:pPr>
              <w:rPr>
                <w:rFonts w:cs="Times New Roman"/>
                <w:i/>
                <w:sz w:val="22"/>
                <w:lang w:val="en-GB"/>
              </w:rPr>
            </w:pPr>
            <w:r w:rsidRPr="00AA2617">
              <w:rPr>
                <w:rFonts w:ascii="Arial Narrow" w:eastAsia="Times New Roman" w:hAnsi="Arial Narrow" w:cs="Calibri"/>
                <w:color w:val="000000"/>
                <w:sz w:val="20"/>
                <w:szCs w:val="20"/>
                <w:lang w:val="en-GB"/>
              </w:rPr>
              <w:t xml:space="preserve">3.1.2.1.  </w:t>
            </w:r>
            <w:r w:rsidR="00C17202" w:rsidRPr="00AA2617">
              <w:rPr>
                <w:rFonts w:cs="Times New Roman"/>
                <w:i/>
                <w:sz w:val="22"/>
                <w:lang w:val="en-GB"/>
              </w:rPr>
              <w:t>Develop an information system onCC adaptation priorities at national and local levels by development initiatives as a preliminary adaptation safeguards check for development projects</w:t>
            </w:r>
          </w:p>
          <w:p w14:paraId="40694CE5" w14:textId="4F5AC823" w:rsidR="00630C69" w:rsidRPr="00AA2617" w:rsidRDefault="00630C69" w:rsidP="00AA2617">
            <w:pPr>
              <w:jc w:val="left"/>
              <w:rPr>
                <w:rFonts w:ascii="Arial Narrow" w:eastAsia="Times New Roman" w:hAnsi="Arial Narrow" w:cs="Calibri"/>
                <w:color w:val="000000"/>
                <w:sz w:val="20"/>
                <w:szCs w:val="20"/>
                <w:lang w:val="en-GB"/>
              </w:rPr>
            </w:pP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7B486" w14:textId="77777777" w:rsidR="00630C69" w:rsidRPr="00AA2617" w:rsidRDefault="00630C69"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LOA:  CC adaptation experts, CCS </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7C954F8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B4C6E7"/>
            <w:noWrap/>
            <w:vAlign w:val="center"/>
            <w:hideMark/>
          </w:tcPr>
          <w:p w14:paraId="07188F2A"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5438FCD2"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2947F7D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48FB5D4D"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6E373247"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5690CFC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0C807E48"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630C69" w:rsidRPr="00AA2617" w14:paraId="2BA5E997" w14:textId="77777777" w:rsidTr="009F21B4">
        <w:trPr>
          <w:cantSplit/>
          <w:trHeight w:val="449"/>
        </w:trPr>
        <w:tc>
          <w:tcPr>
            <w:tcW w:w="578" w:type="dxa"/>
            <w:tcBorders>
              <w:top w:val="nil"/>
              <w:left w:val="single" w:sz="4" w:space="0" w:color="auto"/>
              <w:bottom w:val="nil"/>
              <w:right w:val="nil"/>
            </w:tcBorders>
            <w:shd w:val="clear" w:color="auto" w:fill="auto"/>
            <w:noWrap/>
            <w:hideMark/>
          </w:tcPr>
          <w:p w14:paraId="7E6FBAC7"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single" w:sz="4" w:space="0" w:color="000000"/>
            </w:tcBorders>
            <w:shd w:val="clear" w:color="auto" w:fill="auto"/>
            <w:hideMark/>
          </w:tcPr>
          <w:p w14:paraId="1BF551FF" w14:textId="77777777" w:rsidR="00C17202" w:rsidRPr="00AA2617" w:rsidRDefault="00630C69" w:rsidP="00AA2617">
            <w:pPr>
              <w:rPr>
                <w:rFonts w:cs="Times New Roman"/>
                <w:i/>
                <w:sz w:val="22"/>
                <w:lang w:val="en-GB"/>
              </w:rPr>
            </w:pPr>
            <w:r w:rsidRPr="00AA2617">
              <w:rPr>
                <w:rFonts w:ascii="Arial Narrow" w:eastAsia="Times New Roman" w:hAnsi="Arial Narrow" w:cs="Calibri"/>
                <w:color w:val="000000"/>
                <w:sz w:val="20"/>
                <w:szCs w:val="20"/>
                <w:lang w:val="en-GB"/>
              </w:rPr>
              <w:t xml:space="preserve">3.1.3. </w:t>
            </w:r>
            <w:r w:rsidR="00C17202" w:rsidRPr="00AA2617">
              <w:rPr>
                <w:rFonts w:cs="Times New Roman"/>
                <w:i/>
                <w:sz w:val="22"/>
                <w:lang w:val="en-GB"/>
              </w:rPr>
              <w:t>Capacity and technology upgraded in relevant institutions to strengthen M&amp;R for adaptation priorities identified in the NDC for the agricultural and land-use sectors.  (Coordinates with 2.1.3.)</w:t>
            </w:r>
          </w:p>
          <w:p w14:paraId="1F5D719C" w14:textId="2B08E6B6" w:rsidR="00630C69" w:rsidRPr="00AA2617" w:rsidRDefault="00630C69" w:rsidP="00AA2617">
            <w:pPr>
              <w:jc w:val="left"/>
              <w:rPr>
                <w:rFonts w:ascii="Arial Narrow" w:eastAsia="Times New Roman" w:hAnsi="Arial Narrow" w:cs="Calibri"/>
                <w:color w:val="000000"/>
                <w:sz w:val="20"/>
                <w:szCs w:val="20"/>
                <w:lang w:val="en-GB"/>
              </w:rPr>
            </w:pPr>
          </w:p>
        </w:tc>
        <w:tc>
          <w:tcPr>
            <w:tcW w:w="1547" w:type="dxa"/>
            <w:tcBorders>
              <w:top w:val="nil"/>
              <w:left w:val="nil"/>
              <w:bottom w:val="nil"/>
              <w:right w:val="single" w:sz="4" w:space="0" w:color="auto"/>
            </w:tcBorders>
            <w:shd w:val="clear" w:color="auto" w:fill="auto"/>
            <w:vAlign w:val="center"/>
            <w:hideMark/>
          </w:tcPr>
          <w:p w14:paraId="5EDC375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41435A32"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4FE8115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2F5496" w:themeFill="accent1" w:themeFillShade="BF"/>
            <w:noWrap/>
            <w:vAlign w:val="center"/>
            <w:hideMark/>
          </w:tcPr>
          <w:p w14:paraId="14EE4D5D"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2F5496" w:themeFill="accent1" w:themeFillShade="BF"/>
            <w:noWrap/>
            <w:vAlign w:val="center"/>
            <w:hideMark/>
          </w:tcPr>
          <w:p w14:paraId="151AADF2"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305496"/>
            <w:noWrap/>
            <w:vAlign w:val="center"/>
            <w:hideMark/>
          </w:tcPr>
          <w:p w14:paraId="3B8FE97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305496"/>
            <w:noWrap/>
            <w:vAlign w:val="center"/>
            <w:hideMark/>
          </w:tcPr>
          <w:p w14:paraId="1AFD52A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035990C4"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305496"/>
            <w:noWrap/>
            <w:vAlign w:val="center"/>
            <w:hideMark/>
          </w:tcPr>
          <w:p w14:paraId="1E13617B"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C17202" w:rsidRPr="00AA2617" w14:paraId="1DB1C08B" w14:textId="77777777" w:rsidTr="009F21B4">
        <w:trPr>
          <w:cantSplit/>
          <w:trHeight w:val="660"/>
        </w:trPr>
        <w:tc>
          <w:tcPr>
            <w:tcW w:w="578" w:type="dxa"/>
            <w:tcBorders>
              <w:top w:val="nil"/>
              <w:left w:val="single" w:sz="4" w:space="0" w:color="auto"/>
              <w:bottom w:val="nil"/>
              <w:right w:val="nil"/>
            </w:tcBorders>
            <w:shd w:val="clear" w:color="auto" w:fill="auto"/>
            <w:noWrap/>
            <w:hideMark/>
          </w:tcPr>
          <w:p w14:paraId="16FF08C5" w14:textId="77777777" w:rsidR="00C17202" w:rsidRPr="00AA2617" w:rsidRDefault="00C1720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510028E9" w14:textId="77777777" w:rsidR="00C17202" w:rsidRPr="00AA2617" w:rsidRDefault="00C17202"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single" w:sz="4" w:space="0" w:color="auto"/>
            </w:tcBorders>
            <w:shd w:val="clear" w:color="auto" w:fill="auto"/>
            <w:hideMark/>
          </w:tcPr>
          <w:p w14:paraId="0E2E4718" w14:textId="5E555949" w:rsidR="00C17202" w:rsidRPr="00AA2617" w:rsidRDefault="00C17202" w:rsidP="00AA2617">
            <w:pPr>
              <w:jc w:val="left"/>
              <w:rPr>
                <w:rFonts w:ascii="Arial Narrow" w:eastAsia="Times New Roman" w:hAnsi="Arial Narrow" w:cs="Calibri"/>
                <w:sz w:val="20"/>
                <w:szCs w:val="20"/>
                <w:lang w:val="en-GB"/>
              </w:rPr>
            </w:pPr>
            <w:r w:rsidRPr="00AA2617">
              <w:rPr>
                <w:rFonts w:cs="Times New Roman"/>
                <w:i/>
                <w:sz w:val="22"/>
                <w:lang w:val="en-GB"/>
              </w:rPr>
              <w:t xml:space="preserve">3.1.3.1.  Provide relevant stakeholders with the equipment and software necessary for decentralized data collection, storage, and uploading in line with data-provision guidelines </w:t>
            </w:r>
          </w:p>
        </w:tc>
        <w:tc>
          <w:tcPr>
            <w:tcW w:w="1547" w:type="dxa"/>
            <w:tcBorders>
              <w:top w:val="single" w:sz="4" w:space="0" w:color="auto"/>
              <w:left w:val="nil"/>
              <w:bottom w:val="single" w:sz="4" w:space="0" w:color="auto"/>
              <w:right w:val="single" w:sz="4" w:space="0" w:color="auto"/>
            </w:tcBorders>
            <w:shd w:val="clear" w:color="auto" w:fill="auto"/>
            <w:vAlign w:val="center"/>
            <w:hideMark/>
          </w:tcPr>
          <w:p w14:paraId="206A0C08" w14:textId="77777777" w:rsidR="00C17202" w:rsidRPr="00AA2617" w:rsidRDefault="00C17202" w:rsidP="00AA2617">
            <w:pPr>
              <w:jc w:val="center"/>
              <w:rPr>
                <w:rFonts w:ascii="Arial Narrow" w:eastAsia="Times New Roman" w:hAnsi="Arial Narrow" w:cs="Calibri"/>
                <w:sz w:val="20"/>
                <w:szCs w:val="20"/>
                <w:lang w:val="en-GB"/>
              </w:rPr>
            </w:pPr>
            <w:r w:rsidRPr="00AA2617">
              <w:rPr>
                <w:rFonts w:ascii="Arial Narrow" w:eastAsia="Times New Roman" w:hAnsi="Arial Narrow" w:cs="Calibri"/>
                <w:sz w:val="20"/>
                <w:szCs w:val="20"/>
                <w:lang w:val="en-GB"/>
              </w:rPr>
              <w:t>CCS, PMO</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1F5C5E1C"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35930B6C"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652A115D"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B4C6E7" w:themeFill="accent1" w:themeFillTint="66"/>
            <w:noWrap/>
            <w:vAlign w:val="center"/>
            <w:hideMark/>
          </w:tcPr>
          <w:p w14:paraId="19E9028A"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B4C6E7" w:themeFill="accent1" w:themeFillTint="66"/>
            <w:noWrap/>
            <w:vAlign w:val="center"/>
            <w:hideMark/>
          </w:tcPr>
          <w:p w14:paraId="1B13353D"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B4C6E7" w:themeFill="accent1" w:themeFillTint="66"/>
            <w:noWrap/>
            <w:vAlign w:val="center"/>
          </w:tcPr>
          <w:p w14:paraId="4AEE151D"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tcPr>
          <w:p w14:paraId="2AACDCF7"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tcPr>
          <w:p w14:paraId="44A5CAFE" w14:textId="77777777" w:rsidR="00C17202" w:rsidRPr="00AA2617" w:rsidRDefault="00C17202" w:rsidP="00AA2617">
            <w:pPr>
              <w:jc w:val="center"/>
              <w:rPr>
                <w:rFonts w:ascii="Arial Narrow" w:eastAsia="Times New Roman" w:hAnsi="Arial Narrow" w:cs="Calibri"/>
                <w:color w:val="000000"/>
                <w:sz w:val="20"/>
                <w:szCs w:val="20"/>
                <w:lang w:val="en-GB"/>
              </w:rPr>
            </w:pPr>
          </w:p>
        </w:tc>
      </w:tr>
      <w:tr w:rsidR="00C17202" w:rsidRPr="00AA2617" w14:paraId="260C8338" w14:textId="77777777" w:rsidTr="009F21B4">
        <w:trPr>
          <w:cantSplit/>
          <w:trHeight w:val="336"/>
        </w:trPr>
        <w:tc>
          <w:tcPr>
            <w:tcW w:w="578" w:type="dxa"/>
            <w:tcBorders>
              <w:top w:val="nil"/>
              <w:left w:val="single" w:sz="4" w:space="0" w:color="auto"/>
              <w:bottom w:val="nil"/>
              <w:right w:val="nil"/>
            </w:tcBorders>
            <w:shd w:val="clear" w:color="auto" w:fill="auto"/>
            <w:noWrap/>
            <w:hideMark/>
          </w:tcPr>
          <w:p w14:paraId="47345A2E" w14:textId="77777777" w:rsidR="00C17202" w:rsidRPr="00AA2617" w:rsidRDefault="00C1720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3E746DB4" w14:textId="77777777" w:rsidR="00C17202" w:rsidRPr="00AA2617" w:rsidRDefault="00C17202"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single" w:sz="4" w:space="0" w:color="auto"/>
            </w:tcBorders>
            <w:shd w:val="clear" w:color="auto" w:fill="auto"/>
            <w:hideMark/>
          </w:tcPr>
          <w:p w14:paraId="13A167D0" w14:textId="37798B21" w:rsidR="00C17202" w:rsidRPr="00AA2617" w:rsidRDefault="00C17202" w:rsidP="00AA2617">
            <w:pPr>
              <w:jc w:val="left"/>
              <w:rPr>
                <w:rFonts w:ascii="Arial Narrow" w:eastAsia="Times New Roman" w:hAnsi="Arial Narrow" w:cs="Calibri"/>
                <w:color w:val="000000"/>
                <w:sz w:val="20"/>
                <w:szCs w:val="20"/>
                <w:lang w:val="en-GB"/>
              </w:rPr>
            </w:pPr>
            <w:r w:rsidRPr="00AA2617">
              <w:rPr>
                <w:rFonts w:cs="Times New Roman"/>
                <w:i/>
                <w:sz w:val="22"/>
                <w:lang w:val="en-GB"/>
              </w:rPr>
              <w:t xml:space="preserve">                                                                                                                                                           3.1.3.2.  Produce training materials, including materials for training of trainers, for QC and associated technologies.    </w:t>
            </w:r>
          </w:p>
        </w:tc>
        <w:tc>
          <w:tcPr>
            <w:tcW w:w="1547" w:type="dxa"/>
            <w:tcBorders>
              <w:top w:val="nil"/>
              <w:left w:val="nil"/>
              <w:bottom w:val="nil"/>
              <w:right w:val="single" w:sz="4" w:space="0" w:color="auto"/>
            </w:tcBorders>
            <w:shd w:val="clear" w:color="auto" w:fill="auto"/>
            <w:noWrap/>
            <w:vAlign w:val="center"/>
            <w:hideMark/>
          </w:tcPr>
          <w:p w14:paraId="32184CBD" w14:textId="77777777" w:rsidR="00C17202" w:rsidRPr="00AA2617" w:rsidRDefault="00C17202"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 AFOLU agencies,  CCS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6944AEA6"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0AECF4CB"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B4C6E7" w:themeFill="accent1" w:themeFillTint="66"/>
            <w:noWrap/>
            <w:vAlign w:val="center"/>
            <w:hideMark/>
          </w:tcPr>
          <w:p w14:paraId="3F77C518"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B4C6E7" w:themeFill="accent1" w:themeFillTint="66"/>
            <w:noWrap/>
            <w:vAlign w:val="center"/>
            <w:hideMark/>
          </w:tcPr>
          <w:p w14:paraId="70D11025"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B4C6E7"/>
            <w:noWrap/>
            <w:vAlign w:val="center"/>
            <w:hideMark/>
          </w:tcPr>
          <w:p w14:paraId="1F6540E6"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0A7768F0"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22016734"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2AE0E938" w14:textId="77777777" w:rsidR="00C17202" w:rsidRPr="00AA2617" w:rsidRDefault="00C17202" w:rsidP="00AA2617">
            <w:pPr>
              <w:jc w:val="center"/>
              <w:rPr>
                <w:rFonts w:ascii="Arial Narrow" w:eastAsia="Times New Roman" w:hAnsi="Arial Narrow" w:cs="Calibri"/>
                <w:color w:val="000000"/>
                <w:sz w:val="20"/>
                <w:szCs w:val="20"/>
                <w:lang w:val="en-GB"/>
              </w:rPr>
            </w:pPr>
          </w:p>
        </w:tc>
      </w:tr>
      <w:tr w:rsidR="00C17202" w:rsidRPr="00AA2617" w14:paraId="36C03DCF" w14:textId="77777777" w:rsidTr="009F21B4">
        <w:trPr>
          <w:cantSplit/>
          <w:trHeight w:val="422"/>
        </w:trPr>
        <w:tc>
          <w:tcPr>
            <w:tcW w:w="578" w:type="dxa"/>
            <w:tcBorders>
              <w:top w:val="nil"/>
              <w:left w:val="single" w:sz="4" w:space="0" w:color="auto"/>
              <w:bottom w:val="nil"/>
              <w:right w:val="nil"/>
            </w:tcBorders>
            <w:shd w:val="clear" w:color="auto" w:fill="auto"/>
            <w:noWrap/>
            <w:hideMark/>
          </w:tcPr>
          <w:p w14:paraId="4912B21E" w14:textId="77777777" w:rsidR="00C17202" w:rsidRPr="00AA2617" w:rsidRDefault="00C1720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6D47FA45" w14:textId="77777777" w:rsidR="00C17202" w:rsidRPr="00AA2617" w:rsidRDefault="00C17202" w:rsidP="00AA2617">
            <w:pPr>
              <w:jc w:val="left"/>
              <w:rPr>
                <w:rFonts w:ascii="Arial Narrow" w:eastAsia="Times New Roman" w:hAnsi="Arial Narrow" w:cs="Calibri"/>
                <w:color w:val="000000"/>
                <w:sz w:val="20"/>
                <w:szCs w:val="20"/>
                <w:lang w:val="en-GB"/>
              </w:rPr>
            </w:pPr>
          </w:p>
        </w:tc>
        <w:tc>
          <w:tcPr>
            <w:tcW w:w="7284" w:type="dxa"/>
            <w:tcBorders>
              <w:top w:val="nil"/>
              <w:left w:val="nil"/>
              <w:bottom w:val="single" w:sz="4" w:space="0" w:color="auto"/>
              <w:right w:val="single" w:sz="4" w:space="0" w:color="auto"/>
            </w:tcBorders>
            <w:shd w:val="clear" w:color="auto" w:fill="auto"/>
            <w:hideMark/>
          </w:tcPr>
          <w:p w14:paraId="7D590CF1" w14:textId="1FAA7074" w:rsidR="00C17202" w:rsidRPr="00AA2617" w:rsidRDefault="00C17202" w:rsidP="00AA2617">
            <w:pPr>
              <w:jc w:val="left"/>
              <w:rPr>
                <w:rFonts w:ascii="Arial Narrow" w:eastAsia="Times New Roman" w:hAnsi="Arial Narrow" w:cs="Calibri"/>
                <w:sz w:val="20"/>
                <w:szCs w:val="20"/>
                <w:lang w:val="en-GB"/>
              </w:rPr>
            </w:pPr>
            <w:r w:rsidRPr="00AA2617">
              <w:rPr>
                <w:rFonts w:cs="Times New Roman"/>
                <w:i/>
                <w:sz w:val="22"/>
                <w:lang w:val="en-GB"/>
              </w:rPr>
              <w:t>3.1.3.3.  Conduct training of relevant stakeholders, including training of trainers, to enable measurements in line with data-provision guidelines.</w:t>
            </w:r>
          </w:p>
        </w:tc>
        <w:tc>
          <w:tcPr>
            <w:tcW w:w="1547" w:type="dxa"/>
            <w:tcBorders>
              <w:top w:val="single" w:sz="4" w:space="0" w:color="auto"/>
              <w:left w:val="nil"/>
              <w:bottom w:val="single" w:sz="4" w:space="0" w:color="auto"/>
              <w:right w:val="single" w:sz="4" w:space="0" w:color="auto"/>
            </w:tcBorders>
            <w:shd w:val="clear" w:color="auto" w:fill="auto"/>
            <w:vAlign w:val="center"/>
            <w:hideMark/>
          </w:tcPr>
          <w:p w14:paraId="5C527EB2" w14:textId="77777777" w:rsidR="00C17202" w:rsidRPr="00AA2617" w:rsidRDefault="00C17202"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PMU;</w:t>
            </w:r>
            <w:r w:rsidRPr="00AA2617">
              <w:rPr>
                <w:rFonts w:ascii="Arial Narrow" w:eastAsia="Times New Roman" w:hAnsi="Arial Narrow" w:cs="Calibri"/>
                <w:color w:val="000000"/>
                <w:sz w:val="20"/>
                <w:szCs w:val="20"/>
                <w:lang w:val="en-GB"/>
              </w:rPr>
              <w:br/>
              <w:t>LOAs:  CCS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63D36A53"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40A2CF10"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40EE7BA5"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180A32D3"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5A4C7FE0"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B4C6E7"/>
            <w:noWrap/>
            <w:vAlign w:val="center"/>
            <w:hideMark/>
          </w:tcPr>
          <w:p w14:paraId="43D28932"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7EE60E50"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B4C6E7"/>
            <w:noWrap/>
            <w:vAlign w:val="center"/>
            <w:hideMark/>
          </w:tcPr>
          <w:p w14:paraId="5AC01A62" w14:textId="77777777" w:rsidR="00C17202" w:rsidRPr="00AA2617" w:rsidRDefault="00C17202" w:rsidP="00AA2617">
            <w:pPr>
              <w:jc w:val="center"/>
              <w:rPr>
                <w:rFonts w:ascii="Arial Narrow" w:eastAsia="Times New Roman" w:hAnsi="Arial Narrow" w:cs="Calibri"/>
                <w:color w:val="000000"/>
                <w:sz w:val="20"/>
                <w:szCs w:val="20"/>
                <w:lang w:val="en-GB"/>
              </w:rPr>
            </w:pPr>
          </w:p>
        </w:tc>
      </w:tr>
      <w:tr w:rsidR="00630C69" w:rsidRPr="00AA2617" w14:paraId="5B5F9D7B" w14:textId="77777777" w:rsidTr="009F21B4">
        <w:trPr>
          <w:cantSplit/>
          <w:trHeight w:val="449"/>
        </w:trPr>
        <w:tc>
          <w:tcPr>
            <w:tcW w:w="578" w:type="dxa"/>
            <w:tcBorders>
              <w:top w:val="nil"/>
              <w:left w:val="single" w:sz="4" w:space="0" w:color="auto"/>
              <w:bottom w:val="nil"/>
              <w:right w:val="nil"/>
            </w:tcBorders>
            <w:shd w:val="clear" w:color="auto" w:fill="auto"/>
            <w:noWrap/>
            <w:hideMark/>
          </w:tcPr>
          <w:p w14:paraId="080FFE60" w14:textId="77777777" w:rsidR="00630C69" w:rsidRPr="00AA2617" w:rsidRDefault="00630C69"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862" w:type="dxa"/>
            <w:gridSpan w:val="2"/>
            <w:tcBorders>
              <w:top w:val="single" w:sz="4" w:space="0" w:color="auto"/>
              <w:left w:val="nil"/>
              <w:bottom w:val="nil"/>
              <w:right w:val="single" w:sz="4" w:space="0" w:color="000000"/>
            </w:tcBorders>
            <w:shd w:val="clear" w:color="auto" w:fill="auto"/>
            <w:hideMark/>
          </w:tcPr>
          <w:p w14:paraId="3A29F9A0" w14:textId="77777777" w:rsidR="00C17202" w:rsidRPr="00AA2617" w:rsidRDefault="00630C69" w:rsidP="00AA2617">
            <w:pPr>
              <w:rPr>
                <w:rFonts w:cs="Times New Roman"/>
                <w:i/>
                <w:sz w:val="22"/>
                <w:lang w:val="en-GB"/>
              </w:rPr>
            </w:pPr>
            <w:r w:rsidRPr="00AA2617">
              <w:rPr>
                <w:rFonts w:ascii="Arial Narrow" w:eastAsia="Times New Roman" w:hAnsi="Arial Narrow" w:cs="Calibri"/>
                <w:color w:val="000000"/>
                <w:sz w:val="20"/>
                <w:szCs w:val="20"/>
                <w:lang w:val="en-GB"/>
              </w:rPr>
              <w:t xml:space="preserve">3.1.4. </w:t>
            </w:r>
            <w:r w:rsidR="00C17202" w:rsidRPr="00AA2617">
              <w:rPr>
                <w:rFonts w:cs="Times New Roman"/>
                <w:i/>
                <w:sz w:val="22"/>
                <w:lang w:val="en-GB"/>
              </w:rPr>
              <w:t>Relevant measures validated and piloted for adaptation priorities identified in the NDC for the agricultural and land-use sectors.</w:t>
            </w:r>
          </w:p>
          <w:p w14:paraId="689E69FC" w14:textId="2ECBC366" w:rsidR="00630C69" w:rsidRPr="00AA2617" w:rsidRDefault="00630C69" w:rsidP="00AA2617">
            <w:pPr>
              <w:jc w:val="left"/>
              <w:rPr>
                <w:rFonts w:ascii="Arial Narrow" w:eastAsia="Times New Roman" w:hAnsi="Arial Narrow" w:cs="Calibri"/>
                <w:color w:val="000000"/>
                <w:sz w:val="20"/>
                <w:szCs w:val="20"/>
                <w:lang w:val="en-GB"/>
              </w:rPr>
            </w:pPr>
          </w:p>
        </w:tc>
        <w:tc>
          <w:tcPr>
            <w:tcW w:w="1547" w:type="dxa"/>
            <w:tcBorders>
              <w:top w:val="nil"/>
              <w:left w:val="nil"/>
              <w:bottom w:val="nil"/>
              <w:right w:val="single" w:sz="4" w:space="0" w:color="auto"/>
            </w:tcBorders>
            <w:shd w:val="clear" w:color="auto" w:fill="auto"/>
            <w:vAlign w:val="center"/>
            <w:hideMark/>
          </w:tcPr>
          <w:p w14:paraId="2054E2D5"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8" w:space="0" w:color="auto"/>
              <w:bottom w:val="single" w:sz="4" w:space="0" w:color="auto"/>
              <w:right w:val="single" w:sz="4" w:space="0" w:color="auto"/>
            </w:tcBorders>
            <w:shd w:val="clear" w:color="000000" w:fill="305496"/>
            <w:noWrap/>
            <w:vAlign w:val="center"/>
            <w:hideMark/>
          </w:tcPr>
          <w:p w14:paraId="738EC9A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305496"/>
            <w:noWrap/>
            <w:vAlign w:val="center"/>
            <w:hideMark/>
          </w:tcPr>
          <w:p w14:paraId="47DA5E4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1F5F077C"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000000" w:fill="305496"/>
            <w:noWrap/>
            <w:vAlign w:val="center"/>
            <w:hideMark/>
          </w:tcPr>
          <w:p w14:paraId="1BAEDD0B"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305496"/>
            <w:noWrap/>
            <w:vAlign w:val="center"/>
            <w:hideMark/>
          </w:tcPr>
          <w:p w14:paraId="1E629CEE"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305496"/>
            <w:noWrap/>
            <w:vAlign w:val="center"/>
            <w:hideMark/>
          </w:tcPr>
          <w:p w14:paraId="482B1733"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305496"/>
            <w:noWrap/>
            <w:vAlign w:val="center"/>
            <w:hideMark/>
          </w:tcPr>
          <w:p w14:paraId="3825D6F8" w14:textId="77777777" w:rsidR="00630C69" w:rsidRPr="00AA2617" w:rsidRDefault="00630C69"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000000" w:fill="305496"/>
            <w:noWrap/>
            <w:vAlign w:val="center"/>
            <w:hideMark/>
          </w:tcPr>
          <w:p w14:paraId="1EB4C0F6" w14:textId="77777777" w:rsidR="00630C69" w:rsidRPr="00AA2617" w:rsidRDefault="00630C69" w:rsidP="00AA2617">
            <w:pPr>
              <w:jc w:val="center"/>
              <w:rPr>
                <w:rFonts w:ascii="Arial Narrow" w:eastAsia="Times New Roman" w:hAnsi="Arial Narrow" w:cs="Calibri"/>
                <w:color w:val="000000"/>
                <w:sz w:val="20"/>
                <w:szCs w:val="20"/>
                <w:lang w:val="en-GB"/>
              </w:rPr>
            </w:pPr>
          </w:p>
        </w:tc>
      </w:tr>
      <w:tr w:rsidR="00C17202" w:rsidRPr="00AA2617" w14:paraId="3AC5A20D" w14:textId="77777777" w:rsidTr="009F21B4">
        <w:trPr>
          <w:cantSplit/>
          <w:trHeight w:val="431"/>
        </w:trPr>
        <w:tc>
          <w:tcPr>
            <w:tcW w:w="578" w:type="dxa"/>
            <w:tcBorders>
              <w:top w:val="nil"/>
              <w:left w:val="single" w:sz="4" w:space="0" w:color="auto"/>
              <w:bottom w:val="nil"/>
              <w:right w:val="nil"/>
            </w:tcBorders>
            <w:shd w:val="clear" w:color="auto" w:fill="auto"/>
            <w:noWrap/>
            <w:hideMark/>
          </w:tcPr>
          <w:p w14:paraId="7E296693" w14:textId="77777777" w:rsidR="00C17202" w:rsidRPr="00AA2617" w:rsidRDefault="00C1720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15510F04" w14:textId="77777777" w:rsidR="00C17202" w:rsidRPr="00AA2617" w:rsidRDefault="00C17202" w:rsidP="00AA2617">
            <w:pPr>
              <w:jc w:val="left"/>
              <w:rPr>
                <w:rFonts w:ascii="Arial Narrow" w:eastAsia="Times New Roman" w:hAnsi="Arial Narrow" w:cs="Calibri"/>
                <w:color w:val="000000"/>
                <w:sz w:val="20"/>
                <w:szCs w:val="20"/>
                <w:lang w:val="en-GB"/>
              </w:rPr>
            </w:pPr>
          </w:p>
        </w:tc>
        <w:tc>
          <w:tcPr>
            <w:tcW w:w="7284" w:type="dxa"/>
            <w:tcBorders>
              <w:top w:val="single" w:sz="4" w:space="0" w:color="auto"/>
              <w:left w:val="nil"/>
              <w:bottom w:val="single" w:sz="4" w:space="0" w:color="auto"/>
              <w:right w:val="nil"/>
            </w:tcBorders>
            <w:shd w:val="clear" w:color="auto" w:fill="auto"/>
            <w:hideMark/>
          </w:tcPr>
          <w:p w14:paraId="61B9B86F" w14:textId="59448D1C" w:rsidR="00C17202" w:rsidRPr="00AA2617" w:rsidRDefault="00C17202" w:rsidP="00AA2617">
            <w:pPr>
              <w:jc w:val="left"/>
              <w:rPr>
                <w:rFonts w:ascii="Arial Narrow" w:eastAsia="Times New Roman" w:hAnsi="Arial Narrow" w:cs="Calibri"/>
                <w:color w:val="000000"/>
                <w:sz w:val="20"/>
                <w:szCs w:val="20"/>
                <w:lang w:val="en-GB"/>
              </w:rPr>
            </w:pPr>
            <w:r w:rsidRPr="00AA2617">
              <w:rPr>
                <w:rFonts w:cs="Times New Roman"/>
                <w:i/>
                <w:sz w:val="22"/>
                <w:lang w:val="en-GB"/>
              </w:rPr>
              <w:t>3.1.4.1.  Review relevant research literature to determine provisional estimates where possible and conduct uncertainty assessments for estimates for key indicators</w:t>
            </w:r>
          </w:p>
        </w:tc>
        <w:tc>
          <w:tcPr>
            <w:tcW w:w="1547" w:type="dxa"/>
            <w:tcBorders>
              <w:top w:val="single" w:sz="4" w:space="0" w:color="auto"/>
              <w:left w:val="single" w:sz="4" w:space="0" w:color="auto"/>
              <w:bottom w:val="nil"/>
              <w:right w:val="single" w:sz="4" w:space="0" w:color="auto"/>
            </w:tcBorders>
            <w:shd w:val="clear" w:color="auto" w:fill="auto"/>
            <w:noWrap/>
            <w:vAlign w:val="center"/>
            <w:hideMark/>
          </w:tcPr>
          <w:p w14:paraId="2CE56C11" w14:textId="77777777" w:rsidR="00C17202" w:rsidRPr="00AA2617" w:rsidRDefault="00C17202"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LOA:  AFOLU and CC adaptation experts</w:t>
            </w:r>
          </w:p>
        </w:tc>
        <w:tc>
          <w:tcPr>
            <w:tcW w:w="435" w:type="dxa"/>
            <w:tcBorders>
              <w:top w:val="nil"/>
              <w:left w:val="single" w:sz="8" w:space="0" w:color="auto"/>
              <w:bottom w:val="single" w:sz="4" w:space="0" w:color="auto"/>
              <w:right w:val="single" w:sz="4" w:space="0" w:color="auto"/>
            </w:tcBorders>
            <w:shd w:val="clear" w:color="000000" w:fill="B4C6E7"/>
            <w:noWrap/>
            <w:vAlign w:val="center"/>
            <w:hideMark/>
          </w:tcPr>
          <w:p w14:paraId="786F97AC"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000000" w:fill="B4C6E7"/>
            <w:noWrap/>
            <w:vAlign w:val="center"/>
            <w:hideMark/>
          </w:tcPr>
          <w:p w14:paraId="6C1A96F8"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000000" w:fill="B4C6E7"/>
            <w:noWrap/>
            <w:vAlign w:val="center"/>
            <w:hideMark/>
          </w:tcPr>
          <w:p w14:paraId="531EA11A"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591749C5"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6D75F6E9"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618E3B82"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288DD59A"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auto"/>
            <w:noWrap/>
            <w:vAlign w:val="center"/>
            <w:hideMark/>
          </w:tcPr>
          <w:p w14:paraId="64483395" w14:textId="77777777" w:rsidR="00C17202" w:rsidRPr="00AA2617" w:rsidRDefault="00C17202" w:rsidP="00AA2617">
            <w:pPr>
              <w:jc w:val="center"/>
              <w:rPr>
                <w:rFonts w:ascii="Arial Narrow" w:eastAsia="Times New Roman" w:hAnsi="Arial Narrow" w:cs="Calibri"/>
                <w:color w:val="000000"/>
                <w:sz w:val="20"/>
                <w:szCs w:val="20"/>
                <w:lang w:val="en-GB"/>
              </w:rPr>
            </w:pPr>
          </w:p>
        </w:tc>
      </w:tr>
      <w:tr w:rsidR="00C17202" w:rsidRPr="00AA2617" w14:paraId="54ECCED6" w14:textId="77777777" w:rsidTr="00C17202">
        <w:trPr>
          <w:cantSplit/>
          <w:trHeight w:val="276"/>
        </w:trPr>
        <w:tc>
          <w:tcPr>
            <w:tcW w:w="578" w:type="dxa"/>
            <w:tcBorders>
              <w:top w:val="nil"/>
              <w:left w:val="single" w:sz="4" w:space="0" w:color="auto"/>
              <w:bottom w:val="nil"/>
              <w:right w:val="nil"/>
            </w:tcBorders>
            <w:shd w:val="clear" w:color="auto" w:fill="auto"/>
            <w:noWrap/>
            <w:hideMark/>
          </w:tcPr>
          <w:p w14:paraId="4AE691CE" w14:textId="77777777" w:rsidR="00C17202" w:rsidRPr="00AA2617" w:rsidRDefault="00C1720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nil"/>
              <w:right w:val="nil"/>
            </w:tcBorders>
            <w:shd w:val="clear" w:color="auto" w:fill="auto"/>
            <w:noWrap/>
            <w:hideMark/>
          </w:tcPr>
          <w:p w14:paraId="0A7477D0" w14:textId="77777777" w:rsidR="00C17202" w:rsidRPr="00AA2617" w:rsidRDefault="00C17202" w:rsidP="00AA2617">
            <w:pPr>
              <w:jc w:val="left"/>
              <w:rPr>
                <w:rFonts w:ascii="Arial Narrow" w:eastAsia="Times New Roman" w:hAnsi="Arial Narrow" w:cs="Calibri"/>
                <w:color w:val="000000"/>
                <w:sz w:val="20"/>
                <w:szCs w:val="20"/>
                <w:lang w:val="en-GB"/>
              </w:rPr>
            </w:pPr>
          </w:p>
        </w:tc>
        <w:tc>
          <w:tcPr>
            <w:tcW w:w="7284" w:type="dxa"/>
            <w:tcBorders>
              <w:top w:val="nil"/>
              <w:left w:val="nil"/>
              <w:bottom w:val="nil"/>
              <w:right w:val="nil"/>
            </w:tcBorders>
            <w:shd w:val="clear" w:color="auto" w:fill="auto"/>
            <w:hideMark/>
          </w:tcPr>
          <w:p w14:paraId="31251039" w14:textId="506A54FA" w:rsidR="00C17202" w:rsidRPr="00AA2617" w:rsidRDefault="00C17202" w:rsidP="00AA2617">
            <w:pPr>
              <w:jc w:val="left"/>
              <w:rPr>
                <w:rFonts w:ascii="Arial Narrow" w:eastAsia="Times New Roman" w:hAnsi="Arial Narrow" w:cs="Calibri"/>
                <w:color w:val="000000"/>
                <w:sz w:val="20"/>
                <w:szCs w:val="20"/>
                <w:lang w:val="en-GB"/>
              </w:rPr>
            </w:pPr>
            <w:r w:rsidRPr="00AA2617">
              <w:rPr>
                <w:rFonts w:cs="Times New Roman"/>
                <w:i/>
                <w:sz w:val="22"/>
                <w:lang w:val="en-GB"/>
              </w:rPr>
              <w:t xml:space="preserve">3.1.4.2.  Conduct pilot tests of measurement protocols and revise protocols as needed.                                                                      </w:t>
            </w:r>
          </w:p>
        </w:tc>
        <w:tc>
          <w:tcPr>
            <w:tcW w:w="1547" w:type="dxa"/>
            <w:tcBorders>
              <w:top w:val="single" w:sz="4" w:space="0" w:color="auto"/>
              <w:left w:val="single" w:sz="4" w:space="0" w:color="auto"/>
              <w:bottom w:val="nil"/>
              <w:right w:val="single" w:sz="4" w:space="0" w:color="auto"/>
            </w:tcBorders>
            <w:shd w:val="clear" w:color="auto" w:fill="auto"/>
            <w:noWrap/>
            <w:vAlign w:val="center"/>
            <w:hideMark/>
          </w:tcPr>
          <w:p w14:paraId="75EC343E" w14:textId="77777777" w:rsidR="00C17202" w:rsidRPr="00AA2617" w:rsidRDefault="00C17202"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Contracts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019D310D"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auto"/>
            <w:noWrap/>
            <w:vAlign w:val="center"/>
            <w:hideMark/>
          </w:tcPr>
          <w:p w14:paraId="066F8363"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auto"/>
            <w:noWrap/>
            <w:vAlign w:val="center"/>
            <w:hideMark/>
          </w:tcPr>
          <w:p w14:paraId="7F102143"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auto"/>
            <w:noWrap/>
            <w:vAlign w:val="center"/>
            <w:hideMark/>
          </w:tcPr>
          <w:p w14:paraId="28D90ACC"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B4C6E7" w:themeFill="accent1" w:themeFillTint="66"/>
            <w:noWrap/>
            <w:vAlign w:val="center"/>
            <w:hideMark/>
          </w:tcPr>
          <w:p w14:paraId="29800DA6"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B4C6E7" w:themeFill="accent1" w:themeFillTint="66"/>
            <w:noWrap/>
            <w:vAlign w:val="center"/>
            <w:hideMark/>
          </w:tcPr>
          <w:p w14:paraId="30987578"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B4C6E7" w:themeFill="accent1" w:themeFillTint="66"/>
            <w:noWrap/>
            <w:vAlign w:val="center"/>
            <w:hideMark/>
          </w:tcPr>
          <w:p w14:paraId="63DF401A"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B4C6E7" w:themeFill="accent1" w:themeFillTint="66"/>
            <w:noWrap/>
            <w:vAlign w:val="center"/>
            <w:hideMark/>
          </w:tcPr>
          <w:p w14:paraId="06AB188A" w14:textId="77777777" w:rsidR="00C17202" w:rsidRPr="00AA2617" w:rsidRDefault="00C17202" w:rsidP="00AA2617">
            <w:pPr>
              <w:jc w:val="center"/>
              <w:rPr>
                <w:rFonts w:ascii="Arial Narrow" w:eastAsia="Times New Roman" w:hAnsi="Arial Narrow" w:cs="Calibri"/>
                <w:color w:val="000000"/>
                <w:sz w:val="20"/>
                <w:szCs w:val="20"/>
                <w:lang w:val="en-GB"/>
              </w:rPr>
            </w:pPr>
          </w:p>
        </w:tc>
      </w:tr>
      <w:tr w:rsidR="00C17202" w:rsidRPr="00AA2617" w14:paraId="22A5CDF5" w14:textId="77777777" w:rsidTr="00C17202">
        <w:trPr>
          <w:cantSplit/>
          <w:trHeight w:val="305"/>
        </w:trPr>
        <w:tc>
          <w:tcPr>
            <w:tcW w:w="578" w:type="dxa"/>
            <w:tcBorders>
              <w:top w:val="nil"/>
              <w:left w:val="single" w:sz="4" w:space="0" w:color="auto"/>
              <w:bottom w:val="single" w:sz="4" w:space="0" w:color="auto"/>
              <w:right w:val="nil"/>
            </w:tcBorders>
            <w:shd w:val="clear" w:color="auto" w:fill="auto"/>
            <w:noWrap/>
            <w:hideMark/>
          </w:tcPr>
          <w:p w14:paraId="1BC7DAE9" w14:textId="77777777" w:rsidR="00C17202" w:rsidRPr="00AA2617" w:rsidRDefault="00C1720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578" w:type="dxa"/>
            <w:tcBorders>
              <w:top w:val="nil"/>
              <w:left w:val="nil"/>
              <w:bottom w:val="single" w:sz="4" w:space="0" w:color="auto"/>
              <w:right w:val="nil"/>
            </w:tcBorders>
            <w:shd w:val="clear" w:color="auto" w:fill="auto"/>
            <w:noWrap/>
            <w:hideMark/>
          </w:tcPr>
          <w:p w14:paraId="5D25D716" w14:textId="77777777" w:rsidR="00C17202" w:rsidRPr="00AA2617" w:rsidRDefault="00C17202" w:rsidP="00AA2617">
            <w:pPr>
              <w:jc w:val="left"/>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w:t>
            </w:r>
          </w:p>
        </w:tc>
        <w:tc>
          <w:tcPr>
            <w:tcW w:w="7284" w:type="dxa"/>
            <w:tcBorders>
              <w:top w:val="single" w:sz="4" w:space="0" w:color="auto"/>
              <w:left w:val="nil"/>
              <w:bottom w:val="single" w:sz="4" w:space="0" w:color="auto"/>
              <w:right w:val="single" w:sz="4" w:space="0" w:color="auto"/>
            </w:tcBorders>
            <w:shd w:val="clear" w:color="auto" w:fill="auto"/>
            <w:hideMark/>
          </w:tcPr>
          <w:p w14:paraId="0FB95AE9" w14:textId="02DDDE48" w:rsidR="00C17202" w:rsidRPr="00AA2617" w:rsidRDefault="00C17202" w:rsidP="00AA2617">
            <w:pPr>
              <w:jc w:val="left"/>
              <w:rPr>
                <w:rFonts w:ascii="Arial Narrow" w:eastAsia="Times New Roman" w:hAnsi="Arial Narrow" w:cs="Calibri"/>
                <w:color w:val="000000"/>
                <w:sz w:val="20"/>
                <w:szCs w:val="20"/>
                <w:lang w:val="en-GB"/>
              </w:rPr>
            </w:pPr>
            <w:r w:rsidRPr="00AA2617">
              <w:rPr>
                <w:rFonts w:cs="Times New Roman"/>
                <w:i/>
                <w:sz w:val="22"/>
                <w:lang w:val="en-GB"/>
              </w:rPr>
              <w:t>3.1.4.3.  Conduct preliminary validations of proxy measures</w:t>
            </w:r>
          </w:p>
        </w:tc>
        <w:tc>
          <w:tcPr>
            <w:tcW w:w="1547" w:type="dxa"/>
            <w:tcBorders>
              <w:top w:val="single" w:sz="4" w:space="0" w:color="auto"/>
              <w:left w:val="nil"/>
              <w:bottom w:val="single" w:sz="4" w:space="0" w:color="auto"/>
              <w:right w:val="single" w:sz="4" w:space="0" w:color="auto"/>
            </w:tcBorders>
            <w:shd w:val="clear" w:color="auto" w:fill="auto"/>
            <w:noWrap/>
            <w:vAlign w:val="center"/>
            <w:hideMark/>
          </w:tcPr>
          <w:p w14:paraId="54E1500B" w14:textId="77777777" w:rsidR="00C17202" w:rsidRPr="00AA2617" w:rsidRDefault="00C17202" w:rsidP="00AA2617">
            <w:pPr>
              <w:jc w:val="center"/>
              <w:rPr>
                <w:rFonts w:ascii="Arial Narrow" w:eastAsia="Times New Roman" w:hAnsi="Arial Narrow" w:cs="Calibri"/>
                <w:color w:val="000000"/>
                <w:sz w:val="20"/>
                <w:szCs w:val="20"/>
                <w:lang w:val="en-GB"/>
              </w:rPr>
            </w:pPr>
            <w:r w:rsidRPr="00AA2617">
              <w:rPr>
                <w:rFonts w:ascii="Arial Narrow" w:eastAsia="Times New Roman" w:hAnsi="Arial Narrow" w:cs="Calibri"/>
                <w:color w:val="000000"/>
                <w:sz w:val="20"/>
                <w:szCs w:val="20"/>
                <w:lang w:val="en-GB"/>
              </w:rPr>
              <w:t xml:space="preserve">LOAs:  </w:t>
            </w:r>
            <w:r w:rsidRPr="00AA2617">
              <w:rPr>
                <w:rFonts w:ascii="Arial Narrow" w:eastAsia="Times New Roman" w:hAnsi="Arial Narrow" w:cs="Calibri"/>
                <w:color w:val="FF0000"/>
                <w:sz w:val="20"/>
                <w:szCs w:val="20"/>
                <w:lang w:val="en-GB"/>
              </w:rPr>
              <w:t>Contracts</w:t>
            </w:r>
          </w:p>
        </w:tc>
        <w:tc>
          <w:tcPr>
            <w:tcW w:w="435" w:type="dxa"/>
            <w:tcBorders>
              <w:top w:val="nil"/>
              <w:left w:val="single" w:sz="8" w:space="0" w:color="auto"/>
              <w:bottom w:val="single" w:sz="4" w:space="0" w:color="auto"/>
              <w:right w:val="single" w:sz="4" w:space="0" w:color="auto"/>
            </w:tcBorders>
            <w:shd w:val="clear" w:color="auto" w:fill="auto"/>
            <w:noWrap/>
            <w:vAlign w:val="center"/>
            <w:hideMark/>
          </w:tcPr>
          <w:p w14:paraId="62C8A710"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B4C6E7" w:themeFill="accent1" w:themeFillTint="66"/>
            <w:noWrap/>
            <w:vAlign w:val="center"/>
            <w:hideMark/>
          </w:tcPr>
          <w:p w14:paraId="46BDEE53"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B4C6E7" w:themeFill="accent1" w:themeFillTint="66"/>
            <w:noWrap/>
            <w:vAlign w:val="center"/>
            <w:hideMark/>
          </w:tcPr>
          <w:p w14:paraId="7F6CB400"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8" w:space="0" w:color="auto"/>
            </w:tcBorders>
            <w:shd w:val="clear" w:color="auto" w:fill="B4C6E7" w:themeFill="accent1" w:themeFillTint="66"/>
            <w:noWrap/>
            <w:vAlign w:val="center"/>
            <w:hideMark/>
          </w:tcPr>
          <w:p w14:paraId="084259A4"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B4C6E7" w:themeFill="accent1" w:themeFillTint="66"/>
            <w:noWrap/>
            <w:vAlign w:val="center"/>
            <w:hideMark/>
          </w:tcPr>
          <w:p w14:paraId="7475A2F2"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nil"/>
            </w:tcBorders>
            <w:shd w:val="clear" w:color="auto" w:fill="B4C6E7" w:themeFill="accent1" w:themeFillTint="66"/>
            <w:noWrap/>
            <w:vAlign w:val="center"/>
            <w:hideMark/>
          </w:tcPr>
          <w:p w14:paraId="5FF90ADC"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single" w:sz="4" w:space="0" w:color="auto"/>
              <w:bottom w:val="single" w:sz="4" w:space="0" w:color="auto"/>
              <w:right w:val="single" w:sz="4" w:space="0" w:color="auto"/>
            </w:tcBorders>
            <w:shd w:val="clear" w:color="auto" w:fill="B4C6E7" w:themeFill="accent1" w:themeFillTint="66"/>
            <w:noWrap/>
            <w:vAlign w:val="center"/>
            <w:hideMark/>
          </w:tcPr>
          <w:p w14:paraId="702277F4" w14:textId="77777777" w:rsidR="00C17202" w:rsidRPr="00AA2617" w:rsidRDefault="00C17202" w:rsidP="00AA2617">
            <w:pPr>
              <w:jc w:val="center"/>
              <w:rPr>
                <w:rFonts w:ascii="Arial Narrow" w:eastAsia="Times New Roman" w:hAnsi="Arial Narrow" w:cs="Calibri"/>
                <w:color w:val="000000"/>
                <w:sz w:val="20"/>
                <w:szCs w:val="20"/>
                <w:lang w:val="en-GB"/>
              </w:rPr>
            </w:pPr>
          </w:p>
        </w:tc>
        <w:tc>
          <w:tcPr>
            <w:tcW w:w="435" w:type="dxa"/>
            <w:tcBorders>
              <w:top w:val="nil"/>
              <w:left w:val="nil"/>
              <w:bottom w:val="single" w:sz="4" w:space="0" w:color="auto"/>
              <w:right w:val="single" w:sz="4" w:space="0" w:color="auto"/>
            </w:tcBorders>
            <w:shd w:val="clear" w:color="auto" w:fill="B4C6E7" w:themeFill="accent1" w:themeFillTint="66"/>
            <w:noWrap/>
            <w:vAlign w:val="center"/>
            <w:hideMark/>
          </w:tcPr>
          <w:p w14:paraId="7560CA44" w14:textId="77777777" w:rsidR="00C17202" w:rsidRPr="00AA2617" w:rsidRDefault="00C17202" w:rsidP="00AA2617">
            <w:pPr>
              <w:jc w:val="center"/>
              <w:rPr>
                <w:rFonts w:ascii="Arial Narrow" w:eastAsia="Times New Roman" w:hAnsi="Arial Narrow" w:cs="Calibri"/>
                <w:color w:val="000000"/>
                <w:sz w:val="20"/>
                <w:szCs w:val="20"/>
                <w:lang w:val="en-GB"/>
              </w:rPr>
            </w:pPr>
          </w:p>
        </w:tc>
      </w:tr>
    </w:tbl>
    <w:p w14:paraId="0E5E7CA9" w14:textId="2885FD42" w:rsidR="003B1514" w:rsidRPr="00AA2617" w:rsidRDefault="003B1514" w:rsidP="00AA2617">
      <w:pPr>
        <w:outlineLvl w:val="0"/>
        <w:rPr>
          <w:rFonts w:cs="Times New Roman"/>
          <w:b/>
          <w:sz w:val="22"/>
          <w:lang w:val="en-GB"/>
        </w:rPr>
      </w:pPr>
      <w:bookmarkStart w:id="311" w:name="_Toc5366452"/>
      <w:bookmarkStart w:id="312" w:name="_Toc9249230"/>
      <w:bookmarkStart w:id="313" w:name="_Toc474848409"/>
      <w:r w:rsidRPr="00AA2617">
        <w:rPr>
          <w:rFonts w:cs="Times New Roman"/>
          <w:b/>
          <w:sz w:val="22"/>
          <w:lang w:val="en-GB"/>
        </w:rPr>
        <w:lastRenderedPageBreak/>
        <w:t>Appendix 3:  Budget</w:t>
      </w:r>
      <w:bookmarkEnd w:id="311"/>
      <w:bookmarkEnd w:id="312"/>
    </w:p>
    <w:tbl>
      <w:tblPr>
        <w:tblW w:w="0" w:type="auto"/>
        <w:tblLook w:val="04A0" w:firstRow="1" w:lastRow="0" w:firstColumn="1" w:lastColumn="0" w:noHBand="0" w:noVBand="1"/>
      </w:tblPr>
      <w:tblGrid>
        <w:gridCol w:w="5215"/>
        <w:gridCol w:w="521"/>
        <w:gridCol w:w="550"/>
        <w:gridCol w:w="825"/>
        <w:gridCol w:w="1129"/>
        <w:gridCol w:w="1129"/>
        <w:gridCol w:w="966"/>
        <w:gridCol w:w="966"/>
        <w:gridCol w:w="887"/>
        <w:gridCol w:w="922"/>
        <w:gridCol w:w="1154"/>
        <w:gridCol w:w="1114"/>
      </w:tblGrid>
      <w:tr w:rsidR="005310F9" w:rsidRPr="00AA2617" w14:paraId="0DAD9844" w14:textId="77777777" w:rsidTr="005310F9">
        <w:trPr>
          <w:trHeight w:val="420"/>
        </w:trPr>
        <w:tc>
          <w:tcPr>
            <w:tcW w:w="0" w:type="auto"/>
            <w:vMerge w:val="restart"/>
            <w:tcBorders>
              <w:top w:val="single" w:sz="8" w:space="0" w:color="auto"/>
              <w:left w:val="single" w:sz="8" w:space="0" w:color="auto"/>
              <w:bottom w:val="single" w:sz="4" w:space="0" w:color="auto"/>
              <w:right w:val="single" w:sz="4" w:space="0" w:color="auto"/>
            </w:tcBorders>
            <w:shd w:val="clear" w:color="000000" w:fill="2F75B5"/>
            <w:vAlign w:val="center"/>
            <w:hideMark/>
          </w:tcPr>
          <w:p w14:paraId="4F6EEBE9" w14:textId="77777777" w:rsidR="005310F9" w:rsidRPr="00AA2617" w:rsidRDefault="005310F9" w:rsidP="00AA2617">
            <w:pPr>
              <w:spacing w:after="0"/>
              <w:jc w:val="center"/>
              <w:rPr>
                <w:rFonts w:ascii="Arial Narrow" w:eastAsia="Times New Roman" w:hAnsi="Arial Narrow" w:cs="Times New Roman"/>
                <w:color w:val="FFFFFF"/>
                <w:sz w:val="16"/>
                <w:szCs w:val="16"/>
                <w:lang w:eastAsia="ja-JP"/>
              </w:rPr>
            </w:pPr>
            <w:r w:rsidRPr="00AA2617">
              <w:rPr>
                <w:rFonts w:ascii="Arial Narrow" w:eastAsia="Times New Roman" w:hAnsi="Arial Narrow" w:cs="Times New Roman"/>
                <w:color w:val="FFFFFF"/>
                <w:sz w:val="16"/>
                <w:szCs w:val="16"/>
                <w:lang w:eastAsia="ja-JP"/>
              </w:rPr>
              <w:br/>
              <w:t>Enhancing and bridging knowledge gaps in Sri Lanka's NDC implementation of AFOLU sector for Enhanced Transparency Framework (ETF)</w:t>
            </w:r>
          </w:p>
        </w:tc>
        <w:tc>
          <w:tcPr>
            <w:tcW w:w="0" w:type="auto"/>
            <w:gridSpan w:val="9"/>
            <w:tcBorders>
              <w:top w:val="single" w:sz="8" w:space="0" w:color="auto"/>
              <w:left w:val="nil"/>
              <w:bottom w:val="single" w:sz="4" w:space="0" w:color="auto"/>
              <w:right w:val="single" w:sz="8" w:space="0" w:color="000000"/>
            </w:tcBorders>
            <w:shd w:val="clear" w:color="000000" w:fill="2F75B5"/>
            <w:noWrap/>
            <w:vAlign w:val="center"/>
            <w:hideMark/>
          </w:tcPr>
          <w:p w14:paraId="6D5D2C79"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BUDGET (USD)</w:t>
            </w:r>
          </w:p>
        </w:tc>
        <w:tc>
          <w:tcPr>
            <w:tcW w:w="0" w:type="auto"/>
            <w:gridSpan w:val="2"/>
            <w:tcBorders>
              <w:top w:val="single" w:sz="8" w:space="0" w:color="auto"/>
              <w:left w:val="nil"/>
              <w:bottom w:val="single" w:sz="4" w:space="0" w:color="auto"/>
              <w:right w:val="single" w:sz="8" w:space="0" w:color="000000"/>
            </w:tcBorders>
            <w:shd w:val="clear" w:color="000000" w:fill="2F75B5"/>
            <w:noWrap/>
            <w:vAlign w:val="center"/>
            <w:hideMark/>
          </w:tcPr>
          <w:p w14:paraId="2A800E34"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BUDGET BY YEAR (USD)</w:t>
            </w:r>
          </w:p>
        </w:tc>
      </w:tr>
      <w:tr w:rsidR="005310F9" w:rsidRPr="00AA2617" w14:paraId="7D2D5373" w14:textId="77777777" w:rsidTr="005310F9">
        <w:trPr>
          <w:trHeight w:val="540"/>
        </w:trPr>
        <w:tc>
          <w:tcPr>
            <w:tcW w:w="0" w:type="auto"/>
            <w:vMerge/>
            <w:tcBorders>
              <w:top w:val="single" w:sz="8" w:space="0" w:color="auto"/>
              <w:left w:val="single" w:sz="8" w:space="0" w:color="auto"/>
              <w:bottom w:val="single" w:sz="4" w:space="0" w:color="auto"/>
              <w:right w:val="single" w:sz="4" w:space="0" w:color="auto"/>
            </w:tcBorders>
            <w:vAlign w:val="center"/>
            <w:hideMark/>
          </w:tcPr>
          <w:p w14:paraId="57B72518" w14:textId="77777777" w:rsidR="005310F9" w:rsidRPr="00AA2617" w:rsidRDefault="005310F9" w:rsidP="00AA2617">
            <w:pPr>
              <w:spacing w:after="0"/>
              <w:jc w:val="left"/>
              <w:rPr>
                <w:rFonts w:ascii="Arial Narrow" w:eastAsia="Times New Roman" w:hAnsi="Arial Narrow" w:cs="Times New Roman"/>
                <w:color w:val="FFFFFF"/>
                <w:sz w:val="16"/>
                <w:szCs w:val="16"/>
                <w:lang w:eastAsia="ja-JP"/>
              </w:rPr>
            </w:pPr>
          </w:p>
        </w:tc>
        <w:tc>
          <w:tcPr>
            <w:tcW w:w="0" w:type="auto"/>
            <w:tcBorders>
              <w:top w:val="nil"/>
              <w:left w:val="nil"/>
              <w:bottom w:val="nil"/>
              <w:right w:val="single" w:sz="4" w:space="0" w:color="auto"/>
            </w:tcBorders>
            <w:shd w:val="clear" w:color="000000" w:fill="2F75B5"/>
            <w:vAlign w:val="center"/>
            <w:hideMark/>
          </w:tcPr>
          <w:p w14:paraId="2816F2FF"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Unit</w:t>
            </w:r>
          </w:p>
        </w:tc>
        <w:tc>
          <w:tcPr>
            <w:tcW w:w="0" w:type="auto"/>
            <w:tcBorders>
              <w:top w:val="nil"/>
              <w:left w:val="nil"/>
              <w:bottom w:val="nil"/>
              <w:right w:val="single" w:sz="4" w:space="0" w:color="auto"/>
            </w:tcBorders>
            <w:shd w:val="clear" w:color="000000" w:fill="2F75B5"/>
            <w:vAlign w:val="center"/>
            <w:hideMark/>
          </w:tcPr>
          <w:p w14:paraId="1374DBFC"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Qty</w:t>
            </w:r>
          </w:p>
        </w:tc>
        <w:tc>
          <w:tcPr>
            <w:tcW w:w="0" w:type="auto"/>
            <w:tcBorders>
              <w:top w:val="nil"/>
              <w:left w:val="nil"/>
              <w:bottom w:val="nil"/>
              <w:right w:val="single" w:sz="4" w:space="0" w:color="auto"/>
            </w:tcBorders>
            <w:shd w:val="clear" w:color="000000" w:fill="2F75B5"/>
            <w:vAlign w:val="center"/>
            <w:hideMark/>
          </w:tcPr>
          <w:p w14:paraId="052800A2"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Unit</w:t>
            </w:r>
            <w:r w:rsidRPr="00AA2617">
              <w:rPr>
                <w:rFonts w:ascii="Arial Narrow" w:eastAsia="Times New Roman" w:hAnsi="Arial Narrow" w:cs="Times New Roman"/>
                <w:b/>
                <w:bCs/>
                <w:color w:val="FFFFFF"/>
                <w:sz w:val="16"/>
                <w:szCs w:val="16"/>
                <w:lang w:eastAsia="ja-JP"/>
              </w:rPr>
              <w:br/>
              <w:t>cost</w:t>
            </w:r>
          </w:p>
        </w:tc>
        <w:tc>
          <w:tcPr>
            <w:tcW w:w="0" w:type="auto"/>
            <w:tcBorders>
              <w:top w:val="nil"/>
              <w:left w:val="nil"/>
              <w:bottom w:val="nil"/>
              <w:right w:val="single" w:sz="4" w:space="0" w:color="auto"/>
            </w:tcBorders>
            <w:shd w:val="clear" w:color="000000" w:fill="2F75B5"/>
            <w:vAlign w:val="center"/>
            <w:hideMark/>
          </w:tcPr>
          <w:p w14:paraId="6AACEF29"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Outcome</w:t>
            </w:r>
            <w:r w:rsidRPr="00AA2617">
              <w:rPr>
                <w:rFonts w:ascii="Arial Narrow" w:eastAsia="Times New Roman" w:hAnsi="Arial Narrow" w:cs="Times New Roman"/>
                <w:b/>
                <w:bCs/>
                <w:color w:val="FFFFFF"/>
                <w:sz w:val="16"/>
                <w:szCs w:val="16"/>
                <w:lang w:eastAsia="ja-JP"/>
              </w:rPr>
              <w:br/>
              <w:t>1.1</w:t>
            </w:r>
          </w:p>
        </w:tc>
        <w:tc>
          <w:tcPr>
            <w:tcW w:w="0" w:type="auto"/>
            <w:tcBorders>
              <w:top w:val="nil"/>
              <w:left w:val="nil"/>
              <w:bottom w:val="nil"/>
              <w:right w:val="single" w:sz="4" w:space="0" w:color="auto"/>
            </w:tcBorders>
            <w:shd w:val="clear" w:color="000000" w:fill="2F75B5"/>
            <w:vAlign w:val="center"/>
            <w:hideMark/>
          </w:tcPr>
          <w:p w14:paraId="075FED76"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Outcome</w:t>
            </w:r>
            <w:r w:rsidRPr="00AA2617">
              <w:rPr>
                <w:rFonts w:ascii="Arial Narrow" w:eastAsia="Times New Roman" w:hAnsi="Arial Narrow" w:cs="Times New Roman"/>
                <w:b/>
                <w:bCs/>
                <w:color w:val="FFFFFF"/>
                <w:sz w:val="16"/>
                <w:szCs w:val="16"/>
                <w:lang w:eastAsia="ja-JP"/>
              </w:rPr>
              <w:br/>
              <w:t>1.2</w:t>
            </w:r>
          </w:p>
        </w:tc>
        <w:tc>
          <w:tcPr>
            <w:tcW w:w="0" w:type="auto"/>
            <w:tcBorders>
              <w:top w:val="nil"/>
              <w:left w:val="nil"/>
              <w:bottom w:val="nil"/>
              <w:right w:val="single" w:sz="4" w:space="0" w:color="auto"/>
            </w:tcBorders>
            <w:shd w:val="clear" w:color="000000" w:fill="2F75B5"/>
            <w:vAlign w:val="center"/>
            <w:hideMark/>
          </w:tcPr>
          <w:p w14:paraId="06257B1F"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Outcome</w:t>
            </w:r>
            <w:r w:rsidRPr="00AA2617">
              <w:rPr>
                <w:rFonts w:ascii="Arial Narrow" w:eastAsia="Times New Roman" w:hAnsi="Arial Narrow" w:cs="Times New Roman"/>
                <w:b/>
                <w:bCs/>
                <w:color w:val="FFFFFF"/>
                <w:sz w:val="16"/>
                <w:szCs w:val="16"/>
                <w:lang w:eastAsia="ja-JP"/>
              </w:rPr>
              <w:br/>
              <w:t>2.1</w:t>
            </w:r>
          </w:p>
        </w:tc>
        <w:tc>
          <w:tcPr>
            <w:tcW w:w="0" w:type="auto"/>
            <w:tcBorders>
              <w:top w:val="nil"/>
              <w:left w:val="nil"/>
              <w:bottom w:val="nil"/>
              <w:right w:val="single" w:sz="4" w:space="0" w:color="auto"/>
            </w:tcBorders>
            <w:shd w:val="clear" w:color="000000" w:fill="2F75B5"/>
            <w:vAlign w:val="center"/>
            <w:hideMark/>
          </w:tcPr>
          <w:p w14:paraId="66F11107"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Outcome</w:t>
            </w:r>
            <w:r w:rsidRPr="00AA2617">
              <w:rPr>
                <w:rFonts w:ascii="Arial Narrow" w:eastAsia="Times New Roman" w:hAnsi="Arial Narrow" w:cs="Times New Roman"/>
                <w:b/>
                <w:bCs/>
                <w:color w:val="FFFFFF"/>
                <w:sz w:val="16"/>
                <w:szCs w:val="16"/>
                <w:lang w:eastAsia="ja-JP"/>
              </w:rPr>
              <w:br/>
              <w:t>3.1</w:t>
            </w:r>
          </w:p>
        </w:tc>
        <w:tc>
          <w:tcPr>
            <w:tcW w:w="0" w:type="auto"/>
            <w:tcBorders>
              <w:top w:val="nil"/>
              <w:left w:val="nil"/>
              <w:bottom w:val="nil"/>
              <w:right w:val="nil"/>
            </w:tcBorders>
            <w:shd w:val="clear" w:color="000000" w:fill="2F75B5"/>
            <w:vAlign w:val="center"/>
            <w:hideMark/>
          </w:tcPr>
          <w:p w14:paraId="49271F4C"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PMC</w:t>
            </w:r>
          </w:p>
        </w:tc>
        <w:tc>
          <w:tcPr>
            <w:tcW w:w="0" w:type="auto"/>
            <w:tcBorders>
              <w:top w:val="nil"/>
              <w:left w:val="single" w:sz="4" w:space="0" w:color="auto"/>
              <w:bottom w:val="nil"/>
              <w:right w:val="single" w:sz="8" w:space="0" w:color="auto"/>
            </w:tcBorders>
            <w:shd w:val="clear" w:color="000000" w:fill="2F75B5"/>
            <w:vAlign w:val="center"/>
            <w:hideMark/>
          </w:tcPr>
          <w:p w14:paraId="7CE873B5"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Total</w:t>
            </w:r>
            <w:r w:rsidRPr="00AA2617">
              <w:rPr>
                <w:rFonts w:ascii="Arial Narrow" w:eastAsia="Times New Roman" w:hAnsi="Arial Narrow" w:cs="Times New Roman"/>
                <w:b/>
                <w:bCs/>
                <w:color w:val="FFFFFF"/>
                <w:sz w:val="16"/>
                <w:szCs w:val="16"/>
                <w:lang w:eastAsia="ja-JP"/>
              </w:rPr>
              <w:br/>
              <w:t>GEF</w:t>
            </w:r>
          </w:p>
        </w:tc>
        <w:tc>
          <w:tcPr>
            <w:tcW w:w="0" w:type="auto"/>
            <w:tcBorders>
              <w:top w:val="nil"/>
              <w:left w:val="nil"/>
              <w:bottom w:val="nil"/>
              <w:right w:val="single" w:sz="4" w:space="0" w:color="auto"/>
            </w:tcBorders>
            <w:shd w:val="clear" w:color="000000" w:fill="2F75B5"/>
            <w:vAlign w:val="center"/>
            <w:hideMark/>
          </w:tcPr>
          <w:p w14:paraId="7CABE36E"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Year</w:t>
            </w:r>
            <w:r w:rsidRPr="00AA2617">
              <w:rPr>
                <w:rFonts w:ascii="Arial Narrow" w:eastAsia="Times New Roman" w:hAnsi="Arial Narrow" w:cs="Times New Roman"/>
                <w:b/>
                <w:bCs/>
                <w:color w:val="FFFFFF"/>
                <w:sz w:val="16"/>
                <w:szCs w:val="16"/>
                <w:lang w:eastAsia="ja-JP"/>
              </w:rPr>
              <w:br/>
              <w:t>1</w:t>
            </w:r>
          </w:p>
        </w:tc>
        <w:tc>
          <w:tcPr>
            <w:tcW w:w="0" w:type="auto"/>
            <w:tcBorders>
              <w:top w:val="nil"/>
              <w:left w:val="nil"/>
              <w:bottom w:val="nil"/>
              <w:right w:val="single" w:sz="8" w:space="0" w:color="auto"/>
            </w:tcBorders>
            <w:shd w:val="clear" w:color="000000" w:fill="2F75B5"/>
            <w:vAlign w:val="center"/>
            <w:hideMark/>
          </w:tcPr>
          <w:p w14:paraId="6940FCC0" w14:textId="77777777" w:rsidR="005310F9" w:rsidRPr="00AA2617" w:rsidRDefault="005310F9" w:rsidP="00AA2617">
            <w:pPr>
              <w:spacing w:after="0"/>
              <w:jc w:val="center"/>
              <w:rPr>
                <w:rFonts w:ascii="Arial Narrow" w:eastAsia="Times New Roman" w:hAnsi="Arial Narrow" w:cs="Times New Roman"/>
                <w:b/>
                <w:bCs/>
                <w:color w:val="FFFFFF"/>
                <w:sz w:val="16"/>
                <w:szCs w:val="16"/>
                <w:lang w:eastAsia="ja-JP"/>
              </w:rPr>
            </w:pPr>
            <w:r w:rsidRPr="00AA2617">
              <w:rPr>
                <w:rFonts w:ascii="Arial Narrow" w:eastAsia="Times New Roman" w:hAnsi="Arial Narrow" w:cs="Times New Roman"/>
                <w:b/>
                <w:bCs/>
                <w:color w:val="FFFFFF"/>
                <w:sz w:val="16"/>
                <w:szCs w:val="16"/>
                <w:lang w:eastAsia="ja-JP"/>
              </w:rPr>
              <w:t>Year</w:t>
            </w:r>
            <w:r w:rsidRPr="00AA2617">
              <w:rPr>
                <w:rFonts w:ascii="Arial Narrow" w:eastAsia="Times New Roman" w:hAnsi="Arial Narrow" w:cs="Times New Roman"/>
                <w:b/>
                <w:bCs/>
                <w:color w:val="FFFFFF"/>
                <w:sz w:val="16"/>
                <w:szCs w:val="16"/>
                <w:lang w:eastAsia="ja-JP"/>
              </w:rPr>
              <w:br/>
              <w:t>2</w:t>
            </w:r>
          </w:p>
        </w:tc>
      </w:tr>
      <w:tr w:rsidR="005310F9" w:rsidRPr="00AA2617" w14:paraId="04DBE2F2" w14:textId="77777777" w:rsidTr="005310F9">
        <w:trPr>
          <w:trHeight w:val="300"/>
        </w:trPr>
        <w:tc>
          <w:tcPr>
            <w:tcW w:w="0" w:type="auto"/>
            <w:tcBorders>
              <w:top w:val="single" w:sz="4" w:space="0" w:color="auto"/>
              <w:left w:val="single" w:sz="8" w:space="0" w:color="auto"/>
              <w:bottom w:val="single" w:sz="4" w:space="0" w:color="auto"/>
              <w:right w:val="nil"/>
            </w:tcBorders>
            <w:shd w:val="clear" w:color="000000" w:fill="B4C6E7"/>
            <w:vAlign w:val="center"/>
            <w:hideMark/>
          </w:tcPr>
          <w:p w14:paraId="4EE74CBA" w14:textId="77777777" w:rsidR="005310F9" w:rsidRPr="00AA2617" w:rsidRDefault="005310F9" w:rsidP="00AA2617">
            <w:pPr>
              <w:spacing w:after="0"/>
              <w:jc w:val="left"/>
              <w:rPr>
                <w:rFonts w:ascii="Arial Narrow" w:eastAsia="Times New Roman" w:hAnsi="Arial Narrow" w:cs="Times New Roman"/>
                <w:b/>
                <w:bCs/>
                <w:color w:val="000000"/>
                <w:sz w:val="16"/>
                <w:szCs w:val="16"/>
                <w:lang w:eastAsia="ja-JP"/>
              </w:rPr>
            </w:pPr>
            <w:r w:rsidRPr="00AA2617">
              <w:rPr>
                <w:rFonts w:ascii="Arial Narrow" w:eastAsia="Times New Roman" w:hAnsi="Arial Narrow" w:cs="Times New Roman"/>
                <w:b/>
                <w:bCs/>
                <w:color w:val="000000"/>
                <w:sz w:val="16"/>
                <w:szCs w:val="16"/>
                <w:lang w:eastAsia="ja-JP"/>
              </w:rPr>
              <w:t>5300 &amp; 5500 Salaries</w:t>
            </w:r>
          </w:p>
        </w:tc>
        <w:tc>
          <w:tcPr>
            <w:tcW w:w="0" w:type="auto"/>
            <w:tcBorders>
              <w:top w:val="single" w:sz="4" w:space="0" w:color="auto"/>
              <w:left w:val="nil"/>
              <w:bottom w:val="single" w:sz="4" w:space="0" w:color="auto"/>
              <w:right w:val="nil"/>
            </w:tcBorders>
            <w:shd w:val="clear" w:color="000000" w:fill="B4C6E7"/>
            <w:vAlign w:val="center"/>
            <w:hideMark/>
          </w:tcPr>
          <w:p w14:paraId="1A774F6B"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6E2E7929"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07EB0A11"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5EEDDE81"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667DDAC5"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053EA497"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4F3CF358"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7050638A"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5707868A"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56C13B11"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c>
          <w:tcPr>
            <w:tcW w:w="0" w:type="auto"/>
            <w:tcBorders>
              <w:top w:val="single" w:sz="4" w:space="0" w:color="auto"/>
              <w:left w:val="nil"/>
              <w:bottom w:val="single" w:sz="4" w:space="0" w:color="auto"/>
              <w:right w:val="single" w:sz="8" w:space="0" w:color="auto"/>
            </w:tcBorders>
            <w:shd w:val="clear" w:color="000000" w:fill="B4C6E7"/>
            <w:vAlign w:val="center"/>
            <w:hideMark/>
          </w:tcPr>
          <w:p w14:paraId="4E03DA56" w14:textId="77777777" w:rsidR="005310F9" w:rsidRPr="00AA2617" w:rsidRDefault="005310F9" w:rsidP="00AA2617">
            <w:pPr>
              <w:spacing w:after="0"/>
              <w:jc w:val="left"/>
              <w:rPr>
                <w:rFonts w:ascii="Arial Narrow" w:eastAsia="Times New Roman" w:hAnsi="Arial Narrow" w:cs="Times New Roman"/>
                <w:color w:val="000000"/>
                <w:sz w:val="16"/>
                <w:szCs w:val="16"/>
                <w:lang w:eastAsia="ja-JP"/>
              </w:rPr>
            </w:pPr>
            <w:r w:rsidRPr="00AA2617">
              <w:rPr>
                <w:rFonts w:ascii="Arial Narrow" w:eastAsia="Times New Roman" w:hAnsi="Arial Narrow" w:cs="Times New Roman"/>
                <w:color w:val="000000"/>
                <w:sz w:val="16"/>
                <w:szCs w:val="16"/>
                <w:lang w:eastAsia="ja-JP"/>
              </w:rPr>
              <w:t> </w:t>
            </w:r>
          </w:p>
        </w:tc>
      </w:tr>
      <w:tr w:rsidR="005310F9" w:rsidRPr="00AA2617" w14:paraId="16BEE3E1"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noWrap/>
            <w:vAlign w:val="center"/>
            <w:hideMark/>
          </w:tcPr>
          <w:p w14:paraId="029E1F4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Administration Associate </w:t>
            </w:r>
          </w:p>
        </w:tc>
        <w:tc>
          <w:tcPr>
            <w:tcW w:w="0" w:type="auto"/>
            <w:tcBorders>
              <w:top w:val="nil"/>
              <w:left w:val="nil"/>
              <w:bottom w:val="single" w:sz="4" w:space="0" w:color="auto"/>
              <w:right w:val="single" w:sz="4" w:space="0" w:color="auto"/>
            </w:tcBorders>
            <w:shd w:val="clear" w:color="auto" w:fill="auto"/>
            <w:vAlign w:val="center"/>
            <w:hideMark/>
          </w:tcPr>
          <w:p w14:paraId="0721C314"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mo </w:t>
            </w:r>
          </w:p>
        </w:tc>
        <w:tc>
          <w:tcPr>
            <w:tcW w:w="0" w:type="auto"/>
            <w:tcBorders>
              <w:top w:val="nil"/>
              <w:left w:val="nil"/>
              <w:bottom w:val="single" w:sz="4" w:space="0" w:color="auto"/>
              <w:right w:val="single" w:sz="4" w:space="0" w:color="auto"/>
            </w:tcBorders>
            <w:shd w:val="clear" w:color="auto" w:fill="auto"/>
            <w:vAlign w:val="center"/>
            <w:hideMark/>
          </w:tcPr>
          <w:p w14:paraId="35458E2A" w14:textId="3DBB8D1A" w:rsidR="005310F9" w:rsidRPr="00AA2617" w:rsidRDefault="005310F9" w:rsidP="00180406">
            <w:pPr>
              <w:spacing w:after="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24 </w:t>
            </w:r>
          </w:p>
        </w:tc>
        <w:tc>
          <w:tcPr>
            <w:tcW w:w="0" w:type="auto"/>
            <w:tcBorders>
              <w:top w:val="nil"/>
              <w:left w:val="nil"/>
              <w:bottom w:val="single" w:sz="4" w:space="0" w:color="auto"/>
              <w:right w:val="single" w:sz="4" w:space="0" w:color="auto"/>
            </w:tcBorders>
            <w:shd w:val="clear" w:color="auto" w:fill="auto"/>
            <w:noWrap/>
            <w:vAlign w:val="center"/>
            <w:hideMark/>
          </w:tcPr>
          <w:p w14:paraId="486BBF0F" w14:textId="0F1F1B51"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1,450 </w:t>
            </w:r>
          </w:p>
        </w:tc>
        <w:tc>
          <w:tcPr>
            <w:tcW w:w="0" w:type="auto"/>
            <w:tcBorders>
              <w:top w:val="nil"/>
              <w:left w:val="nil"/>
              <w:bottom w:val="single" w:sz="4" w:space="0" w:color="auto"/>
              <w:right w:val="single" w:sz="4" w:space="0" w:color="auto"/>
            </w:tcBorders>
            <w:shd w:val="clear" w:color="000000" w:fill="FDE9D9"/>
            <w:vAlign w:val="center"/>
            <w:hideMark/>
          </w:tcPr>
          <w:p w14:paraId="688D7CE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FDE9D9"/>
            <w:vAlign w:val="center"/>
            <w:hideMark/>
          </w:tcPr>
          <w:p w14:paraId="16FE636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DCE6F1"/>
            <w:vAlign w:val="center"/>
            <w:hideMark/>
          </w:tcPr>
          <w:p w14:paraId="3838D91D" w14:textId="1959BB12"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w:t>
            </w:r>
          </w:p>
        </w:tc>
        <w:tc>
          <w:tcPr>
            <w:tcW w:w="0" w:type="auto"/>
            <w:tcBorders>
              <w:top w:val="nil"/>
              <w:left w:val="nil"/>
              <w:bottom w:val="single" w:sz="4" w:space="0" w:color="auto"/>
              <w:right w:val="single" w:sz="4" w:space="0" w:color="auto"/>
            </w:tcBorders>
            <w:shd w:val="clear" w:color="000000" w:fill="EBF1DE"/>
            <w:vAlign w:val="center"/>
            <w:hideMark/>
          </w:tcPr>
          <w:p w14:paraId="77EDEDD2" w14:textId="7EDAEDF5"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w:t>
            </w:r>
          </w:p>
        </w:tc>
        <w:tc>
          <w:tcPr>
            <w:tcW w:w="0" w:type="auto"/>
            <w:tcBorders>
              <w:top w:val="nil"/>
              <w:left w:val="nil"/>
              <w:bottom w:val="single" w:sz="4" w:space="0" w:color="auto"/>
              <w:right w:val="nil"/>
            </w:tcBorders>
            <w:shd w:val="clear" w:color="000000" w:fill="E8D1FF"/>
            <w:vAlign w:val="center"/>
            <w:hideMark/>
          </w:tcPr>
          <w:p w14:paraId="7DC98BA5" w14:textId="19FBA1D1"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34,800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37FF2A9C" w14:textId="7BFCDDB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34,800 </w:t>
            </w:r>
          </w:p>
        </w:tc>
        <w:tc>
          <w:tcPr>
            <w:tcW w:w="0" w:type="auto"/>
            <w:tcBorders>
              <w:top w:val="nil"/>
              <w:left w:val="nil"/>
              <w:bottom w:val="single" w:sz="4" w:space="0" w:color="auto"/>
              <w:right w:val="nil"/>
            </w:tcBorders>
            <w:shd w:val="clear" w:color="auto" w:fill="auto"/>
            <w:vAlign w:val="center"/>
            <w:hideMark/>
          </w:tcPr>
          <w:p w14:paraId="53126B47" w14:textId="52779CD3" w:rsidR="005310F9" w:rsidRPr="00AA2617" w:rsidRDefault="00180406" w:rsidP="00AA2617">
            <w:pPr>
              <w:spacing w:after="0"/>
              <w:jc w:val="left"/>
              <w:rPr>
                <w:rFonts w:ascii="Arial Narrow" w:eastAsia="Times New Roman" w:hAnsi="Arial Narrow" w:cs="Times New Roman"/>
                <w:sz w:val="16"/>
                <w:szCs w:val="16"/>
                <w:lang w:eastAsia="ja-JP"/>
              </w:rPr>
            </w:pPr>
            <w:r>
              <w:rPr>
                <w:rFonts w:ascii="Arial Narrow" w:eastAsia="Times New Roman" w:hAnsi="Arial Narrow" w:cs="Times New Roman"/>
                <w:sz w:val="16"/>
                <w:szCs w:val="16"/>
                <w:lang w:eastAsia="ja-JP"/>
              </w:rPr>
              <w:t>1</w:t>
            </w:r>
            <w:r w:rsidR="005310F9" w:rsidRPr="00AA2617">
              <w:rPr>
                <w:rFonts w:ascii="Arial Narrow" w:eastAsia="Times New Roman" w:hAnsi="Arial Narrow" w:cs="Times New Roman"/>
                <w:sz w:val="16"/>
                <w:szCs w:val="16"/>
                <w:lang w:eastAsia="ja-JP"/>
              </w:rPr>
              <w:t xml:space="preserve">7,400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04AA5D03" w14:textId="387E8BE4"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17,400 </w:t>
            </w:r>
          </w:p>
        </w:tc>
      </w:tr>
      <w:tr w:rsidR="005310F9" w:rsidRPr="00AA2617" w14:paraId="58E85354"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3438F38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Finance / Procurement Associate </w:t>
            </w:r>
          </w:p>
        </w:tc>
        <w:tc>
          <w:tcPr>
            <w:tcW w:w="0" w:type="auto"/>
            <w:tcBorders>
              <w:top w:val="nil"/>
              <w:left w:val="nil"/>
              <w:bottom w:val="single" w:sz="4" w:space="0" w:color="auto"/>
              <w:right w:val="single" w:sz="4" w:space="0" w:color="auto"/>
            </w:tcBorders>
            <w:shd w:val="clear" w:color="auto" w:fill="auto"/>
            <w:vAlign w:val="center"/>
            <w:hideMark/>
          </w:tcPr>
          <w:p w14:paraId="07E32BC8"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mo </w:t>
            </w:r>
          </w:p>
        </w:tc>
        <w:tc>
          <w:tcPr>
            <w:tcW w:w="0" w:type="auto"/>
            <w:tcBorders>
              <w:top w:val="nil"/>
              <w:left w:val="nil"/>
              <w:bottom w:val="single" w:sz="4" w:space="0" w:color="auto"/>
              <w:right w:val="single" w:sz="4" w:space="0" w:color="auto"/>
            </w:tcBorders>
            <w:shd w:val="clear" w:color="auto" w:fill="auto"/>
            <w:vAlign w:val="center"/>
            <w:hideMark/>
          </w:tcPr>
          <w:p w14:paraId="311351CD" w14:textId="61BC238E" w:rsidR="005310F9" w:rsidRPr="00AA2617" w:rsidRDefault="005310F9" w:rsidP="00180406">
            <w:pPr>
              <w:spacing w:after="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24 </w:t>
            </w:r>
          </w:p>
        </w:tc>
        <w:tc>
          <w:tcPr>
            <w:tcW w:w="0" w:type="auto"/>
            <w:tcBorders>
              <w:top w:val="nil"/>
              <w:left w:val="nil"/>
              <w:bottom w:val="single" w:sz="4" w:space="0" w:color="auto"/>
              <w:right w:val="single" w:sz="4" w:space="0" w:color="auto"/>
            </w:tcBorders>
            <w:shd w:val="clear" w:color="auto" w:fill="auto"/>
            <w:noWrap/>
            <w:vAlign w:val="center"/>
            <w:hideMark/>
          </w:tcPr>
          <w:p w14:paraId="4D35FD83" w14:textId="2D473788"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1,819.9 </w:t>
            </w:r>
          </w:p>
        </w:tc>
        <w:tc>
          <w:tcPr>
            <w:tcW w:w="0" w:type="auto"/>
            <w:tcBorders>
              <w:top w:val="nil"/>
              <w:left w:val="nil"/>
              <w:bottom w:val="single" w:sz="4" w:space="0" w:color="auto"/>
              <w:right w:val="single" w:sz="4" w:space="0" w:color="auto"/>
            </w:tcBorders>
            <w:shd w:val="clear" w:color="000000" w:fill="FDE9D9"/>
            <w:vAlign w:val="center"/>
            <w:hideMark/>
          </w:tcPr>
          <w:p w14:paraId="2B4B74D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FDE9D9"/>
            <w:vAlign w:val="center"/>
            <w:hideMark/>
          </w:tcPr>
          <w:p w14:paraId="08CE255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DCE6F1"/>
            <w:vAlign w:val="center"/>
            <w:hideMark/>
          </w:tcPr>
          <w:p w14:paraId="677A334B" w14:textId="57E56FB8"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w:t>
            </w:r>
          </w:p>
        </w:tc>
        <w:tc>
          <w:tcPr>
            <w:tcW w:w="0" w:type="auto"/>
            <w:tcBorders>
              <w:top w:val="nil"/>
              <w:left w:val="nil"/>
              <w:bottom w:val="single" w:sz="4" w:space="0" w:color="auto"/>
              <w:right w:val="single" w:sz="4" w:space="0" w:color="auto"/>
            </w:tcBorders>
            <w:shd w:val="clear" w:color="000000" w:fill="EBF1DE"/>
            <w:vAlign w:val="center"/>
            <w:hideMark/>
          </w:tcPr>
          <w:p w14:paraId="560EBE27" w14:textId="5C51FEA4"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w:t>
            </w:r>
          </w:p>
        </w:tc>
        <w:tc>
          <w:tcPr>
            <w:tcW w:w="0" w:type="auto"/>
            <w:tcBorders>
              <w:top w:val="nil"/>
              <w:left w:val="nil"/>
              <w:bottom w:val="single" w:sz="4" w:space="0" w:color="auto"/>
              <w:right w:val="nil"/>
            </w:tcBorders>
            <w:shd w:val="clear" w:color="000000" w:fill="E8D1FF"/>
            <w:vAlign w:val="center"/>
            <w:hideMark/>
          </w:tcPr>
          <w:p w14:paraId="0EA1CC5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43,677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7027F35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43,677 </w:t>
            </w:r>
          </w:p>
        </w:tc>
        <w:tc>
          <w:tcPr>
            <w:tcW w:w="0" w:type="auto"/>
            <w:tcBorders>
              <w:top w:val="nil"/>
              <w:left w:val="nil"/>
              <w:bottom w:val="single" w:sz="4" w:space="0" w:color="auto"/>
              <w:right w:val="nil"/>
            </w:tcBorders>
            <w:shd w:val="clear" w:color="auto" w:fill="auto"/>
            <w:vAlign w:val="center"/>
            <w:hideMark/>
          </w:tcPr>
          <w:p w14:paraId="47AF98D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21,838.5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36864A9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21,838.5 </w:t>
            </w:r>
          </w:p>
        </w:tc>
      </w:tr>
      <w:tr w:rsidR="005310F9" w:rsidRPr="00AA2617" w14:paraId="3F283CDF" w14:textId="77777777" w:rsidTr="005310F9">
        <w:trPr>
          <w:trHeight w:val="300"/>
        </w:trPr>
        <w:tc>
          <w:tcPr>
            <w:tcW w:w="0" w:type="auto"/>
            <w:tcBorders>
              <w:top w:val="nil"/>
              <w:left w:val="single" w:sz="8" w:space="0" w:color="auto"/>
              <w:bottom w:val="nil"/>
              <w:right w:val="single" w:sz="4" w:space="0" w:color="auto"/>
            </w:tcBorders>
            <w:shd w:val="clear" w:color="auto" w:fill="auto"/>
            <w:vAlign w:val="center"/>
            <w:hideMark/>
          </w:tcPr>
          <w:p w14:paraId="63D19A80"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5300 Sub-total - Salaries, Professionals </w:t>
            </w:r>
          </w:p>
        </w:tc>
        <w:tc>
          <w:tcPr>
            <w:tcW w:w="0" w:type="auto"/>
            <w:tcBorders>
              <w:top w:val="nil"/>
              <w:left w:val="nil"/>
              <w:bottom w:val="single" w:sz="4" w:space="0" w:color="auto"/>
              <w:right w:val="single" w:sz="4" w:space="0" w:color="auto"/>
            </w:tcBorders>
            <w:shd w:val="clear" w:color="auto" w:fill="auto"/>
            <w:vAlign w:val="center"/>
            <w:hideMark/>
          </w:tcPr>
          <w:p w14:paraId="7B210A4C"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3D94F1BB"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160A70F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4" w:space="0" w:color="auto"/>
            </w:tcBorders>
            <w:shd w:val="clear" w:color="000000" w:fill="FDE9D9"/>
            <w:vAlign w:val="center"/>
            <w:hideMark/>
          </w:tcPr>
          <w:p w14:paraId="299CB25C"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FDE9D9"/>
            <w:vAlign w:val="center"/>
            <w:hideMark/>
          </w:tcPr>
          <w:p w14:paraId="7B734C35"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DCE6F1"/>
            <w:vAlign w:val="center"/>
            <w:hideMark/>
          </w:tcPr>
          <w:p w14:paraId="113F96D3"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EBF1DE"/>
            <w:vAlign w:val="center"/>
            <w:hideMark/>
          </w:tcPr>
          <w:p w14:paraId="4F89E302"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nil"/>
              <w:bottom w:val="single" w:sz="4" w:space="0" w:color="auto"/>
              <w:right w:val="nil"/>
            </w:tcBorders>
            <w:shd w:val="clear" w:color="000000" w:fill="E8D1FF"/>
            <w:vAlign w:val="center"/>
            <w:hideMark/>
          </w:tcPr>
          <w:p w14:paraId="77D6B311"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78,477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02A0903C"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78,477 </w:t>
            </w:r>
          </w:p>
        </w:tc>
        <w:tc>
          <w:tcPr>
            <w:tcW w:w="0" w:type="auto"/>
            <w:tcBorders>
              <w:top w:val="nil"/>
              <w:left w:val="nil"/>
              <w:bottom w:val="nil"/>
              <w:right w:val="single" w:sz="4" w:space="0" w:color="auto"/>
            </w:tcBorders>
            <w:shd w:val="clear" w:color="auto" w:fill="auto"/>
            <w:vAlign w:val="center"/>
            <w:hideMark/>
          </w:tcPr>
          <w:p w14:paraId="64CA076A"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39,239 </w:t>
            </w:r>
          </w:p>
        </w:tc>
        <w:tc>
          <w:tcPr>
            <w:tcW w:w="0" w:type="auto"/>
            <w:tcBorders>
              <w:top w:val="nil"/>
              <w:left w:val="nil"/>
              <w:bottom w:val="nil"/>
              <w:right w:val="single" w:sz="8" w:space="0" w:color="auto"/>
            </w:tcBorders>
            <w:shd w:val="clear" w:color="auto" w:fill="auto"/>
            <w:vAlign w:val="center"/>
            <w:hideMark/>
          </w:tcPr>
          <w:p w14:paraId="358B6180"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39,239 </w:t>
            </w:r>
          </w:p>
        </w:tc>
      </w:tr>
      <w:tr w:rsidR="005310F9" w:rsidRPr="00AA2617" w14:paraId="23B31F13" w14:textId="77777777" w:rsidTr="005310F9">
        <w:trPr>
          <w:trHeight w:val="300"/>
        </w:trPr>
        <w:tc>
          <w:tcPr>
            <w:tcW w:w="0" w:type="auto"/>
            <w:tcBorders>
              <w:top w:val="single" w:sz="4" w:space="0" w:color="auto"/>
              <w:left w:val="single" w:sz="8" w:space="0" w:color="auto"/>
              <w:bottom w:val="single" w:sz="4" w:space="0" w:color="auto"/>
              <w:right w:val="nil"/>
            </w:tcBorders>
            <w:shd w:val="clear" w:color="000000" w:fill="B4C6E7"/>
            <w:vAlign w:val="center"/>
            <w:hideMark/>
          </w:tcPr>
          <w:p w14:paraId="05B41AE5"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5570 Consultants </w:t>
            </w:r>
          </w:p>
        </w:tc>
        <w:tc>
          <w:tcPr>
            <w:tcW w:w="0" w:type="auto"/>
            <w:tcBorders>
              <w:top w:val="nil"/>
              <w:left w:val="nil"/>
              <w:bottom w:val="single" w:sz="4" w:space="0" w:color="auto"/>
              <w:right w:val="nil"/>
            </w:tcBorders>
            <w:shd w:val="clear" w:color="000000" w:fill="B4C6E7"/>
            <w:vAlign w:val="center"/>
            <w:hideMark/>
          </w:tcPr>
          <w:p w14:paraId="69787B8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4E282763"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757BDB0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2B8E821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1522AC5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6E3B421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7263C2D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7837E6B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139ABE2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327D45D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single" w:sz="8" w:space="0" w:color="auto"/>
            </w:tcBorders>
            <w:shd w:val="clear" w:color="000000" w:fill="B4C6E7"/>
            <w:vAlign w:val="center"/>
            <w:hideMark/>
          </w:tcPr>
          <w:p w14:paraId="0AEC3B7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r>
      <w:tr w:rsidR="005310F9" w:rsidRPr="00AA2617" w14:paraId="2FA3C90C" w14:textId="77777777" w:rsidTr="005310F9">
        <w:trPr>
          <w:trHeight w:val="300"/>
        </w:trPr>
        <w:tc>
          <w:tcPr>
            <w:tcW w:w="0" w:type="auto"/>
            <w:tcBorders>
              <w:top w:val="nil"/>
              <w:left w:val="single" w:sz="8" w:space="0" w:color="auto"/>
              <w:bottom w:val="single" w:sz="4" w:space="0" w:color="auto"/>
              <w:right w:val="nil"/>
            </w:tcBorders>
            <w:shd w:val="clear" w:color="000000" w:fill="D9E1F2"/>
            <w:vAlign w:val="center"/>
            <w:hideMark/>
          </w:tcPr>
          <w:p w14:paraId="29BBEEA0" w14:textId="77777777" w:rsidR="005310F9" w:rsidRPr="00AA2617" w:rsidRDefault="005310F9" w:rsidP="00AA2617">
            <w:pPr>
              <w:spacing w:after="0"/>
              <w:jc w:val="left"/>
              <w:outlineLvl w:val="0"/>
              <w:rPr>
                <w:rFonts w:ascii="Arial Narrow" w:eastAsia="Times New Roman" w:hAnsi="Arial Narrow" w:cs="Times New Roman"/>
                <w:b/>
                <w:bCs/>
                <w:i/>
                <w:iCs/>
                <w:sz w:val="16"/>
                <w:szCs w:val="16"/>
                <w:lang w:eastAsia="ja-JP"/>
              </w:rPr>
            </w:pPr>
            <w:r w:rsidRPr="00AA2617">
              <w:rPr>
                <w:rFonts w:ascii="Arial Narrow" w:eastAsia="Times New Roman" w:hAnsi="Arial Narrow" w:cs="Times New Roman"/>
                <w:b/>
                <w:bCs/>
                <w:i/>
                <w:iCs/>
                <w:sz w:val="16"/>
                <w:szCs w:val="16"/>
                <w:lang w:eastAsia="ja-JP"/>
              </w:rPr>
              <w:t xml:space="preserve"> International Consultants </w:t>
            </w:r>
          </w:p>
        </w:tc>
        <w:tc>
          <w:tcPr>
            <w:tcW w:w="0" w:type="auto"/>
            <w:tcBorders>
              <w:top w:val="nil"/>
              <w:left w:val="nil"/>
              <w:bottom w:val="single" w:sz="4" w:space="0" w:color="auto"/>
              <w:right w:val="nil"/>
            </w:tcBorders>
            <w:shd w:val="clear" w:color="000000" w:fill="D9E1F2"/>
            <w:vAlign w:val="center"/>
            <w:hideMark/>
          </w:tcPr>
          <w:p w14:paraId="29BE37FC"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01767972" w14:textId="77777777" w:rsidR="005310F9" w:rsidRPr="00AA2617" w:rsidRDefault="005310F9" w:rsidP="00AA2617">
            <w:pPr>
              <w:spacing w:after="0"/>
              <w:jc w:val="center"/>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391DB50D"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43B774C3"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70073541"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5F92E557"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217515A5"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23CC2905"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6A4E62A1"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5C2AB512"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8" w:space="0" w:color="auto"/>
            </w:tcBorders>
            <w:shd w:val="clear" w:color="000000" w:fill="D9E1F2"/>
            <w:vAlign w:val="center"/>
            <w:hideMark/>
          </w:tcPr>
          <w:p w14:paraId="6D7153AB"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r>
      <w:tr w:rsidR="005310F9" w:rsidRPr="00AA2617" w14:paraId="2C993E13"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3964AA00"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Livestock MRV Specialist </w:t>
            </w:r>
          </w:p>
        </w:tc>
        <w:tc>
          <w:tcPr>
            <w:tcW w:w="0" w:type="auto"/>
            <w:tcBorders>
              <w:top w:val="nil"/>
              <w:left w:val="nil"/>
              <w:bottom w:val="single" w:sz="4" w:space="0" w:color="auto"/>
              <w:right w:val="single" w:sz="4" w:space="0" w:color="auto"/>
            </w:tcBorders>
            <w:shd w:val="clear" w:color="auto" w:fill="auto"/>
            <w:vAlign w:val="center"/>
            <w:hideMark/>
          </w:tcPr>
          <w:p w14:paraId="65DA9744" w14:textId="77777777" w:rsidR="005310F9" w:rsidRPr="00AA2617" w:rsidRDefault="005310F9" w:rsidP="00AA2617">
            <w:pPr>
              <w:spacing w:after="0"/>
              <w:jc w:val="center"/>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day </w:t>
            </w:r>
          </w:p>
        </w:tc>
        <w:tc>
          <w:tcPr>
            <w:tcW w:w="0" w:type="auto"/>
            <w:tcBorders>
              <w:top w:val="nil"/>
              <w:left w:val="nil"/>
              <w:bottom w:val="single" w:sz="4" w:space="0" w:color="auto"/>
              <w:right w:val="single" w:sz="4" w:space="0" w:color="auto"/>
            </w:tcBorders>
            <w:shd w:val="clear" w:color="auto" w:fill="auto"/>
            <w:vAlign w:val="center"/>
            <w:hideMark/>
          </w:tcPr>
          <w:p w14:paraId="0DEA00AB" w14:textId="278CE3D2" w:rsidR="005310F9" w:rsidRPr="00AA2617" w:rsidRDefault="005310F9" w:rsidP="00180406">
            <w:pPr>
              <w:spacing w:after="0"/>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40 </w:t>
            </w:r>
          </w:p>
        </w:tc>
        <w:tc>
          <w:tcPr>
            <w:tcW w:w="0" w:type="auto"/>
            <w:tcBorders>
              <w:top w:val="nil"/>
              <w:left w:val="nil"/>
              <w:bottom w:val="single" w:sz="4" w:space="0" w:color="auto"/>
              <w:right w:val="single" w:sz="4" w:space="0" w:color="auto"/>
            </w:tcBorders>
            <w:shd w:val="clear" w:color="auto" w:fill="auto"/>
            <w:vAlign w:val="center"/>
            <w:hideMark/>
          </w:tcPr>
          <w:p w14:paraId="6528685A" w14:textId="1458C3E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450 </w:t>
            </w:r>
          </w:p>
        </w:tc>
        <w:tc>
          <w:tcPr>
            <w:tcW w:w="0" w:type="auto"/>
            <w:tcBorders>
              <w:top w:val="nil"/>
              <w:left w:val="nil"/>
              <w:bottom w:val="single" w:sz="4" w:space="0" w:color="auto"/>
              <w:right w:val="single" w:sz="4" w:space="0" w:color="auto"/>
            </w:tcBorders>
            <w:shd w:val="clear" w:color="000000" w:fill="FDE9D9"/>
            <w:vAlign w:val="center"/>
            <w:hideMark/>
          </w:tcPr>
          <w:p w14:paraId="5A38226E"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4,800 </w:t>
            </w:r>
          </w:p>
        </w:tc>
        <w:tc>
          <w:tcPr>
            <w:tcW w:w="0" w:type="auto"/>
            <w:tcBorders>
              <w:top w:val="nil"/>
              <w:left w:val="nil"/>
              <w:bottom w:val="single" w:sz="4" w:space="0" w:color="auto"/>
              <w:right w:val="single" w:sz="4" w:space="0" w:color="auto"/>
            </w:tcBorders>
            <w:shd w:val="clear" w:color="000000" w:fill="FDE9D9"/>
            <w:vAlign w:val="center"/>
            <w:hideMark/>
          </w:tcPr>
          <w:p w14:paraId="368DB8B8"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1,200 </w:t>
            </w:r>
          </w:p>
        </w:tc>
        <w:tc>
          <w:tcPr>
            <w:tcW w:w="0" w:type="auto"/>
            <w:tcBorders>
              <w:top w:val="nil"/>
              <w:left w:val="nil"/>
              <w:bottom w:val="single" w:sz="4" w:space="0" w:color="auto"/>
              <w:right w:val="single" w:sz="4" w:space="0" w:color="auto"/>
            </w:tcBorders>
            <w:shd w:val="clear" w:color="000000" w:fill="DCE6F1"/>
            <w:vAlign w:val="center"/>
            <w:hideMark/>
          </w:tcPr>
          <w:p w14:paraId="75F42DC0" w14:textId="273D4F8A"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6,000 </w:t>
            </w:r>
          </w:p>
        </w:tc>
        <w:tc>
          <w:tcPr>
            <w:tcW w:w="0" w:type="auto"/>
            <w:tcBorders>
              <w:top w:val="nil"/>
              <w:left w:val="nil"/>
              <w:bottom w:val="single" w:sz="4" w:space="0" w:color="auto"/>
              <w:right w:val="single" w:sz="4" w:space="0" w:color="auto"/>
            </w:tcBorders>
            <w:shd w:val="clear" w:color="000000" w:fill="EBF1DE"/>
            <w:vAlign w:val="center"/>
            <w:hideMark/>
          </w:tcPr>
          <w:p w14:paraId="338C26D2" w14:textId="32159CBE"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6,000 </w:t>
            </w:r>
          </w:p>
        </w:tc>
        <w:tc>
          <w:tcPr>
            <w:tcW w:w="0" w:type="auto"/>
            <w:tcBorders>
              <w:top w:val="nil"/>
              <w:left w:val="nil"/>
              <w:bottom w:val="single" w:sz="4" w:space="0" w:color="auto"/>
              <w:right w:val="nil"/>
            </w:tcBorders>
            <w:shd w:val="clear" w:color="000000" w:fill="E8D1FF"/>
            <w:vAlign w:val="center"/>
            <w:hideMark/>
          </w:tcPr>
          <w:p w14:paraId="22BA1ABC" w14:textId="77777777"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58A06CF8" w14:textId="0E1A0352"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18,000 </w:t>
            </w:r>
          </w:p>
        </w:tc>
        <w:tc>
          <w:tcPr>
            <w:tcW w:w="0" w:type="auto"/>
            <w:tcBorders>
              <w:top w:val="nil"/>
              <w:left w:val="nil"/>
              <w:bottom w:val="single" w:sz="4" w:space="0" w:color="auto"/>
              <w:right w:val="single" w:sz="4" w:space="0" w:color="auto"/>
            </w:tcBorders>
            <w:shd w:val="clear" w:color="auto" w:fill="auto"/>
            <w:vAlign w:val="center"/>
            <w:hideMark/>
          </w:tcPr>
          <w:p w14:paraId="1D815BA9" w14:textId="4324A91B"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13,500 </w:t>
            </w:r>
          </w:p>
        </w:tc>
        <w:tc>
          <w:tcPr>
            <w:tcW w:w="0" w:type="auto"/>
            <w:tcBorders>
              <w:top w:val="nil"/>
              <w:left w:val="nil"/>
              <w:bottom w:val="single" w:sz="4" w:space="0" w:color="auto"/>
              <w:right w:val="single" w:sz="8" w:space="0" w:color="auto"/>
            </w:tcBorders>
            <w:shd w:val="clear" w:color="auto" w:fill="auto"/>
            <w:vAlign w:val="center"/>
            <w:hideMark/>
          </w:tcPr>
          <w:p w14:paraId="06A615A6" w14:textId="6BC51C3B" w:rsidR="005310F9" w:rsidRPr="00AA2617" w:rsidRDefault="005310F9" w:rsidP="00AA2617">
            <w:pPr>
              <w:spacing w:after="0"/>
              <w:jc w:val="left"/>
              <w:outlineLvl w:val="0"/>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4,500 </w:t>
            </w:r>
          </w:p>
        </w:tc>
      </w:tr>
      <w:tr w:rsidR="005310F9" w:rsidRPr="00AA2617" w14:paraId="4BED2998" w14:textId="77777777" w:rsidTr="005310F9">
        <w:trPr>
          <w:trHeight w:val="300"/>
        </w:trPr>
        <w:tc>
          <w:tcPr>
            <w:tcW w:w="0" w:type="auto"/>
            <w:tcBorders>
              <w:top w:val="nil"/>
              <w:left w:val="single" w:sz="8" w:space="0" w:color="auto"/>
              <w:bottom w:val="nil"/>
              <w:right w:val="single" w:sz="4" w:space="0" w:color="auto"/>
            </w:tcBorders>
            <w:shd w:val="clear" w:color="auto" w:fill="auto"/>
            <w:vAlign w:val="center"/>
            <w:hideMark/>
          </w:tcPr>
          <w:p w14:paraId="0DEF1E4C" w14:textId="77777777" w:rsidR="005310F9" w:rsidRPr="00AA2617" w:rsidRDefault="005310F9" w:rsidP="00AA2617">
            <w:pPr>
              <w:spacing w:after="0"/>
              <w:jc w:val="left"/>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Sub-total - International Consultants </w:t>
            </w:r>
          </w:p>
        </w:tc>
        <w:tc>
          <w:tcPr>
            <w:tcW w:w="0" w:type="auto"/>
            <w:tcBorders>
              <w:top w:val="nil"/>
              <w:left w:val="nil"/>
              <w:bottom w:val="single" w:sz="4" w:space="0" w:color="auto"/>
              <w:right w:val="single" w:sz="4" w:space="0" w:color="auto"/>
            </w:tcBorders>
            <w:shd w:val="clear" w:color="auto" w:fill="auto"/>
            <w:vAlign w:val="center"/>
            <w:hideMark/>
          </w:tcPr>
          <w:p w14:paraId="2969F059" w14:textId="77777777" w:rsidR="005310F9" w:rsidRPr="00AA2617" w:rsidRDefault="005310F9" w:rsidP="00AA2617">
            <w:pPr>
              <w:spacing w:after="0"/>
              <w:jc w:val="center"/>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60365CA6" w14:textId="77777777" w:rsidR="005310F9" w:rsidRPr="00AA2617" w:rsidRDefault="005310F9" w:rsidP="00AA2617">
            <w:pPr>
              <w:spacing w:after="0"/>
              <w:jc w:val="center"/>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208D2FBD" w14:textId="77777777" w:rsidR="005310F9" w:rsidRPr="00AA2617" w:rsidRDefault="005310F9" w:rsidP="00AA2617">
            <w:pPr>
              <w:spacing w:after="0"/>
              <w:jc w:val="left"/>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w:t>
            </w:r>
          </w:p>
        </w:tc>
        <w:tc>
          <w:tcPr>
            <w:tcW w:w="0" w:type="auto"/>
            <w:tcBorders>
              <w:top w:val="nil"/>
              <w:left w:val="nil"/>
              <w:bottom w:val="single" w:sz="4" w:space="0" w:color="auto"/>
              <w:right w:val="single" w:sz="4" w:space="0" w:color="auto"/>
            </w:tcBorders>
            <w:shd w:val="clear" w:color="000000" w:fill="FDE9D9"/>
            <w:vAlign w:val="center"/>
            <w:hideMark/>
          </w:tcPr>
          <w:p w14:paraId="636D1A8F" w14:textId="77777777" w:rsidR="005310F9" w:rsidRPr="00AA2617" w:rsidRDefault="005310F9" w:rsidP="00AA2617">
            <w:pPr>
              <w:spacing w:after="0"/>
              <w:jc w:val="left"/>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4,800 </w:t>
            </w:r>
          </w:p>
        </w:tc>
        <w:tc>
          <w:tcPr>
            <w:tcW w:w="0" w:type="auto"/>
            <w:tcBorders>
              <w:top w:val="nil"/>
              <w:left w:val="nil"/>
              <w:bottom w:val="single" w:sz="4" w:space="0" w:color="auto"/>
              <w:right w:val="single" w:sz="4" w:space="0" w:color="auto"/>
            </w:tcBorders>
            <w:shd w:val="clear" w:color="000000" w:fill="FDE9D9"/>
            <w:vAlign w:val="center"/>
            <w:hideMark/>
          </w:tcPr>
          <w:p w14:paraId="6BA0C2ED" w14:textId="77777777" w:rsidR="005310F9" w:rsidRPr="00AA2617" w:rsidRDefault="005310F9" w:rsidP="00AA2617">
            <w:pPr>
              <w:spacing w:after="0"/>
              <w:jc w:val="left"/>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1,200 </w:t>
            </w:r>
          </w:p>
        </w:tc>
        <w:tc>
          <w:tcPr>
            <w:tcW w:w="0" w:type="auto"/>
            <w:tcBorders>
              <w:top w:val="nil"/>
              <w:left w:val="nil"/>
              <w:bottom w:val="single" w:sz="4" w:space="0" w:color="auto"/>
              <w:right w:val="single" w:sz="4" w:space="0" w:color="auto"/>
            </w:tcBorders>
            <w:shd w:val="clear" w:color="000000" w:fill="DCE6F1"/>
            <w:vAlign w:val="center"/>
            <w:hideMark/>
          </w:tcPr>
          <w:p w14:paraId="1162FC48" w14:textId="77777777" w:rsidR="005310F9" w:rsidRPr="00AA2617" w:rsidRDefault="005310F9" w:rsidP="00AA2617">
            <w:pPr>
              <w:spacing w:after="0"/>
              <w:jc w:val="left"/>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6,000 </w:t>
            </w:r>
          </w:p>
        </w:tc>
        <w:tc>
          <w:tcPr>
            <w:tcW w:w="0" w:type="auto"/>
            <w:tcBorders>
              <w:top w:val="nil"/>
              <w:left w:val="nil"/>
              <w:bottom w:val="single" w:sz="4" w:space="0" w:color="auto"/>
              <w:right w:val="single" w:sz="4" w:space="0" w:color="auto"/>
            </w:tcBorders>
            <w:shd w:val="clear" w:color="000000" w:fill="EBF1DE"/>
            <w:vAlign w:val="center"/>
            <w:hideMark/>
          </w:tcPr>
          <w:p w14:paraId="1D750524" w14:textId="77777777" w:rsidR="005310F9" w:rsidRPr="00AA2617" w:rsidRDefault="005310F9" w:rsidP="00AA2617">
            <w:pPr>
              <w:spacing w:after="0"/>
              <w:jc w:val="left"/>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6,000 </w:t>
            </w:r>
          </w:p>
        </w:tc>
        <w:tc>
          <w:tcPr>
            <w:tcW w:w="0" w:type="auto"/>
            <w:tcBorders>
              <w:top w:val="nil"/>
              <w:left w:val="nil"/>
              <w:bottom w:val="single" w:sz="4" w:space="0" w:color="auto"/>
              <w:right w:val="nil"/>
            </w:tcBorders>
            <w:shd w:val="clear" w:color="000000" w:fill="E8D1FF"/>
            <w:vAlign w:val="center"/>
            <w:hideMark/>
          </w:tcPr>
          <w:p w14:paraId="2D52E549" w14:textId="77777777" w:rsidR="005310F9" w:rsidRPr="00AA2617" w:rsidRDefault="005310F9" w:rsidP="00AA2617">
            <w:pPr>
              <w:spacing w:after="0"/>
              <w:jc w:val="left"/>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   </w:t>
            </w:r>
          </w:p>
        </w:tc>
        <w:tc>
          <w:tcPr>
            <w:tcW w:w="0" w:type="auto"/>
            <w:tcBorders>
              <w:top w:val="nil"/>
              <w:left w:val="single" w:sz="4" w:space="0" w:color="auto"/>
              <w:bottom w:val="nil"/>
              <w:right w:val="single" w:sz="8" w:space="0" w:color="auto"/>
            </w:tcBorders>
            <w:shd w:val="clear" w:color="000000" w:fill="D3D3D3"/>
            <w:vAlign w:val="center"/>
            <w:hideMark/>
          </w:tcPr>
          <w:p w14:paraId="6032E5A1" w14:textId="77777777" w:rsidR="005310F9" w:rsidRPr="00AA2617" w:rsidRDefault="005310F9" w:rsidP="00AA2617">
            <w:pPr>
              <w:spacing w:after="0"/>
              <w:jc w:val="left"/>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18,000 </w:t>
            </w:r>
          </w:p>
        </w:tc>
        <w:tc>
          <w:tcPr>
            <w:tcW w:w="0" w:type="auto"/>
            <w:tcBorders>
              <w:top w:val="nil"/>
              <w:left w:val="nil"/>
              <w:bottom w:val="nil"/>
              <w:right w:val="single" w:sz="4" w:space="0" w:color="auto"/>
            </w:tcBorders>
            <w:shd w:val="clear" w:color="auto" w:fill="auto"/>
            <w:vAlign w:val="center"/>
            <w:hideMark/>
          </w:tcPr>
          <w:p w14:paraId="1BA02F9A" w14:textId="77777777" w:rsidR="005310F9" w:rsidRPr="00AA2617" w:rsidRDefault="005310F9" w:rsidP="00AA2617">
            <w:pPr>
              <w:spacing w:after="0"/>
              <w:jc w:val="left"/>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13,500 </w:t>
            </w:r>
          </w:p>
        </w:tc>
        <w:tc>
          <w:tcPr>
            <w:tcW w:w="0" w:type="auto"/>
            <w:tcBorders>
              <w:top w:val="nil"/>
              <w:left w:val="nil"/>
              <w:bottom w:val="nil"/>
              <w:right w:val="single" w:sz="8" w:space="0" w:color="auto"/>
            </w:tcBorders>
            <w:shd w:val="clear" w:color="auto" w:fill="auto"/>
            <w:vAlign w:val="center"/>
            <w:hideMark/>
          </w:tcPr>
          <w:p w14:paraId="6B4EDFD0" w14:textId="77777777" w:rsidR="005310F9" w:rsidRPr="00AA2617" w:rsidRDefault="005310F9" w:rsidP="00AA2617">
            <w:pPr>
              <w:spacing w:after="0"/>
              <w:jc w:val="left"/>
              <w:outlineLvl w:val="0"/>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4,500 </w:t>
            </w:r>
          </w:p>
        </w:tc>
      </w:tr>
      <w:tr w:rsidR="005310F9" w:rsidRPr="00AA2617" w14:paraId="6D3FF59B" w14:textId="77777777" w:rsidTr="005310F9">
        <w:trPr>
          <w:trHeight w:val="300"/>
        </w:trPr>
        <w:tc>
          <w:tcPr>
            <w:tcW w:w="0" w:type="auto"/>
            <w:tcBorders>
              <w:top w:val="single" w:sz="4" w:space="0" w:color="auto"/>
              <w:left w:val="single" w:sz="8" w:space="0" w:color="auto"/>
              <w:bottom w:val="single" w:sz="4" w:space="0" w:color="auto"/>
              <w:right w:val="nil"/>
            </w:tcBorders>
            <w:shd w:val="clear" w:color="000000" w:fill="D9E1F2"/>
            <w:vAlign w:val="center"/>
            <w:hideMark/>
          </w:tcPr>
          <w:p w14:paraId="64618FF2" w14:textId="77777777" w:rsidR="005310F9" w:rsidRPr="00AA2617" w:rsidRDefault="005310F9" w:rsidP="00AA2617">
            <w:pPr>
              <w:spacing w:after="0"/>
              <w:jc w:val="left"/>
              <w:rPr>
                <w:rFonts w:ascii="Arial Narrow" w:eastAsia="Times New Roman" w:hAnsi="Arial Narrow" w:cs="Times New Roman"/>
                <w:b/>
                <w:bCs/>
                <w:i/>
                <w:iCs/>
                <w:sz w:val="16"/>
                <w:szCs w:val="16"/>
                <w:lang w:eastAsia="ja-JP"/>
              </w:rPr>
            </w:pPr>
            <w:r w:rsidRPr="00AA2617">
              <w:rPr>
                <w:rFonts w:ascii="Arial Narrow" w:eastAsia="Times New Roman" w:hAnsi="Arial Narrow" w:cs="Times New Roman"/>
                <w:b/>
                <w:bCs/>
                <w:i/>
                <w:iCs/>
                <w:sz w:val="16"/>
                <w:szCs w:val="16"/>
                <w:lang w:eastAsia="ja-JP"/>
              </w:rPr>
              <w:t xml:space="preserve"> National Consultants </w:t>
            </w:r>
          </w:p>
        </w:tc>
        <w:tc>
          <w:tcPr>
            <w:tcW w:w="0" w:type="auto"/>
            <w:tcBorders>
              <w:top w:val="nil"/>
              <w:left w:val="nil"/>
              <w:bottom w:val="single" w:sz="4" w:space="0" w:color="auto"/>
              <w:right w:val="nil"/>
            </w:tcBorders>
            <w:shd w:val="clear" w:color="000000" w:fill="D9E1F2"/>
            <w:vAlign w:val="center"/>
            <w:hideMark/>
          </w:tcPr>
          <w:p w14:paraId="0DDC2E0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52DF7B38"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6286ECA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6D31D6A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2C04948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46C3644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50E9B73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D9E1F2"/>
            <w:vAlign w:val="center"/>
            <w:hideMark/>
          </w:tcPr>
          <w:p w14:paraId="31270CF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D9E1F2"/>
            <w:vAlign w:val="center"/>
            <w:hideMark/>
          </w:tcPr>
          <w:p w14:paraId="4228C12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D9E1F2"/>
            <w:vAlign w:val="center"/>
            <w:hideMark/>
          </w:tcPr>
          <w:p w14:paraId="3087178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single" w:sz="8" w:space="0" w:color="auto"/>
            </w:tcBorders>
            <w:shd w:val="clear" w:color="000000" w:fill="D9E1F2"/>
            <w:vAlign w:val="center"/>
            <w:hideMark/>
          </w:tcPr>
          <w:p w14:paraId="499ED43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r>
      <w:tr w:rsidR="005310F9" w:rsidRPr="00AA2617" w14:paraId="206AFD3F"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49BE1AE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National Project Manager </w:t>
            </w:r>
          </w:p>
        </w:tc>
        <w:tc>
          <w:tcPr>
            <w:tcW w:w="0" w:type="auto"/>
            <w:tcBorders>
              <w:top w:val="nil"/>
              <w:left w:val="nil"/>
              <w:bottom w:val="single" w:sz="4" w:space="0" w:color="auto"/>
              <w:right w:val="single" w:sz="4" w:space="0" w:color="auto"/>
            </w:tcBorders>
            <w:shd w:val="clear" w:color="auto" w:fill="auto"/>
            <w:vAlign w:val="center"/>
            <w:hideMark/>
          </w:tcPr>
          <w:p w14:paraId="1D1B7A85"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mo </w:t>
            </w:r>
          </w:p>
        </w:tc>
        <w:tc>
          <w:tcPr>
            <w:tcW w:w="0" w:type="auto"/>
            <w:tcBorders>
              <w:top w:val="nil"/>
              <w:left w:val="nil"/>
              <w:bottom w:val="single" w:sz="4" w:space="0" w:color="auto"/>
              <w:right w:val="single" w:sz="4" w:space="0" w:color="auto"/>
            </w:tcBorders>
            <w:shd w:val="clear" w:color="auto" w:fill="auto"/>
            <w:vAlign w:val="center"/>
            <w:hideMark/>
          </w:tcPr>
          <w:p w14:paraId="42380F4B"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24 </w:t>
            </w:r>
          </w:p>
        </w:tc>
        <w:tc>
          <w:tcPr>
            <w:tcW w:w="0" w:type="auto"/>
            <w:tcBorders>
              <w:top w:val="nil"/>
              <w:left w:val="nil"/>
              <w:bottom w:val="single" w:sz="4" w:space="0" w:color="auto"/>
              <w:right w:val="single" w:sz="4" w:space="0" w:color="auto"/>
            </w:tcBorders>
            <w:shd w:val="clear" w:color="auto" w:fill="auto"/>
            <w:vAlign w:val="center"/>
            <w:hideMark/>
          </w:tcPr>
          <w:p w14:paraId="7BAF74F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1,160 </w:t>
            </w:r>
          </w:p>
        </w:tc>
        <w:tc>
          <w:tcPr>
            <w:tcW w:w="0" w:type="auto"/>
            <w:tcBorders>
              <w:top w:val="nil"/>
              <w:left w:val="nil"/>
              <w:bottom w:val="single" w:sz="4" w:space="0" w:color="auto"/>
              <w:right w:val="single" w:sz="4" w:space="0" w:color="auto"/>
            </w:tcBorders>
            <w:shd w:val="clear" w:color="000000" w:fill="FDE9D9"/>
            <w:vAlign w:val="center"/>
            <w:hideMark/>
          </w:tcPr>
          <w:p w14:paraId="1526A42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20,000 </w:t>
            </w:r>
          </w:p>
        </w:tc>
        <w:tc>
          <w:tcPr>
            <w:tcW w:w="0" w:type="auto"/>
            <w:tcBorders>
              <w:top w:val="nil"/>
              <w:left w:val="nil"/>
              <w:bottom w:val="single" w:sz="4" w:space="0" w:color="auto"/>
              <w:right w:val="single" w:sz="4" w:space="0" w:color="auto"/>
            </w:tcBorders>
            <w:shd w:val="clear" w:color="000000" w:fill="FDE9D9"/>
            <w:vAlign w:val="center"/>
            <w:hideMark/>
          </w:tcPr>
          <w:p w14:paraId="067390F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5,000 </w:t>
            </w:r>
          </w:p>
        </w:tc>
        <w:tc>
          <w:tcPr>
            <w:tcW w:w="0" w:type="auto"/>
            <w:tcBorders>
              <w:top w:val="nil"/>
              <w:left w:val="nil"/>
              <w:bottom w:val="single" w:sz="4" w:space="0" w:color="auto"/>
              <w:right w:val="single" w:sz="4" w:space="0" w:color="auto"/>
            </w:tcBorders>
            <w:shd w:val="clear" w:color="000000" w:fill="DCE6F1"/>
            <w:vAlign w:val="center"/>
            <w:hideMark/>
          </w:tcPr>
          <w:p w14:paraId="1A8DC4D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EBF1DE"/>
            <w:vAlign w:val="center"/>
            <w:hideMark/>
          </w:tcPr>
          <w:p w14:paraId="4BC5A69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2,840 </w:t>
            </w:r>
          </w:p>
        </w:tc>
        <w:tc>
          <w:tcPr>
            <w:tcW w:w="0" w:type="auto"/>
            <w:tcBorders>
              <w:top w:val="nil"/>
              <w:left w:val="nil"/>
              <w:bottom w:val="single" w:sz="4" w:space="0" w:color="auto"/>
              <w:right w:val="nil"/>
            </w:tcBorders>
            <w:shd w:val="clear" w:color="000000" w:fill="E8D1FF"/>
            <w:vAlign w:val="center"/>
            <w:hideMark/>
          </w:tcPr>
          <w:p w14:paraId="78953FC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10BBB8D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27,840 </w:t>
            </w:r>
          </w:p>
        </w:tc>
        <w:tc>
          <w:tcPr>
            <w:tcW w:w="0" w:type="auto"/>
            <w:tcBorders>
              <w:top w:val="nil"/>
              <w:left w:val="nil"/>
              <w:bottom w:val="single" w:sz="4" w:space="0" w:color="auto"/>
              <w:right w:val="single" w:sz="4" w:space="0" w:color="auto"/>
            </w:tcBorders>
            <w:shd w:val="clear" w:color="auto" w:fill="auto"/>
            <w:vAlign w:val="center"/>
            <w:hideMark/>
          </w:tcPr>
          <w:p w14:paraId="0CAECEF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13,920 </w:t>
            </w:r>
          </w:p>
        </w:tc>
        <w:tc>
          <w:tcPr>
            <w:tcW w:w="0" w:type="auto"/>
            <w:tcBorders>
              <w:top w:val="nil"/>
              <w:left w:val="nil"/>
              <w:bottom w:val="single" w:sz="4" w:space="0" w:color="auto"/>
              <w:right w:val="single" w:sz="8" w:space="0" w:color="auto"/>
            </w:tcBorders>
            <w:shd w:val="clear" w:color="auto" w:fill="auto"/>
            <w:vAlign w:val="center"/>
            <w:hideMark/>
          </w:tcPr>
          <w:p w14:paraId="2946E92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13,920 </w:t>
            </w:r>
          </w:p>
        </w:tc>
      </w:tr>
      <w:tr w:rsidR="005310F9" w:rsidRPr="00AA2617" w14:paraId="569A2329"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4382145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Technical Assistant </w:t>
            </w:r>
          </w:p>
        </w:tc>
        <w:tc>
          <w:tcPr>
            <w:tcW w:w="0" w:type="auto"/>
            <w:tcBorders>
              <w:top w:val="nil"/>
              <w:left w:val="nil"/>
              <w:bottom w:val="single" w:sz="4" w:space="0" w:color="auto"/>
              <w:right w:val="single" w:sz="4" w:space="0" w:color="auto"/>
            </w:tcBorders>
            <w:shd w:val="clear" w:color="auto" w:fill="auto"/>
            <w:vAlign w:val="center"/>
            <w:hideMark/>
          </w:tcPr>
          <w:p w14:paraId="7052CE6D"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mo </w:t>
            </w:r>
          </w:p>
        </w:tc>
        <w:tc>
          <w:tcPr>
            <w:tcW w:w="0" w:type="auto"/>
            <w:tcBorders>
              <w:top w:val="nil"/>
              <w:left w:val="nil"/>
              <w:bottom w:val="single" w:sz="4" w:space="0" w:color="auto"/>
              <w:right w:val="single" w:sz="4" w:space="0" w:color="auto"/>
            </w:tcBorders>
            <w:shd w:val="clear" w:color="auto" w:fill="auto"/>
            <w:vAlign w:val="center"/>
            <w:hideMark/>
          </w:tcPr>
          <w:p w14:paraId="33C62BBA"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24 </w:t>
            </w:r>
          </w:p>
        </w:tc>
        <w:tc>
          <w:tcPr>
            <w:tcW w:w="0" w:type="auto"/>
            <w:tcBorders>
              <w:top w:val="nil"/>
              <w:left w:val="nil"/>
              <w:bottom w:val="single" w:sz="4" w:space="0" w:color="auto"/>
              <w:right w:val="single" w:sz="4" w:space="0" w:color="auto"/>
            </w:tcBorders>
            <w:shd w:val="clear" w:color="auto" w:fill="auto"/>
            <w:vAlign w:val="center"/>
            <w:hideMark/>
          </w:tcPr>
          <w:p w14:paraId="5488496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900 </w:t>
            </w:r>
          </w:p>
        </w:tc>
        <w:tc>
          <w:tcPr>
            <w:tcW w:w="0" w:type="auto"/>
            <w:tcBorders>
              <w:top w:val="nil"/>
              <w:left w:val="nil"/>
              <w:bottom w:val="single" w:sz="4" w:space="0" w:color="auto"/>
              <w:right w:val="single" w:sz="4" w:space="0" w:color="auto"/>
            </w:tcBorders>
            <w:shd w:val="clear" w:color="000000" w:fill="FDE9D9"/>
            <w:vAlign w:val="center"/>
            <w:hideMark/>
          </w:tcPr>
          <w:p w14:paraId="0B759FA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10,800 </w:t>
            </w:r>
          </w:p>
        </w:tc>
        <w:tc>
          <w:tcPr>
            <w:tcW w:w="0" w:type="auto"/>
            <w:tcBorders>
              <w:top w:val="nil"/>
              <w:left w:val="nil"/>
              <w:bottom w:val="single" w:sz="4" w:space="0" w:color="auto"/>
              <w:right w:val="single" w:sz="4" w:space="0" w:color="auto"/>
            </w:tcBorders>
            <w:shd w:val="clear" w:color="000000" w:fill="FDE9D9"/>
            <w:vAlign w:val="center"/>
            <w:hideMark/>
          </w:tcPr>
          <w:p w14:paraId="3A7BC22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2,700 </w:t>
            </w:r>
          </w:p>
        </w:tc>
        <w:tc>
          <w:tcPr>
            <w:tcW w:w="0" w:type="auto"/>
            <w:tcBorders>
              <w:top w:val="nil"/>
              <w:left w:val="nil"/>
              <w:bottom w:val="single" w:sz="4" w:space="0" w:color="auto"/>
              <w:right w:val="single" w:sz="4" w:space="0" w:color="auto"/>
            </w:tcBorders>
            <w:shd w:val="clear" w:color="000000" w:fill="DCE6F1"/>
            <w:vAlign w:val="center"/>
            <w:hideMark/>
          </w:tcPr>
          <w:p w14:paraId="38D5551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7,000 </w:t>
            </w:r>
          </w:p>
        </w:tc>
        <w:tc>
          <w:tcPr>
            <w:tcW w:w="0" w:type="auto"/>
            <w:tcBorders>
              <w:top w:val="nil"/>
              <w:left w:val="nil"/>
              <w:bottom w:val="single" w:sz="4" w:space="0" w:color="auto"/>
              <w:right w:val="single" w:sz="4" w:space="0" w:color="auto"/>
            </w:tcBorders>
            <w:shd w:val="clear" w:color="000000" w:fill="EBF1DE"/>
            <w:vAlign w:val="center"/>
            <w:hideMark/>
          </w:tcPr>
          <w:p w14:paraId="6B2E799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1,100 </w:t>
            </w:r>
          </w:p>
        </w:tc>
        <w:tc>
          <w:tcPr>
            <w:tcW w:w="0" w:type="auto"/>
            <w:tcBorders>
              <w:top w:val="nil"/>
              <w:left w:val="nil"/>
              <w:bottom w:val="single" w:sz="4" w:space="0" w:color="auto"/>
              <w:right w:val="nil"/>
            </w:tcBorders>
            <w:shd w:val="clear" w:color="000000" w:fill="E8D1FF"/>
            <w:vAlign w:val="center"/>
            <w:hideMark/>
          </w:tcPr>
          <w:p w14:paraId="70FCA4E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274FDBC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21,600 </w:t>
            </w:r>
          </w:p>
        </w:tc>
        <w:tc>
          <w:tcPr>
            <w:tcW w:w="0" w:type="auto"/>
            <w:tcBorders>
              <w:top w:val="nil"/>
              <w:left w:val="nil"/>
              <w:bottom w:val="single" w:sz="4" w:space="0" w:color="auto"/>
              <w:right w:val="single" w:sz="4" w:space="0" w:color="auto"/>
            </w:tcBorders>
            <w:shd w:val="clear" w:color="auto" w:fill="auto"/>
            <w:vAlign w:val="center"/>
            <w:hideMark/>
          </w:tcPr>
          <w:p w14:paraId="3DAE7C3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10,800 </w:t>
            </w:r>
          </w:p>
        </w:tc>
        <w:tc>
          <w:tcPr>
            <w:tcW w:w="0" w:type="auto"/>
            <w:tcBorders>
              <w:top w:val="nil"/>
              <w:left w:val="nil"/>
              <w:bottom w:val="single" w:sz="4" w:space="0" w:color="auto"/>
              <w:right w:val="single" w:sz="8" w:space="0" w:color="auto"/>
            </w:tcBorders>
            <w:shd w:val="clear" w:color="auto" w:fill="auto"/>
            <w:vAlign w:val="center"/>
            <w:hideMark/>
          </w:tcPr>
          <w:p w14:paraId="69E0228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10,800 </w:t>
            </w:r>
          </w:p>
        </w:tc>
      </w:tr>
      <w:tr w:rsidR="005310F9" w:rsidRPr="00AA2617" w14:paraId="347AAFC5"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7243AE9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Decision-support Specialist </w:t>
            </w:r>
          </w:p>
        </w:tc>
        <w:tc>
          <w:tcPr>
            <w:tcW w:w="0" w:type="auto"/>
            <w:tcBorders>
              <w:top w:val="nil"/>
              <w:left w:val="nil"/>
              <w:bottom w:val="single" w:sz="4" w:space="0" w:color="auto"/>
              <w:right w:val="single" w:sz="4" w:space="0" w:color="auto"/>
            </w:tcBorders>
            <w:shd w:val="clear" w:color="auto" w:fill="auto"/>
            <w:vAlign w:val="center"/>
            <w:hideMark/>
          </w:tcPr>
          <w:p w14:paraId="298EAB42"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mo </w:t>
            </w:r>
          </w:p>
        </w:tc>
        <w:tc>
          <w:tcPr>
            <w:tcW w:w="0" w:type="auto"/>
            <w:tcBorders>
              <w:top w:val="nil"/>
              <w:left w:val="nil"/>
              <w:bottom w:val="single" w:sz="4" w:space="0" w:color="auto"/>
              <w:right w:val="single" w:sz="4" w:space="0" w:color="auto"/>
            </w:tcBorders>
            <w:shd w:val="clear" w:color="auto" w:fill="auto"/>
            <w:vAlign w:val="center"/>
            <w:hideMark/>
          </w:tcPr>
          <w:p w14:paraId="614CBDF2"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24 </w:t>
            </w:r>
          </w:p>
        </w:tc>
        <w:tc>
          <w:tcPr>
            <w:tcW w:w="0" w:type="auto"/>
            <w:tcBorders>
              <w:top w:val="nil"/>
              <w:left w:val="nil"/>
              <w:bottom w:val="single" w:sz="4" w:space="0" w:color="auto"/>
              <w:right w:val="single" w:sz="4" w:space="0" w:color="auto"/>
            </w:tcBorders>
            <w:shd w:val="clear" w:color="auto" w:fill="auto"/>
            <w:vAlign w:val="center"/>
            <w:hideMark/>
          </w:tcPr>
          <w:p w14:paraId="581FC4E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900 </w:t>
            </w:r>
          </w:p>
        </w:tc>
        <w:tc>
          <w:tcPr>
            <w:tcW w:w="0" w:type="auto"/>
            <w:tcBorders>
              <w:top w:val="nil"/>
              <w:left w:val="nil"/>
              <w:bottom w:val="single" w:sz="4" w:space="0" w:color="auto"/>
              <w:right w:val="single" w:sz="4" w:space="0" w:color="auto"/>
            </w:tcBorders>
            <w:shd w:val="clear" w:color="000000" w:fill="FDE9D9"/>
            <w:vAlign w:val="center"/>
            <w:hideMark/>
          </w:tcPr>
          <w:p w14:paraId="55D0CF0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15,800 </w:t>
            </w:r>
          </w:p>
        </w:tc>
        <w:tc>
          <w:tcPr>
            <w:tcW w:w="0" w:type="auto"/>
            <w:tcBorders>
              <w:top w:val="nil"/>
              <w:left w:val="nil"/>
              <w:bottom w:val="single" w:sz="4" w:space="0" w:color="auto"/>
              <w:right w:val="single" w:sz="4" w:space="0" w:color="auto"/>
            </w:tcBorders>
            <w:shd w:val="clear" w:color="000000" w:fill="FDE9D9"/>
            <w:vAlign w:val="center"/>
            <w:hideMark/>
          </w:tcPr>
          <w:p w14:paraId="46A2C02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2,400 </w:t>
            </w:r>
          </w:p>
        </w:tc>
        <w:tc>
          <w:tcPr>
            <w:tcW w:w="0" w:type="auto"/>
            <w:tcBorders>
              <w:top w:val="nil"/>
              <w:left w:val="nil"/>
              <w:bottom w:val="single" w:sz="4" w:space="0" w:color="auto"/>
              <w:right w:val="single" w:sz="4" w:space="0" w:color="auto"/>
            </w:tcBorders>
            <w:shd w:val="clear" w:color="000000" w:fill="DCE6F1"/>
            <w:vAlign w:val="center"/>
            <w:hideMark/>
          </w:tcPr>
          <w:p w14:paraId="6CB2104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2,000 </w:t>
            </w:r>
          </w:p>
        </w:tc>
        <w:tc>
          <w:tcPr>
            <w:tcW w:w="0" w:type="auto"/>
            <w:tcBorders>
              <w:top w:val="nil"/>
              <w:left w:val="nil"/>
              <w:bottom w:val="single" w:sz="4" w:space="0" w:color="auto"/>
              <w:right w:val="single" w:sz="4" w:space="0" w:color="auto"/>
            </w:tcBorders>
            <w:shd w:val="clear" w:color="000000" w:fill="EBF1DE"/>
            <w:vAlign w:val="center"/>
            <w:hideMark/>
          </w:tcPr>
          <w:p w14:paraId="0628310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1,400 </w:t>
            </w:r>
          </w:p>
        </w:tc>
        <w:tc>
          <w:tcPr>
            <w:tcW w:w="0" w:type="auto"/>
            <w:tcBorders>
              <w:top w:val="nil"/>
              <w:left w:val="nil"/>
              <w:bottom w:val="single" w:sz="4" w:space="0" w:color="auto"/>
              <w:right w:val="nil"/>
            </w:tcBorders>
            <w:shd w:val="clear" w:color="000000" w:fill="E8D1FF"/>
            <w:vAlign w:val="center"/>
            <w:hideMark/>
          </w:tcPr>
          <w:p w14:paraId="4EEE292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21AE3CF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21,600 </w:t>
            </w:r>
          </w:p>
        </w:tc>
        <w:tc>
          <w:tcPr>
            <w:tcW w:w="0" w:type="auto"/>
            <w:tcBorders>
              <w:top w:val="nil"/>
              <w:left w:val="nil"/>
              <w:bottom w:val="single" w:sz="4" w:space="0" w:color="auto"/>
              <w:right w:val="single" w:sz="4" w:space="0" w:color="auto"/>
            </w:tcBorders>
            <w:shd w:val="clear" w:color="auto" w:fill="auto"/>
            <w:vAlign w:val="center"/>
            <w:hideMark/>
          </w:tcPr>
          <w:p w14:paraId="3465FAF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10,800 </w:t>
            </w:r>
          </w:p>
        </w:tc>
        <w:tc>
          <w:tcPr>
            <w:tcW w:w="0" w:type="auto"/>
            <w:tcBorders>
              <w:top w:val="nil"/>
              <w:left w:val="nil"/>
              <w:bottom w:val="single" w:sz="4" w:space="0" w:color="auto"/>
              <w:right w:val="single" w:sz="8" w:space="0" w:color="auto"/>
            </w:tcBorders>
            <w:shd w:val="clear" w:color="auto" w:fill="auto"/>
            <w:vAlign w:val="center"/>
            <w:hideMark/>
          </w:tcPr>
          <w:p w14:paraId="4758CB4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10,800 </w:t>
            </w:r>
          </w:p>
        </w:tc>
      </w:tr>
      <w:tr w:rsidR="005310F9" w:rsidRPr="00AA2617" w14:paraId="41E3E0C9"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61B5D7A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National Consultant - Climate Change Mitigation </w:t>
            </w:r>
          </w:p>
        </w:tc>
        <w:tc>
          <w:tcPr>
            <w:tcW w:w="0" w:type="auto"/>
            <w:tcBorders>
              <w:top w:val="nil"/>
              <w:left w:val="nil"/>
              <w:bottom w:val="single" w:sz="4" w:space="0" w:color="auto"/>
              <w:right w:val="single" w:sz="4" w:space="0" w:color="auto"/>
            </w:tcBorders>
            <w:shd w:val="clear" w:color="auto" w:fill="auto"/>
            <w:vAlign w:val="center"/>
            <w:hideMark/>
          </w:tcPr>
          <w:p w14:paraId="181F1FA0"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mo </w:t>
            </w:r>
          </w:p>
        </w:tc>
        <w:tc>
          <w:tcPr>
            <w:tcW w:w="0" w:type="auto"/>
            <w:tcBorders>
              <w:top w:val="nil"/>
              <w:left w:val="nil"/>
              <w:bottom w:val="single" w:sz="4" w:space="0" w:color="auto"/>
              <w:right w:val="single" w:sz="4" w:space="0" w:color="auto"/>
            </w:tcBorders>
            <w:shd w:val="clear" w:color="auto" w:fill="auto"/>
            <w:vAlign w:val="center"/>
            <w:hideMark/>
          </w:tcPr>
          <w:p w14:paraId="7D0CFD8F"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24 </w:t>
            </w:r>
          </w:p>
        </w:tc>
        <w:tc>
          <w:tcPr>
            <w:tcW w:w="0" w:type="auto"/>
            <w:tcBorders>
              <w:top w:val="nil"/>
              <w:left w:val="nil"/>
              <w:bottom w:val="single" w:sz="4" w:space="0" w:color="auto"/>
              <w:right w:val="single" w:sz="4" w:space="0" w:color="auto"/>
            </w:tcBorders>
            <w:shd w:val="clear" w:color="auto" w:fill="auto"/>
            <w:vAlign w:val="center"/>
            <w:hideMark/>
          </w:tcPr>
          <w:p w14:paraId="76685F3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1,160 </w:t>
            </w:r>
          </w:p>
        </w:tc>
        <w:tc>
          <w:tcPr>
            <w:tcW w:w="0" w:type="auto"/>
            <w:tcBorders>
              <w:top w:val="nil"/>
              <w:left w:val="nil"/>
              <w:bottom w:val="single" w:sz="4" w:space="0" w:color="auto"/>
              <w:right w:val="single" w:sz="4" w:space="0" w:color="auto"/>
            </w:tcBorders>
            <w:shd w:val="clear" w:color="000000" w:fill="FDE9D9"/>
            <w:vAlign w:val="center"/>
            <w:hideMark/>
          </w:tcPr>
          <w:p w14:paraId="1D1AB6F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1,000 </w:t>
            </w:r>
          </w:p>
        </w:tc>
        <w:tc>
          <w:tcPr>
            <w:tcW w:w="0" w:type="auto"/>
            <w:tcBorders>
              <w:top w:val="nil"/>
              <w:left w:val="nil"/>
              <w:bottom w:val="single" w:sz="4" w:space="0" w:color="auto"/>
              <w:right w:val="single" w:sz="4" w:space="0" w:color="auto"/>
            </w:tcBorders>
            <w:shd w:val="clear" w:color="000000" w:fill="FDE9D9"/>
            <w:vAlign w:val="center"/>
            <w:hideMark/>
          </w:tcPr>
          <w:p w14:paraId="24E951A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5,340 </w:t>
            </w:r>
          </w:p>
        </w:tc>
        <w:tc>
          <w:tcPr>
            <w:tcW w:w="0" w:type="auto"/>
            <w:tcBorders>
              <w:top w:val="nil"/>
              <w:left w:val="nil"/>
              <w:bottom w:val="single" w:sz="4" w:space="0" w:color="auto"/>
              <w:right w:val="single" w:sz="4" w:space="0" w:color="auto"/>
            </w:tcBorders>
            <w:shd w:val="clear" w:color="000000" w:fill="DCE6F1"/>
            <w:vAlign w:val="center"/>
            <w:hideMark/>
          </w:tcPr>
          <w:p w14:paraId="25ED870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19,000 </w:t>
            </w:r>
          </w:p>
        </w:tc>
        <w:tc>
          <w:tcPr>
            <w:tcW w:w="0" w:type="auto"/>
            <w:tcBorders>
              <w:top w:val="nil"/>
              <w:left w:val="nil"/>
              <w:bottom w:val="single" w:sz="4" w:space="0" w:color="auto"/>
              <w:right w:val="single" w:sz="4" w:space="0" w:color="auto"/>
            </w:tcBorders>
            <w:shd w:val="clear" w:color="000000" w:fill="EBF1DE"/>
            <w:vAlign w:val="center"/>
            <w:hideMark/>
          </w:tcPr>
          <w:p w14:paraId="2461BC7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2,500 </w:t>
            </w:r>
          </w:p>
        </w:tc>
        <w:tc>
          <w:tcPr>
            <w:tcW w:w="0" w:type="auto"/>
            <w:tcBorders>
              <w:top w:val="nil"/>
              <w:left w:val="nil"/>
              <w:bottom w:val="single" w:sz="4" w:space="0" w:color="auto"/>
              <w:right w:val="nil"/>
            </w:tcBorders>
            <w:shd w:val="clear" w:color="000000" w:fill="E8D1FF"/>
            <w:vAlign w:val="center"/>
            <w:hideMark/>
          </w:tcPr>
          <w:p w14:paraId="5488A99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19DE660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27,840 </w:t>
            </w:r>
          </w:p>
        </w:tc>
        <w:tc>
          <w:tcPr>
            <w:tcW w:w="0" w:type="auto"/>
            <w:tcBorders>
              <w:top w:val="nil"/>
              <w:left w:val="nil"/>
              <w:bottom w:val="single" w:sz="4" w:space="0" w:color="auto"/>
              <w:right w:val="single" w:sz="4" w:space="0" w:color="auto"/>
            </w:tcBorders>
            <w:shd w:val="clear" w:color="auto" w:fill="auto"/>
            <w:vAlign w:val="center"/>
            <w:hideMark/>
          </w:tcPr>
          <w:p w14:paraId="03FC535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13,920 </w:t>
            </w:r>
          </w:p>
        </w:tc>
        <w:tc>
          <w:tcPr>
            <w:tcW w:w="0" w:type="auto"/>
            <w:tcBorders>
              <w:top w:val="nil"/>
              <w:left w:val="nil"/>
              <w:bottom w:val="single" w:sz="4" w:space="0" w:color="auto"/>
              <w:right w:val="single" w:sz="8" w:space="0" w:color="auto"/>
            </w:tcBorders>
            <w:shd w:val="clear" w:color="auto" w:fill="auto"/>
            <w:vAlign w:val="center"/>
            <w:hideMark/>
          </w:tcPr>
          <w:p w14:paraId="0216DB3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13,920 </w:t>
            </w:r>
          </w:p>
        </w:tc>
      </w:tr>
      <w:tr w:rsidR="005310F9" w:rsidRPr="00AA2617" w14:paraId="09C90665"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5E334DC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National Consultant - Climate Change Adaptation </w:t>
            </w:r>
          </w:p>
        </w:tc>
        <w:tc>
          <w:tcPr>
            <w:tcW w:w="0" w:type="auto"/>
            <w:tcBorders>
              <w:top w:val="nil"/>
              <w:left w:val="nil"/>
              <w:bottom w:val="single" w:sz="4" w:space="0" w:color="auto"/>
              <w:right w:val="single" w:sz="4" w:space="0" w:color="auto"/>
            </w:tcBorders>
            <w:shd w:val="clear" w:color="auto" w:fill="auto"/>
            <w:vAlign w:val="center"/>
            <w:hideMark/>
          </w:tcPr>
          <w:p w14:paraId="713B6BBC"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mo </w:t>
            </w:r>
          </w:p>
        </w:tc>
        <w:tc>
          <w:tcPr>
            <w:tcW w:w="0" w:type="auto"/>
            <w:tcBorders>
              <w:top w:val="nil"/>
              <w:left w:val="nil"/>
              <w:bottom w:val="single" w:sz="4" w:space="0" w:color="auto"/>
              <w:right w:val="single" w:sz="4" w:space="0" w:color="auto"/>
            </w:tcBorders>
            <w:shd w:val="clear" w:color="auto" w:fill="auto"/>
            <w:vAlign w:val="center"/>
            <w:hideMark/>
          </w:tcPr>
          <w:p w14:paraId="0FA0FE17"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24 </w:t>
            </w:r>
          </w:p>
        </w:tc>
        <w:tc>
          <w:tcPr>
            <w:tcW w:w="0" w:type="auto"/>
            <w:tcBorders>
              <w:top w:val="nil"/>
              <w:left w:val="nil"/>
              <w:bottom w:val="single" w:sz="4" w:space="0" w:color="auto"/>
              <w:right w:val="single" w:sz="4" w:space="0" w:color="auto"/>
            </w:tcBorders>
            <w:shd w:val="clear" w:color="auto" w:fill="auto"/>
            <w:vAlign w:val="center"/>
            <w:hideMark/>
          </w:tcPr>
          <w:p w14:paraId="2E40765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1,160 </w:t>
            </w:r>
          </w:p>
        </w:tc>
        <w:tc>
          <w:tcPr>
            <w:tcW w:w="0" w:type="auto"/>
            <w:tcBorders>
              <w:top w:val="nil"/>
              <w:left w:val="nil"/>
              <w:bottom w:val="single" w:sz="4" w:space="0" w:color="auto"/>
              <w:right w:val="single" w:sz="4" w:space="0" w:color="auto"/>
            </w:tcBorders>
            <w:shd w:val="clear" w:color="000000" w:fill="FDE9D9"/>
            <w:vAlign w:val="center"/>
            <w:hideMark/>
          </w:tcPr>
          <w:p w14:paraId="7A0809F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1,000 </w:t>
            </w:r>
          </w:p>
        </w:tc>
        <w:tc>
          <w:tcPr>
            <w:tcW w:w="0" w:type="auto"/>
            <w:tcBorders>
              <w:top w:val="nil"/>
              <w:left w:val="nil"/>
              <w:bottom w:val="single" w:sz="4" w:space="0" w:color="auto"/>
              <w:right w:val="single" w:sz="4" w:space="0" w:color="auto"/>
            </w:tcBorders>
            <w:shd w:val="clear" w:color="000000" w:fill="FDE9D9"/>
            <w:vAlign w:val="center"/>
            <w:hideMark/>
          </w:tcPr>
          <w:p w14:paraId="217260C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5,340 </w:t>
            </w:r>
          </w:p>
        </w:tc>
        <w:tc>
          <w:tcPr>
            <w:tcW w:w="0" w:type="auto"/>
            <w:tcBorders>
              <w:top w:val="nil"/>
              <w:left w:val="nil"/>
              <w:bottom w:val="single" w:sz="4" w:space="0" w:color="auto"/>
              <w:right w:val="single" w:sz="4" w:space="0" w:color="auto"/>
            </w:tcBorders>
            <w:shd w:val="clear" w:color="000000" w:fill="DCE6F1"/>
            <w:vAlign w:val="center"/>
            <w:hideMark/>
          </w:tcPr>
          <w:p w14:paraId="3BF89B3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2,500 </w:t>
            </w:r>
          </w:p>
        </w:tc>
        <w:tc>
          <w:tcPr>
            <w:tcW w:w="0" w:type="auto"/>
            <w:tcBorders>
              <w:top w:val="nil"/>
              <w:left w:val="nil"/>
              <w:bottom w:val="single" w:sz="4" w:space="0" w:color="auto"/>
              <w:right w:val="single" w:sz="4" w:space="0" w:color="auto"/>
            </w:tcBorders>
            <w:shd w:val="clear" w:color="000000" w:fill="EBF1DE"/>
            <w:vAlign w:val="center"/>
            <w:hideMark/>
          </w:tcPr>
          <w:p w14:paraId="4B67B21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19,000 </w:t>
            </w:r>
          </w:p>
        </w:tc>
        <w:tc>
          <w:tcPr>
            <w:tcW w:w="0" w:type="auto"/>
            <w:tcBorders>
              <w:top w:val="nil"/>
              <w:left w:val="nil"/>
              <w:bottom w:val="single" w:sz="4" w:space="0" w:color="auto"/>
              <w:right w:val="nil"/>
            </w:tcBorders>
            <w:shd w:val="clear" w:color="000000" w:fill="E8D1FF"/>
            <w:vAlign w:val="center"/>
            <w:hideMark/>
          </w:tcPr>
          <w:p w14:paraId="642935F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1C0905E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27,840 </w:t>
            </w:r>
          </w:p>
        </w:tc>
        <w:tc>
          <w:tcPr>
            <w:tcW w:w="0" w:type="auto"/>
            <w:tcBorders>
              <w:top w:val="nil"/>
              <w:left w:val="nil"/>
              <w:bottom w:val="single" w:sz="4" w:space="0" w:color="auto"/>
              <w:right w:val="single" w:sz="4" w:space="0" w:color="auto"/>
            </w:tcBorders>
            <w:shd w:val="clear" w:color="auto" w:fill="auto"/>
            <w:vAlign w:val="center"/>
            <w:hideMark/>
          </w:tcPr>
          <w:p w14:paraId="2133297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13,920 </w:t>
            </w:r>
          </w:p>
        </w:tc>
        <w:tc>
          <w:tcPr>
            <w:tcW w:w="0" w:type="auto"/>
            <w:tcBorders>
              <w:top w:val="nil"/>
              <w:left w:val="nil"/>
              <w:bottom w:val="single" w:sz="4" w:space="0" w:color="auto"/>
              <w:right w:val="single" w:sz="8" w:space="0" w:color="auto"/>
            </w:tcBorders>
            <w:shd w:val="clear" w:color="auto" w:fill="auto"/>
            <w:vAlign w:val="center"/>
            <w:hideMark/>
          </w:tcPr>
          <w:p w14:paraId="42CB3BF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13,920 </w:t>
            </w:r>
          </w:p>
        </w:tc>
      </w:tr>
      <w:tr w:rsidR="005310F9" w:rsidRPr="00AA2617" w14:paraId="260B6D59"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00070DFD"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Sub-total - National Consultants </w:t>
            </w:r>
          </w:p>
        </w:tc>
        <w:tc>
          <w:tcPr>
            <w:tcW w:w="0" w:type="auto"/>
            <w:tcBorders>
              <w:top w:val="nil"/>
              <w:left w:val="nil"/>
              <w:bottom w:val="single" w:sz="4" w:space="0" w:color="auto"/>
              <w:right w:val="single" w:sz="4" w:space="0" w:color="auto"/>
            </w:tcBorders>
            <w:shd w:val="clear" w:color="auto" w:fill="auto"/>
            <w:vAlign w:val="center"/>
            <w:hideMark/>
          </w:tcPr>
          <w:p w14:paraId="29B0465A"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6A87C150" w14:textId="77777777" w:rsidR="005310F9" w:rsidRPr="00AA2617" w:rsidRDefault="005310F9" w:rsidP="00AA2617">
            <w:pPr>
              <w:spacing w:after="0"/>
              <w:jc w:val="center"/>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751000A3"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w:t>
            </w:r>
          </w:p>
        </w:tc>
        <w:tc>
          <w:tcPr>
            <w:tcW w:w="0" w:type="auto"/>
            <w:tcBorders>
              <w:top w:val="nil"/>
              <w:left w:val="nil"/>
              <w:bottom w:val="single" w:sz="4" w:space="0" w:color="auto"/>
              <w:right w:val="single" w:sz="4" w:space="0" w:color="auto"/>
            </w:tcBorders>
            <w:shd w:val="clear" w:color="000000" w:fill="FDE9D9"/>
            <w:noWrap/>
            <w:vAlign w:val="center"/>
            <w:hideMark/>
          </w:tcPr>
          <w:p w14:paraId="01F5609C"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48,600 </w:t>
            </w:r>
          </w:p>
        </w:tc>
        <w:tc>
          <w:tcPr>
            <w:tcW w:w="0" w:type="auto"/>
            <w:tcBorders>
              <w:top w:val="nil"/>
              <w:left w:val="nil"/>
              <w:bottom w:val="single" w:sz="4" w:space="0" w:color="auto"/>
              <w:right w:val="single" w:sz="4" w:space="0" w:color="auto"/>
            </w:tcBorders>
            <w:shd w:val="clear" w:color="000000" w:fill="FDE9D9"/>
            <w:noWrap/>
            <w:vAlign w:val="center"/>
            <w:hideMark/>
          </w:tcPr>
          <w:p w14:paraId="3D87E9A8"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20,780 </w:t>
            </w:r>
          </w:p>
        </w:tc>
        <w:tc>
          <w:tcPr>
            <w:tcW w:w="0" w:type="auto"/>
            <w:tcBorders>
              <w:top w:val="nil"/>
              <w:left w:val="nil"/>
              <w:bottom w:val="single" w:sz="4" w:space="0" w:color="auto"/>
              <w:right w:val="single" w:sz="4" w:space="0" w:color="auto"/>
            </w:tcBorders>
            <w:shd w:val="clear" w:color="000000" w:fill="DCE6F1"/>
            <w:vAlign w:val="center"/>
            <w:hideMark/>
          </w:tcPr>
          <w:p w14:paraId="221BB996"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30,500 </w:t>
            </w:r>
          </w:p>
        </w:tc>
        <w:tc>
          <w:tcPr>
            <w:tcW w:w="0" w:type="auto"/>
            <w:tcBorders>
              <w:top w:val="nil"/>
              <w:left w:val="nil"/>
              <w:bottom w:val="single" w:sz="4" w:space="0" w:color="auto"/>
              <w:right w:val="single" w:sz="4" w:space="0" w:color="auto"/>
            </w:tcBorders>
            <w:shd w:val="clear" w:color="000000" w:fill="EBF1DE"/>
            <w:vAlign w:val="center"/>
            <w:hideMark/>
          </w:tcPr>
          <w:p w14:paraId="1CAB7B06"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26,840 </w:t>
            </w:r>
          </w:p>
        </w:tc>
        <w:tc>
          <w:tcPr>
            <w:tcW w:w="0" w:type="auto"/>
            <w:tcBorders>
              <w:top w:val="nil"/>
              <w:left w:val="nil"/>
              <w:bottom w:val="single" w:sz="4" w:space="0" w:color="auto"/>
              <w:right w:val="nil"/>
            </w:tcBorders>
            <w:shd w:val="clear" w:color="000000" w:fill="E8D1FF"/>
            <w:vAlign w:val="center"/>
            <w:hideMark/>
          </w:tcPr>
          <w:p w14:paraId="799B4C40"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55C9207F"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126,720 </w:t>
            </w:r>
          </w:p>
        </w:tc>
        <w:tc>
          <w:tcPr>
            <w:tcW w:w="0" w:type="auto"/>
            <w:tcBorders>
              <w:top w:val="nil"/>
              <w:left w:val="nil"/>
              <w:bottom w:val="single" w:sz="4" w:space="0" w:color="auto"/>
              <w:right w:val="single" w:sz="4" w:space="0" w:color="auto"/>
            </w:tcBorders>
            <w:shd w:val="clear" w:color="auto" w:fill="auto"/>
            <w:vAlign w:val="center"/>
            <w:hideMark/>
          </w:tcPr>
          <w:p w14:paraId="1FF07BAF"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63,360 </w:t>
            </w:r>
          </w:p>
        </w:tc>
        <w:tc>
          <w:tcPr>
            <w:tcW w:w="0" w:type="auto"/>
            <w:tcBorders>
              <w:top w:val="nil"/>
              <w:left w:val="nil"/>
              <w:bottom w:val="single" w:sz="4" w:space="0" w:color="auto"/>
              <w:right w:val="single" w:sz="8" w:space="0" w:color="auto"/>
            </w:tcBorders>
            <w:shd w:val="clear" w:color="auto" w:fill="auto"/>
            <w:vAlign w:val="center"/>
            <w:hideMark/>
          </w:tcPr>
          <w:p w14:paraId="67C5B05A" w14:textId="77777777" w:rsidR="005310F9" w:rsidRPr="00AA2617" w:rsidRDefault="005310F9" w:rsidP="00AA2617">
            <w:pPr>
              <w:spacing w:after="0"/>
              <w:jc w:val="left"/>
              <w:rPr>
                <w:rFonts w:ascii="Arial Narrow" w:eastAsia="Times New Roman" w:hAnsi="Arial Narrow" w:cs="Times New Roman"/>
                <w:i/>
                <w:iCs/>
                <w:sz w:val="16"/>
                <w:szCs w:val="16"/>
                <w:lang w:eastAsia="ja-JP"/>
              </w:rPr>
            </w:pPr>
            <w:r w:rsidRPr="00AA2617">
              <w:rPr>
                <w:rFonts w:ascii="Arial Narrow" w:eastAsia="Times New Roman" w:hAnsi="Arial Narrow" w:cs="Times New Roman"/>
                <w:i/>
                <w:iCs/>
                <w:sz w:val="16"/>
                <w:szCs w:val="16"/>
                <w:lang w:eastAsia="ja-JP"/>
              </w:rPr>
              <w:t xml:space="preserve">                   63,360 </w:t>
            </w:r>
          </w:p>
        </w:tc>
      </w:tr>
      <w:tr w:rsidR="005310F9" w:rsidRPr="00AA2617" w14:paraId="645B4A46" w14:textId="77777777" w:rsidTr="005310F9">
        <w:trPr>
          <w:trHeight w:val="300"/>
        </w:trPr>
        <w:tc>
          <w:tcPr>
            <w:tcW w:w="0" w:type="auto"/>
            <w:tcBorders>
              <w:top w:val="nil"/>
              <w:left w:val="single" w:sz="8" w:space="0" w:color="auto"/>
              <w:bottom w:val="nil"/>
              <w:right w:val="single" w:sz="4" w:space="0" w:color="auto"/>
            </w:tcBorders>
            <w:shd w:val="clear" w:color="auto" w:fill="auto"/>
            <w:vAlign w:val="center"/>
            <w:hideMark/>
          </w:tcPr>
          <w:p w14:paraId="1F6EC474"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5570 Sub-total - Consultants </w:t>
            </w:r>
          </w:p>
        </w:tc>
        <w:tc>
          <w:tcPr>
            <w:tcW w:w="0" w:type="auto"/>
            <w:tcBorders>
              <w:top w:val="nil"/>
              <w:left w:val="nil"/>
              <w:bottom w:val="nil"/>
              <w:right w:val="single" w:sz="4" w:space="0" w:color="auto"/>
            </w:tcBorders>
            <w:shd w:val="clear" w:color="auto" w:fill="auto"/>
            <w:vAlign w:val="center"/>
            <w:hideMark/>
          </w:tcPr>
          <w:p w14:paraId="777356C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nil"/>
              <w:right w:val="single" w:sz="4" w:space="0" w:color="auto"/>
            </w:tcBorders>
            <w:shd w:val="clear" w:color="auto" w:fill="auto"/>
            <w:vAlign w:val="center"/>
            <w:hideMark/>
          </w:tcPr>
          <w:p w14:paraId="1ED5ED50"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nil"/>
              <w:right w:val="single" w:sz="4" w:space="0" w:color="auto"/>
            </w:tcBorders>
            <w:shd w:val="clear" w:color="auto" w:fill="auto"/>
            <w:vAlign w:val="center"/>
            <w:hideMark/>
          </w:tcPr>
          <w:p w14:paraId="0FFDCCD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4" w:space="0" w:color="auto"/>
            </w:tcBorders>
            <w:shd w:val="clear" w:color="000000" w:fill="FDE9D9"/>
            <w:noWrap/>
            <w:vAlign w:val="center"/>
            <w:hideMark/>
          </w:tcPr>
          <w:p w14:paraId="16A7FF1E"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53,400 </w:t>
            </w:r>
          </w:p>
        </w:tc>
        <w:tc>
          <w:tcPr>
            <w:tcW w:w="0" w:type="auto"/>
            <w:tcBorders>
              <w:top w:val="nil"/>
              <w:left w:val="nil"/>
              <w:bottom w:val="single" w:sz="4" w:space="0" w:color="auto"/>
              <w:right w:val="single" w:sz="4" w:space="0" w:color="auto"/>
            </w:tcBorders>
            <w:shd w:val="clear" w:color="000000" w:fill="FDE9D9"/>
            <w:noWrap/>
            <w:vAlign w:val="center"/>
            <w:hideMark/>
          </w:tcPr>
          <w:p w14:paraId="45F2DF6A"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21,980 </w:t>
            </w:r>
          </w:p>
        </w:tc>
        <w:tc>
          <w:tcPr>
            <w:tcW w:w="0" w:type="auto"/>
            <w:tcBorders>
              <w:top w:val="nil"/>
              <w:left w:val="nil"/>
              <w:bottom w:val="single" w:sz="4" w:space="0" w:color="auto"/>
              <w:right w:val="single" w:sz="4" w:space="0" w:color="auto"/>
            </w:tcBorders>
            <w:shd w:val="clear" w:color="000000" w:fill="DCE6F1"/>
            <w:vAlign w:val="center"/>
            <w:hideMark/>
          </w:tcPr>
          <w:p w14:paraId="1171C438" w14:textId="0D1BFC8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36,500 </w:t>
            </w:r>
          </w:p>
        </w:tc>
        <w:tc>
          <w:tcPr>
            <w:tcW w:w="0" w:type="auto"/>
            <w:tcBorders>
              <w:top w:val="nil"/>
              <w:left w:val="nil"/>
              <w:bottom w:val="single" w:sz="4" w:space="0" w:color="auto"/>
              <w:right w:val="single" w:sz="4" w:space="0" w:color="auto"/>
            </w:tcBorders>
            <w:shd w:val="clear" w:color="000000" w:fill="EBF1DE"/>
            <w:vAlign w:val="center"/>
            <w:hideMark/>
          </w:tcPr>
          <w:p w14:paraId="54816299" w14:textId="25F6E945"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32,840 </w:t>
            </w:r>
          </w:p>
        </w:tc>
        <w:tc>
          <w:tcPr>
            <w:tcW w:w="0" w:type="auto"/>
            <w:tcBorders>
              <w:top w:val="nil"/>
              <w:left w:val="nil"/>
              <w:bottom w:val="single" w:sz="4" w:space="0" w:color="auto"/>
              <w:right w:val="nil"/>
            </w:tcBorders>
            <w:shd w:val="clear" w:color="000000" w:fill="E8D1FF"/>
            <w:vAlign w:val="center"/>
            <w:hideMark/>
          </w:tcPr>
          <w:p w14:paraId="02B061A6"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single" w:sz="4" w:space="0" w:color="auto"/>
              <w:bottom w:val="nil"/>
              <w:right w:val="single" w:sz="8" w:space="0" w:color="auto"/>
            </w:tcBorders>
            <w:shd w:val="clear" w:color="000000" w:fill="D3D3D3"/>
            <w:vAlign w:val="center"/>
            <w:hideMark/>
          </w:tcPr>
          <w:p w14:paraId="439EDD85"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144,720 </w:t>
            </w:r>
          </w:p>
        </w:tc>
        <w:tc>
          <w:tcPr>
            <w:tcW w:w="0" w:type="auto"/>
            <w:tcBorders>
              <w:top w:val="nil"/>
              <w:left w:val="nil"/>
              <w:bottom w:val="nil"/>
              <w:right w:val="single" w:sz="4" w:space="0" w:color="auto"/>
            </w:tcBorders>
            <w:shd w:val="clear" w:color="auto" w:fill="auto"/>
            <w:vAlign w:val="center"/>
            <w:hideMark/>
          </w:tcPr>
          <w:p w14:paraId="40A50458"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76,860 </w:t>
            </w:r>
          </w:p>
        </w:tc>
        <w:tc>
          <w:tcPr>
            <w:tcW w:w="0" w:type="auto"/>
            <w:tcBorders>
              <w:top w:val="nil"/>
              <w:left w:val="nil"/>
              <w:bottom w:val="nil"/>
              <w:right w:val="single" w:sz="8" w:space="0" w:color="auto"/>
            </w:tcBorders>
            <w:shd w:val="clear" w:color="auto" w:fill="auto"/>
            <w:vAlign w:val="center"/>
            <w:hideMark/>
          </w:tcPr>
          <w:p w14:paraId="15A48A53"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67,860 </w:t>
            </w:r>
          </w:p>
        </w:tc>
      </w:tr>
      <w:tr w:rsidR="005310F9" w:rsidRPr="00AA2617" w14:paraId="7005149D" w14:textId="77777777" w:rsidTr="005310F9">
        <w:trPr>
          <w:trHeight w:val="300"/>
        </w:trPr>
        <w:tc>
          <w:tcPr>
            <w:tcW w:w="0" w:type="auto"/>
            <w:tcBorders>
              <w:top w:val="single" w:sz="4" w:space="0" w:color="auto"/>
              <w:left w:val="single" w:sz="8" w:space="0" w:color="auto"/>
              <w:bottom w:val="single" w:sz="4" w:space="0" w:color="auto"/>
              <w:right w:val="nil"/>
            </w:tcBorders>
            <w:shd w:val="clear" w:color="000000" w:fill="B4C6E7"/>
            <w:vAlign w:val="center"/>
            <w:hideMark/>
          </w:tcPr>
          <w:p w14:paraId="1D3D3B25"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5650 LOAs and Contracts </w:t>
            </w:r>
          </w:p>
        </w:tc>
        <w:tc>
          <w:tcPr>
            <w:tcW w:w="0" w:type="auto"/>
            <w:tcBorders>
              <w:top w:val="single" w:sz="4" w:space="0" w:color="auto"/>
              <w:left w:val="nil"/>
              <w:bottom w:val="single" w:sz="4" w:space="0" w:color="auto"/>
              <w:right w:val="nil"/>
            </w:tcBorders>
            <w:shd w:val="clear" w:color="000000" w:fill="B4C6E7"/>
            <w:vAlign w:val="center"/>
            <w:hideMark/>
          </w:tcPr>
          <w:p w14:paraId="5112BA8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5689CC51"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7F70170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0A2FDB4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68FB2E8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073573D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28AA0E2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1EED71C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16323B4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2017F84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single" w:sz="8" w:space="0" w:color="auto"/>
            </w:tcBorders>
            <w:shd w:val="clear" w:color="000000" w:fill="B4C6E7"/>
            <w:vAlign w:val="center"/>
            <w:hideMark/>
          </w:tcPr>
          <w:p w14:paraId="529D1A4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r>
      <w:tr w:rsidR="005310F9" w:rsidRPr="00AA2617" w14:paraId="5460062D"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0DF4C58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LOAs and Contracts with executing partners and service providers </w:t>
            </w:r>
          </w:p>
        </w:tc>
        <w:tc>
          <w:tcPr>
            <w:tcW w:w="0" w:type="auto"/>
            <w:tcBorders>
              <w:top w:val="nil"/>
              <w:left w:val="nil"/>
              <w:bottom w:val="single" w:sz="4" w:space="0" w:color="auto"/>
              <w:right w:val="single" w:sz="4" w:space="0" w:color="auto"/>
            </w:tcBorders>
            <w:shd w:val="clear" w:color="auto" w:fill="auto"/>
            <w:vAlign w:val="center"/>
            <w:hideMark/>
          </w:tcPr>
          <w:p w14:paraId="024B3EBD"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1BB298F4"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2DA2764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274,280 </w:t>
            </w:r>
          </w:p>
        </w:tc>
        <w:tc>
          <w:tcPr>
            <w:tcW w:w="0" w:type="auto"/>
            <w:tcBorders>
              <w:top w:val="nil"/>
              <w:left w:val="nil"/>
              <w:bottom w:val="single" w:sz="4" w:space="0" w:color="auto"/>
              <w:right w:val="single" w:sz="4" w:space="0" w:color="auto"/>
            </w:tcBorders>
            <w:shd w:val="clear" w:color="000000" w:fill="FDE9D9"/>
            <w:vAlign w:val="center"/>
            <w:hideMark/>
          </w:tcPr>
          <w:p w14:paraId="4CA03DA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77,800 </w:t>
            </w:r>
          </w:p>
        </w:tc>
        <w:tc>
          <w:tcPr>
            <w:tcW w:w="0" w:type="auto"/>
            <w:tcBorders>
              <w:top w:val="nil"/>
              <w:left w:val="nil"/>
              <w:bottom w:val="single" w:sz="4" w:space="0" w:color="auto"/>
              <w:right w:val="single" w:sz="4" w:space="0" w:color="auto"/>
            </w:tcBorders>
            <w:shd w:val="clear" w:color="000000" w:fill="FDE9D9"/>
            <w:vAlign w:val="center"/>
            <w:hideMark/>
          </w:tcPr>
          <w:p w14:paraId="3A6A5B4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9,200 </w:t>
            </w:r>
          </w:p>
        </w:tc>
        <w:tc>
          <w:tcPr>
            <w:tcW w:w="0" w:type="auto"/>
            <w:tcBorders>
              <w:top w:val="nil"/>
              <w:left w:val="nil"/>
              <w:bottom w:val="single" w:sz="4" w:space="0" w:color="auto"/>
              <w:right w:val="single" w:sz="4" w:space="0" w:color="auto"/>
            </w:tcBorders>
            <w:shd w:val="clear" w:color="000000" w:fill="DCE6F1"/>
            <w:vAlign w:val="center"/>
            <w:hideMark/>
          </w:tcPr>
          <w:p w14:paraId="1D3BA4C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85,280 </w:t>
            </w:r>
          </w:p>
        </w:tc>
        <w:tc>
          <w:tcPr>
            <w:tcW w:w="0" w:type="auto"/>
            <w:tcBorders>
              <w:top w:val="nil"/>
              <w:left w:val="nil"/>
              <w:bottom w:val="single" w:sz="4" w:space="0" w:color="auto"/>
              <w:right w:val="single" w:sz="4" w:space="0" w:color="auto"/>
            </w:tcBorders>
            <w:shd w:val="clear" w:color="000000" w:fill="EBF1DE"/>
            <w:vAlign w:val="center"/>
            <w:hideMark/>
          </w:tcPr>
          <w:p w14:paraId="142E44A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102,000 </w:t>
            </w:r>
          </w:p>
        </w:tc>
        <w:tc>
          <w:tcPr>
            <w:tcW w:w="0" w:type="auto"/>
            <w:tcBorders>
              <w:top w:val="nil"/>
              <w:left w:val="nil"/>
              <w:bottom w:val="single" w:sz="4" w:space="0" w:color="auto"/>
              <w:right w:val="nil"/>
            </w:tcBorders>
            <w:shd w:val="clear" w:color="000000" w:fill="E8D1FF"/>
            <w:vAlign w:val="center"/>
            <w:hideMark/>
          </w:tcPr>
          <w:p w14:paraId="4E0CC85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5B6F376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274,280 </w:t>
            </w:r>
          </w:p>
        </w:tc>
        <w:tc>
          <w:tcPr>
            <w:tcW w:w="0" w:type="auto"/>
            <w:tcBorders>
              <w:top w:val="nil"/>
              <w:left w:val="nil"/>
              <w:bottom w:val="single" w:sz="4" w:space="0" w:color="auto"/>
              <w:right w:val="nil"/>
            </w:tcBorders>
            <w:shd w:val="clear" w:color="auto" w:fill="auto"/>
            <w:vAlign w:val="center"/>
            <w:hideMark/>
          </w:tcPr>
          <w:p w14:paraId="54AD5D4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137,140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19E07E7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137,140 </w:t>
            </w:r>
          </w:p>
        </w:tc>
      </w:tr>
      <w:tr w:rsidR="005310F9" w:rsidRPr="00AA2617" w14:paraId="23BBDF15" w14:textId="77777777" w:rsidTr="005310F9">
        <w:trPr>
          <w:trHeight w:val="33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02D9C49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Coordination meetings/ workshops (e.g., TWGs) (Comp1) </w:t>
            </w:r>
          </w:p>
        </w:tc>
        <w:tc>
          <w:tcPr>
            <w:tcW w:w="0" w:type="auto"/>
            <w:tcBorders>
              <w:top w:val="nil"/>
              <w:left w:val="nil"/>
              <w:bottom w:val="single" w:sz="4" w:space="0" w:color="auto"/>
              <w:right w:val="single" w:sz="4" w:space="0" w:color="auto"/>
            </w:tcBorders>
            <w:shd w:val="clear" w:color="auto" w:fill="auto"/>
            <w:vAlign w:val="center"/>
            <w:hideMark/>
          </w:tcPr>
          <w:p w14:paraId="775893D2"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1C2BE8DD"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5B911D5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6,000 </w:t>
            </w:r>
          </w:p>
        </w:tc>
        <w:tc>
          <w:tcPr>
            <w:tcW w:w="0" w:type="auto"/>
            <w:tcBorders>
              <w:top w:val="nil"/>
              <w:left w:val="nil"/>
              <w:bottom w:val="single" w:sz="4" w:space="0" w:color="auto"/>
              <w:right w:val="single" w:sz="4" w:space="0" w:color="auto"/>
            </w:tcBorders>
            <w:shd w:val="clear" w:color="000000" w:fill="FDE9D9"/>
            <w:vAlign w:val="center"/>
            <w:hideMark/>
          </w:tcPr>
          <w:p w14:paraId="6920194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4,800 </w:t>
            </w:r>
          </w:p>
        </w:tc>
        <w:tc>
          <w:tcPr>
            <w:tcW w:w="0" w:type="auto"/>
            <w:tcBorders>
              <w:top w:val="nil"/>
              <w:left w:val="nil"/>
              <w:bottom w:val="single" w:sz="4" w:space="0" w:color="auto"/>
              <w:right w:val="single" w:sz="4" w:space="0" w:color="auto"/>
            </w:tcBorders>
            <w:shd w:val="clear" w:color="000000" w:fill="FDE9D9"/>
            <w:vAlign w:val="center"/>
            <w:hideMark/>
          </w:tcPr>
          <w:p w14:paraId="0F7798B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1,200 </w:t>
            </w:r>
          </w:p>
        </w:tc>
        <w:tc>
          <w:tcPr>
            <w:tcW w:w="0" w:type="auto"/>
            <w:tcBorders>
              <w:top w:val="nil"/>
              <w:left w:val="nil"/>
              <w:bottom w:val="single" w:sz="4" w:space="0" w:color="auto"/>
              <w:right w:val="single" w:sz="4" w:space="0" w:color="auto"/>
            </w:tcBorders>
            <w:shd w:val="clear" w:color="000000" w:fill="DCE6F1"/>
            <w:vAlign w:val="center"/>
            <w:hideMark/>
          </w:tcPr>
          <w:p w14:paraId="7A2B1E2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EBF1DE"/>
            <w:vAlign w:val="center"/>
            <w:hideMark/>
          </w:tcPr>
          <w:p w14:paraId="63302D9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nil"/>
            </w:tcBorders>
            <w:shd w:val="clear" w:color="000000" w:fill="E8D1FF"/>
            <w:vAlign w:val="center"/>
            <w:hideMark/>
          </w:tcPr>
          <w:p w14:paraId="4A528E1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5C22E39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6,000 </w:t>
            </w:r>
          </w:p>
        </w:tc>
        <w:tc>
          <w:tcPr>
            <w:tcW w:w="0" w:type="auto"/>
            <w:tcBorders>
              <w:top w:val="nil"/>
              <w:left w:val="nil"/>
              <w:bottom w:val="single" w:sz="4" w:space="0" w:color="auto"/>
              <w:right w:val="nil"/>
            </w:tcBorders>
            <w:shd w:val="clear" w:color="auto" w:fill="auto"/>
            <w:vAlign w:val="center"/>
            <w:hideMark/>
          </w:tcPr>
          <w:p w14:paraId="41814D9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3,000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188AE69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3,000 </w:t>
            </w:r>
          </w:p>
        </w:tc>
      </w:tr>
      <w:tr w:rsidR="005310F9" w:rsidRPr="00AA2617" w14:paraId="5FA2AE34" w14:textId="77777777" w:rsidTr="005310F9">
        <w:trPr>
          <w:trHeight w:val="300"/>
        </w:trPr>
        <w:tc>
          <w:tcPr>
            <w:tcW w:w="0" w:type="auto"/>
            <w:tcBorders>
              <w:top w:val="nil"/>
              <w:left w:val="single" w:sz="8" w:space="0" w:color="auto"/>
              <w:bottom w:val="single" w:sz="4" w:space="0" w:color="auto"/>
              <w:right w:val="single" w:sz="4" w:space="0" w:color="auto"/>
            </w:tcBorders>
            <w:shd w:val="clear" w:color="000000" w:fill="FFFFFF"/>
            <w:vAlign w:val="center"/>
            <w:hideMark/>
          </w:tcPr>
          <w:p w14:paraId="7969E80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Inception workshop (incl. report) </w:t>
            </w:r>
          </w:p>
        </w:tc>
        <w:tc>
          <w:tcPr>
            <w:tcW w:w="0" w:type="auto"/>
            <w:tcBorders>
              <w:top w:val="nil"/>
              <w:left w:val="nil"/>
              <w:bottom w:val="single" w:sz="4" w:space="0" w:color="auto"/>
              <w:right w:val="single" w:sz="4" w:space="0" w:color="auto"/>
            </w:tcBorders>
            <w:shd w:val="clear" w:color="auto" w:fill="auto"/>
            <w:vAlign w:val="center"/>
            <w:hideMark/>
          </w:tcPr>
          <w:p w14:paraId="6EF6D4EA"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0E5311C4"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23DD505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5,000 </w:t>
            </w:r>
          </w:p>
        </w:tc>
        <w:tc>
          <w:tcPr>
            <w:tcW w:w="0" w:type="auto"/>
            <w:tcBorders>
              <w:top w:val="nil"/>
              <w:left w:val="nil"/>
              <w:bottom w:val="single" w:sz="4" w:space="0" w:color="auto"/>
              <w:right w:val="single" w:sz="4" w:space="0" w:color="auto"/>
            </w:tcBorders>
            <w:shd w:val="clear" w:color="000000" w:fill="FDE9D9"/>
            <w:vAlign w:val="center"/>
            <w:hideMark/>
          </w:tcPr>
          <w:p w14:paraId="7C5EEB2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1,334 </w:t>
            </w:r>
          </w:p>
        </w:tc>
        <w:tc>
          <w:tcPr>
            <w:tcW w:w="0" w:type="auto"/>
            <w:tcBorders>
              <w:top w:val="nil"/>
              <w:left w:val="nil"/>
              <w:bottom w:val="single" w:sz="4" w:space="0" w:color="auto"/>
              <w:right w:val="single" w:sz="4" w:space="0" w:color="auto"/>
            </w:tcBorders>
            <w:shd w:val="clear" w:color="000000" w:fill="FDE9D9"/>
            <w:vAlign w:val="center"/>
            <w:hideMark/>
          </w:tcPr>
          <w:p w14:paraId="6070D63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333 </w:t>
            </w:r>
          </w:p>
        </w:tc>
        <w:tc>
          <w:tcPr>
            <w:tcW w:w="0" w:type="auto"/>
            <w:tcBorders>
              <w:top w:val="nil"/>
              <w:left w:val="nil"/>
              <w:bottom w:val="single" w:sz="4" w:space="0" w:color="auto"/>
              <w:right w:val="single" w:sz="4" w:space="0" w:color="auto"/>
            </w:tcBorders>
            <w:shd w:val="clear" w:color="000000" w:fill="DCE6F1"/>
            <w:vAlign w:val="center"/>
            <w:hideMark/>
          </w:tcPr>
          <w:p w14:paraId="63D6F71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1,667 </w:t>
            </w:r>
          </w:p>
        </w:tc>
        <w:tc>
          <w:tcPr>
            <w:tcW w:w="0" w:type="auto"/>
            <w:tcBorders>
              <w:top w:val="nil"/>
              <w:left w:val="nil"/>
              <w:bottom w:val="single" w:sz="4" w:space="0" w:color="auto"/>
              <w:right w:val="single" w:sz="4" w:space="0" w:color="auto"/>
            </w:tcBorders>
            <w:shd w:val="clear" w:color="000000" w:fill="EBF1DE"/>
            <w:vAlign w:val="center"/>
            <w:hideMark/>
          </w:tcPr>
          <w:p w14:paraId="48D1F18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1,666 </w:t>
            </w:r>
          </w:p>
        </w:tc>
        <w:tc>
          <w:tcPr>
            <w:tcW w:w="0" w:type="auto"/>
            <w:tcBorders>
              <w:top w:val="nil"/>
              <w:left w:val="nil"/>
              <w:bottom w:val="single" w:sz="4" w:space="0" w:color="auto"/>
              <w:right w:val="nil"/>
            </w:tcBorders>
            <w:shd w:val="clear" w:color="000000" w:fill="E8D1FF"/>
            <w:vAlign w:val="center"/>
            <w:hideMark/>
          </w:tcPr>
          <w:p w14:paraId="392C203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6CDC92B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5,000 </w:t>
            </w:r>
          </w:p>
        </w:tc>
        <w:tc>
          <w:tcPr>
            <w:tcW w:w="0" w:type="auto"/>
            <w:tcBorders>
              <w:top w:val="nil"/>
              <w:left w:val="nil"/>
              <w:bottom w:val="single" w:sz="4" w:space="0" w:color="auto"/>
              <w:right w:val="single" w:sz="4" w:space="0" w:color="auto"/>
            </w:tcBorders>
            <w:shd w:val="clear" w:color="auto" w:fill="auto"/>
            <w:vAlign w:val="center"/>
            <w:hideMark/>
          </w:tcPr>
          <w:p w14:paraId="64F5E4F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5,000 </w:t>
            </w:r>
          </w:p>
        </w:tc>
        <w:tc>
          <w:tcPr>
            <w:tcW w:w="0" w:type="auto"/>
            <w:tcBorders>
              <w:top w:val="nil"/>
              <w:left w:val="nil"/>
              <w:bottom w:val="single" w:sz="4" w:space="0" w:color="auto"/>
              <w:right w:val="single" w:sz="8" w:space="0" w:color="auto"/>
            </w:tcBorders>
            <w:shd w:val="clear" w:color="auto" w:fill="auto"/>
            <w:vAlign w:val="center"/>
            <w:hideMark/>
          </w:tcPr>
          <w:p w14:paraId="485E2AF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r>
      <w:tr w:rsidR="005310F9" w:rsidRPr="00AA2617" w14:paraId="46FF9752" w14:textId="77777777" w:rsidTr="005310F9">
        <w:trPr>
          <w:trHeight w:val="300"/>
        </w:trPr>
        <w:tc>
          <w:tcPr>
            <w:tcW w:w="0" w:type="auto"/>
            <w:tcBorders>
              <w:top w:val="nil"/>
              <w:left w:val="single" w:sz="8" w:space="0" w:color="auto"/>
              <w:bottom w:val="single" w:sz="4" w:space="0" w:color="auto"/>
              <w:right w:val="single" w:sz="4" w:space="0" w:color="auto"/>
            </w:tcBorders>
            <w:shd w:val="clear" w:color="000000" w:fill="FFFFFF"/>
            <w:vAlign w:val="center"/>
            <w:hideMark/>
          </w:tcPr>
          <w:p w14:paraId="7F01D96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Final workshop </w:t>
            </w:r>
          </w:p>
        </w:tc>
        <w:tc>
          <w:tcPr>
            <w:tcW w:w="0" w:type="auto"/>
            <w:tcBorders>
              <w:top w:val="nil"/>
              <w:left w:val="nil"/>
              <w:bottom w:val="single" w:sz="4" w:space="0" w:color="auto"/>
              <w:right w:val="single" w:sz="4" w:space="0" w:color="auto"/>
            </w:tcBorders>
            <w:shd w:val="clear" w:color="auto" w:fill="auto"/>
            <w:vAlign w:val="center"/>
            <w:hideMark/>
          </w:tcPr>
          <w:p w14:paraId="04FD4BF0"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0456E6AC"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14DBF59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5,000 </w:t>
            </w:r>
          </w:p>
        </w:tc>
        <w:tc>
          <w:tcPr>
            <w:tcW w:w="0" w:type="auto"/>
            <w:tcBorders>
              <w:top w:val="nil"/>
              <w:left w:val="nil"/>
              <w:bottom w:val="single" w:sz="4" w:space="0" w:color="auto"/>
              <w:right w:val="single" w:sz="4" w:space="0" w:color="auto"/>
            </w:tcBorders>
            <w:shd w:val="clear" w:color="000000" w:fill="FDE9D9"/>
            <w:vAlign w:val="center"/>
            <w:hideMark/>
          </w:tcPr>
          <w:p w14:paraId="5569F9B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1,334 </w:t>
            </w:r>
          </w:p>
        </w:tc>
        <w:tc>
          <w:tcPr>
            <w:tcW w:w="0" w:type="auto"/>
            <w:tcBorders>
              <w:top w:val="nil"/>
              <w:left w:val="nil"/>
              <w:bottom w:val="single" w:sz="4" w:space="0" w:color="auto"/>
              <w:right w:val="single" w:sz="4" w:space="0" w:color="auto"/>
            </w:tcBorders>
            <w:shd w:val="clear" w:color="000000" w:fill="FDE9D9"/>
            <w:vAlign w:val="center"/>
            <w:hideMark/>
          </w:tcPr>
          <w:p w14:paraId="5D9E13C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333 </w:t>
            </w:r>
          </w:p>
        </w:tc>
        <w:tc>
          <w:tcPr>
            <w:tcW w:w="0" w:type="auto"/>
            <w:tcBorders>
              <w:top w:val="nil"/>
              <w:left w:val="nil"/>
              <w:bottom w:val="single" w:sz="4" w:space="0" w:color="auto"/>
              <w:right w:val="single" w:sz="4" w:space="0" w:color="auto"/>
            </w:tcBorders>
            <w:shd w:val="clear" w:color="000000" w:fill="DCE6F1"/>
            <w:vAlign w:val="center"/>
            <w:hideMark/>
          </w:tcPr>
          <w:p w14:paraId="146AD1B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1,667 </w:t>
            </w:r>
          </w:p>
        </w:tc>
        <w:tc>
          <w:tcPr>
            <w:tcW w:w="0" w:type="auto"/>
            <w:tcBorders>
              <w:top w:val="nil"/>
              <w:left w:val="nil"/>
              <w:bottom w:val="single" w:sz="4" w:space="0" w:color="auto"/>
              <w:right w:val="single" w:sz="4" w:space="0" w:color="auto"/>
            </w:tcBorders>
            <w:shd w:val="clear" w:color="000000" w:fill="EBF1DE"/>
            <w:vAlign w:val="center"/>
            <w:hideMark/>
          </w:tcPr>
          <w:p w14:paraId="60FCAB2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1,666 </w:t>
            </w:r>
          </w:p>
        </w:tc>
        <w:tc>
          <w:tcPr>
            <w:tcW w:w="0" w:type="auto"/>
            <w:tcBorders>
              <w:top w:val="nil"/>
              <w:left w:val="nil"/>
              <w:bottom w:val="single" w:sz="4" w:space="0" w:color="auto"/>
              <w:right w:val="nil"/>
            </w:tcBorders>
            <w:shd w:val="clear" w:color="000000" w:fill="E8D1FF"/>
            <w:vAlign w:val="center"/>
            <w:hideMark/>
          </w:tcPr>
          <w:p w14:paraId="583DF3A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5BB9C96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5,000 </w:t>
            </w:r>
          </w:p>
        </w:tc>
        <w:tc>
          <w:tcPr>
            <w:tcW w:w="0" w:type="auto"/>
            <w:tcBorders>
              <w:top w:val="nil"/>
              <w:left w:val="nil"/>
              <w:bottom w:val="single" w:sz="4" w:space="0" w:color="auto"/>
              <w:right w:val="nil"/>
            </w:tcBorders>
            <w:shd w:val="clear" w:color="auto" w:fill="auto"/>
            <w:vAlign w:val="center"/>
            <w:hideMark/>
          </w:tcPr>
          <w:p w14:paraId="0171406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70C169A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5,000 </w:t>
            </w:r>
          </w:p>
        </w:tc>
      </w:tr>
      <w:tr w:rsidR="005310F9" w:rsidRPr="00AA2617" w14:paraId="72E9D420"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565CEDD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Final/ Terminal evaluation </w:t>
            </w:r>
          </w:p>
        </w:tc>
        <w:tc>
          <w:tcPr>
            <w:tcW w:w="0" w:type="auto"/>
            <w:tcBorders>
              <w:top w:val="nil"/>
              <w:left w:val="nil"/>
              <w:bottom w:val="single" w:sz="4" w:space="0" w:color="auto"/>
              <w:right w:val="single" w:sz="4" w:space="0" w:color="auto"/>
            </w:tcBorders>
            <w:shd w:val="clear" w:color="auto" w:fill="auto"/>
            <w:vAlign w:val="center"/>
            <w:hideMark/>
          </w:tcPr>
          <w:p w14:paraId="461D5521"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each </w:t>
            </w:r>
          </w:p>
        </w:tc>
        <w:tc>
          <w:tcPr>
            <w:tcW w:w="0" w:type="auto"/>
            <w:tcBorders>
              <w:top w:val="nil"/>
              <w:left w:val="nil"/>
              <w:bottom w:val="single" w:sz="4" w:space="0" w:color="auto"/>
              <w:right w:val="single" w:sz="4" w:space="0" w:color="auto"/>
            </w:tcBorders>
            <w:shd w:val="clear" w:color="auto" w:fill="auto"/>
            <w:vAlign w:val="center"/>
            <w:hideMark/>
          </w:tcPr>
          <w:p w14:paraId="6E57AEC6"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34D8CF5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20,000 </w:t>
            </w:r>
          </w:p>
        </w:tc>
        <w:tc>
          <w:tcPr>
            <w:tcW w:w="0" w:type="auto"/>
            <w:tcBorders>
              <w:top w:val="nil"/>
              <w:left w:val="nil"/>
              <w:bottom w:val="single" w:sz="4" w:space="0" w:color="auto"/>
              <w:right w:val="single" w:sz="4" w:space="0" w:color="auto"/>
            </w:tcBorders>
            <w:shd w:val="clear" w:color="000000" w:fill="FDE9D9"/>
            <w:vAlign w:val="center"/>
            <w:hideMark/>
          </w:tcPr>
          <w:p w14:paraId="7C96847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5,334 </w:t>
            </w:r>
          </w:p>
        </w:tc>
        <w:tc>
          <w:tcPr>
            <w:tcW w:w="0" w:type="auto"/>
            <w:tcBorders>
              <w:top w:val="nil"/>
              <w:left w:val="nil"/>
              <w:bottom w:val="single" w:sz="4" w:space="0" w:color="auto"/>
              <w:right w:val="single" w:sz="4" w:space="0" w:color="auto"/>
            </w:tcBorders>
            <w:shd w:val="clear" w:color="000000" w:fill="FDE9D9"/>
            <w:vAlign w:val="center"/>
            <w:hideMark/>
          </w:tcPr>
          <w:p w14:paraId="3565610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1,333 </w:t>
            </w:r>
          </w:p>
        </w:tc>
        <w:tc>
          <w:tcPr>
            <w:tcW w:w="0" w:type="auto"/>
            <w:tcBorders>
              <w:top w:val="nil"/>
              <w:left w:val="nil"/>
              <w:bottom w:val="single" w:sz="4" w:space="0" w:color="auto"/>
              <w:right w:val="single" w:sz="4" w:space="0" w:color="auto"/>
            </w:tcBorders>
            <w:shd w:val="clear" w:color="000000" w:fill="DCE6F1"/>
            <w:vAlign w:val="center"/>
            <w:hideMark/>
          </w:tcPr>
          <w:p w14:paraId="0D47938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6,667 </w:t>
            </w:r>
          </w:p>
        </w:tc>
        <w:tc>
          <w:tcPr>
            <w:tcW w:w="0" w:type="auto"/>
            <w:tcBorders>
              <w:top w:val="nil"/>
              <w:left w:val="nil"/>
              <w:bottom w:val="single" w:sz="4" w:space="0" w:color="auto"/>
              <w:right w:val="single" w:sz="4" w:space="0" w:color="auto"/>
            </w:tcBorders>
            <w:shd w:val="clear" w:color="000000" w:fill="EBF1DE"/>
            <w:vAlign w:val="center"/>
            <w:hideMark/>
          </w:tcPr>
          <w:p w14:paraId="0DF3309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6,666 </w:t>
            </w:r>
          </w:p>
        </w:tc>
        <w:tc>
          <w:tcPr>
            <w:tcW w:w="0" w:type="auto"/>
            <w:tcBorders>
              <w:top w:val="nil"/>
              <w:left w:val="nil"/>
              <w:bottom w:val="single" w:sz="4" w:space="0" w:color="auto"/>
              <w:right w:val="nil"/>
            </w:tcBorders>
            <w:shd w:val="clear" w:color="000000" w:fill="E8D1FF"/>
            <w:vAlign w:val="center"/>
            <w:hideMark/>
          </w:tcPr>
          <w:p w14:paraId="459B80B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79A6F73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20,000 </w:t>
            </w:r>
          </w:p>
        </w:tc>
        <w:tc>
          <w:tcPr>
            <w:tcW w:w="0" w:type="auto"/>
            <w:tcBorders>
              <w:top w:val="nil"/>
              <w:left w:val="nil"/>
              <w:bottom w:val="single" w:sz="4" w:space="0" w:color="auto"/>
              <w:right w:val="single" w:sz="4" w:space="0" w:color="auto"/>
            </w:tcBorders>
            <w:shd w:val="clear" w:color="auto" w:fill="auto"/>
            <w:vAlign w:val="center"/>
            <w:hideMark/>
          </w:tcPr>
          <w:p w14:paraId="15665B3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8" w:space="0" w:color="auto"/>
            </w:tcBorders>
            <w:shd w:val="clear" w:color="auto" w:fill="auto"/>
            <w:vAlign w:val="center"/>
            <w:hideMark/>
          </w:tcPr>
          <w:p w14:paraId="12C6E27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20,000 </w:t>
            </w:r>
          </w:p>
        </w:tc>
      </w:tr>
      <w:tr w:rsidR="005310F9" w:rsidRPr="00AA2617" w14:paraId="00B80253"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0F7BCFF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Processing of final report </w:t>
            </w:r>
          </w:p>
        </w:tc>
        <w:tc>
          <w:tcPr>
            <w:tcW w:w="0" w:type="auto"/>
            <w:tcBorders>
              <w:top w:val="nil"/>
              <w:left w:val="nil"/>
              <w:bottom w:val="single" w:sz="4" w:space="0" w:color="auto"/>
              <w:right w:val="single" w:sz="4" w:space="0" w:color="auto"/>
            </w:tcBorders>
            <w:shd w:val="clear" w:color="auto" w:fill="auto"/>
            <w:vAlign w:val="center"/>
            <w:hideMark/>
          </w:tcPr>
          <w:p w14:paraId="1BE68982"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each </w:t>
            </w:r>
          </w:p>
        </w:tc>
        <w:tc>
          <w:tcPr>
            <w:tcW w:w="0" w:type="auto"/>
            <w:tcBorders>
              <w:top w:val="nil"/>
              <w:left w:val="nil"/>
              <w:bottom w:val="single" w:sz="4" w:space="0" w:color="auto"/>
              <w:right w:val="single" w:sz="4" w:space="0" w:color="auto"/>
            </w:tcBorders>
            <w:shd w:val="clear" w:color="auto" w:fill="auto"/>
            <w:vAlign w:val="center"/>
            <w:hideMark/>
          </w:tcPr>
          <w:p w14:paraId="7635F1FA"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0E90F50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6,600 </w:t>
            </w:r>
          </w:p>
        </w:tc>
        <w:tc>
          <w:tcPr>
            <w:tcW w:w="0" w:type="auto"/>
            <w:tcBorders>
              <w:top w:val="nil"/>
              <w:left w:val="nil"/>
              <w:bottom w:val="single" w:sz="4" w:space="0" w:color="auto"/>
              <w:right w:val="single" w:sz="4" w:space="0" w:color="auto"/>
            </w:tcBorders>
            <w:shd w:val="clear" w:color="000000" w:fill="FDE9D9"/>
            <w:vAlign w:val="center"/>
            <w:hideMark/>
          </w:tcPr>
          <w:p w14:paraId="6A1545C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1,760 </w:t>
            </w:r>
          </w:p>
        </w:tc>
        <w:tc>
          <w:tcPr>
            <w:tcW w:w="0" w:type="auto"/>
            <w:tcBorders>
              <w:top w:val="nil"/>
              <w:left w:val="nil"/>
              <w:bottom w:val="single" w:sz="4" w:space="0" w:color="auto"/>
              <w:right w:val="single" w:sz="4" w:space="0" w:color="auto"/>
            </w:tcBorders>
            <w:shd w:val="clear" w:color="000000" w:fill="FDE9D9"/>
            <w:vAlign w:val="center"/>
            <w:hideMark/>
          </w:tcPr>
          <w:p w14:paraId="4D23495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440 </w:t>
            </w:r>
          </w:p>
        </w:tc>
        <w:tc>
          <w:tcPr>
            <w:tcW w:w="0" w:type="auto"/>
            <w:tcBorders>
              <w:top w:val="nil"/>
              <w:left w:val="nil"/>
              <w:bottom w:val="single" w:sz="4" w:space="0" w:color="auto"/>
              <w:right w:val="single" w:sz="4" w:space="0" w:color="auto"/>
            </w:tcBorders>
            <w:shd w:val="clear" w:color="000000" w:fill="DCE6F1"/>
            <w:vAlign w:val="center"/>
            <w:hideMark/>
          </w:tcPr>
          <w:p w14:paraId="5DC0C10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2,200 </w:t>
            </w:r>
          </w:p>
        </w:tc>
        <w:tc>
          <w:tcPr>
            <w:tcW w:w="0" w:type="auto"/>
            <w:tcBorders>
              <w:top w:val="nil"/>
              <w:left w:val="nil"/>
              <w:bottom w:val="single" w:sz="4" w:space="0" w:color="auto"/>
              <w:right w:val="single" w:sz="4" w:space="0" w:color="auto"/>
            </w:tcBorders>
            <w:shd w:val="clear" w:color="000000" w:fill="EBF1DE"/>
            <w:vAlign w:val="center"/>
            <w:hideMark/>
          </w:tcPr>
          <w:p w14:paraId="46BB100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2,200 </w:t>
            </w:r>
          </w:p>
        </w:tc>
        <w:tc>
          <w:tcPr>
            <w:tcW w:w="0" w:type="auto"/>
            <w:tcBorders>
              <w:top w:val="nil"/>
              <w:left w:val="nil"/>
              <w:bottom w:val="single" w:sz="4" w:space="0" w:color="auto"/>
              <w:right w:val="single" w:sz="4" w:space="0" w:color="auto"/>
            </w:tcBorders>
            <w:shd w:val="clear" w:color="000000" w:fill="E8D1FF"/>
            <w:vAlign w:val="center"/>
            <w:hideMark/>
          </w:tcPr>
          <w:p w14:paraId="1161A8A5"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nil"/>
              <w:bottom w:val="single" w:sz="4" w:space="0" w:color="auto"/>
              <w:right w:val="single" w:sz="8" w:space="0" w:color="auto"/>
            </w:tcBorders>
            <w:shd w:val="clear" w:color="000000" w:fill="D3D3D3"/>
            <w:vAlign w:val="center"/>
            <w:hideMark/>
          </w:tcPr>
          <w:p w14:paraId="6A8F70D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6,600 </w:t>
            </w:r>
          </w:p>
        </w:tc>
        <w:tc>
          <w:tcPr>
            <w:tcW w:w="0" w:type="auto"/>
            <w:tcBorders>
              <w:top w:val="nil"/>
              <w:left w:val="nil"/>
              <w:bottom w:val="single" w:sz="4" w:space="0" w:color="auto"/>
              <w:right w:val="single" w:sz="4" w:space="0" w:color="auto"/>
            </w:tcBorders>
            <w:shd w:val="clear" w:color="auto" w:fill="auto"/>
            <w:vAlign w:val="center"/>
            <w:hideMark/>
          </w:tcPr>
          <w:p w14:paraId="1BE9036F"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nil"/>
              <w:bottom w:val="single" w:sz="4" w:space="0" w:color="auto"/>
              <w:right w:val="single" w:sz="8" w:space="0" w:color="auto"/>
            </w:tcBorders>
            <w:shd w:val="clear" w:color="auto" w:fill="auto"/>
            <w:vAlign w:val="center"/>
            <w:hideMark/>
          </w:tcPr>
          <w:p w14:paraId="5535818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6,600 </w:t>
            </w:r>
          </w:p>
        </w:tc>
      </w:tr>
      <w:tr w:rsidR="005310F9" w:rsidRPr="00AA2617" w14:paraId="017F2C12" w14:textId="77777777" w:rsidTr="005310F9">
        <w:trPr>
          <w:trHeight w:val="300"/>
        </w:trPr>
        <w:tc>
          <w:tcPr>
            <w:tcW w:w="0" w:type="auto"/>
            <w:tcBorders>
              <w:top w:val="nil"/>
              <w:left w:val="single" w:sz="8" w:space="0" w:color="auto"/>
              <w:bottom w:val="nil"/>
              <w:right w:val="single" w:sz="4" w:space="0" w:color="auto"/>
            </w:tcBorders>
            <w:shd w:val="clear" w:color="auto" w:fill="auto"/>
            <w:vAlign w:val="center"/>
            <w:hideMark/>
          </w:tcPr>
          <w:p w14:paraId="2E3DE68C"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lastRenderedPageBreak/>
              <w:t xml:space="preserve"> 5650 Sub-total - LOAs and Contracts </w:t>
            </w:r>
          </w:p>
        </w:tc>
        <w:tc>
          <w:tcPr>
            <w:tcW w:w="0" w:type="auto"/>
            <w:tcBorders>
              <w:top w:val="nil"/>
              <w:left w:val="nil"/>
              <w:bottom w:val="nil"/>
              <w:right w:val="single" w:sz="4" w:space="0" w:color="auto"/>
            </w:tcBorders>
            <w:shd w:val="clear" w:color="auto" w:fill="auto"/>
            <w:vAlign w:val="center"/>
            <w:hideMark/>
          </w:tcPr>
          <w:p w14:paraId="17C24BC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nil"/>
              <w:right w:val="single" w:sz="4" w:space="0" w:color="auto"/>
            </w:tcBorders>
            <w:shd w:val="clear" w:color="auto" w:fill="auto"/>
            <w:vAlign w:val="center"/>
            <w:hideMark/>
          </w:tcPr>
          <w:p w14:paraId="13E1B1C7"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nil"/>
              <w:right w:val="single" w:sz="4" w:space="0" w:color="auto"/>
            </w:tcBorders>
            <w:shd w:val="clear" w:color="auto" w:fill="auto"/>
            <w:vAlign w:val="center"/>
            <w:hideMark/>
          </w:tcPr>
          <w:p w14:paraId="546DDC0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4" w:space="0" w:color="auto"/>
            </w:tcBorders>
            <w:shd w:val="clear" w:color="000000" w:fill="FDE9D9"/>
            <w:vAlign w:val="center"/>
            <w:hideMark/>
          </w:tcPr>
          <w:p w14:paraId="159EA145"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92,362 </w:t>
            </w:r>
          </w:p>
        </w:tc>
        <w:tc>
          <w:tcPr>
            <w:tcW w:w="0" w:type="auto"/>
            <w:tcBorders>
              <w:top w:val="nil"/>
              <w:left w:val="nil"/>
              <w:bottom w:val="single" w:sz="4" w:space="0" w:color="auto"/>
              <w:right w:val="single" w:sz="4" w:space="0" w:color="auto"/>
            </w:tcBorders>
            <w:shd w:val="clear" w:color="000000" w:fill="FDE9D9"/>
            <w:vAlign w:val="center"/>
            <w:hideMark/>
          </w:tcPr>
          <w:p w14:paraId="019D9003"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12,839 </w:t>
            </w:r>
          </w:p>
        </w:tc>
        <w:tc>
          <w:tcPr>
            <w:tcW w:w="0" w:type="auto"/>
            <w:tcBorders>
              <w:top w:val="nil"/>
              <w:left w:val="nil"/>
              <w:bottom w:val="single" w:sz="4" w:space="0" w:color="auto"/>
              <w:right w:val="single" w:sz="4" w:space="0" w:color="auto"/>
            </w:tcBorders>
            <w:shd w:val="clear" w:color="000000" w:fill="DCE6F1"/>
            <w:vAlign w:val="center"/>
            <w:hideMark/>
          </w:tcPr>
          <w:p w14:paraId="14AA828F"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97,481 </w:t>
            </w:r>
          </w:p>
        </w:tc>
        <w:tc>
          <w:tcPr>
            <w:tcW w:w="0" w:type="auto"/>
            <w:tcBorders>
              <w:top w:val="nil"/>
              <w:left w:val="nil"/>
              <w:bottom w:val="single" w:sz="4" w:space="0" w:color="auto"/>
              <w:right w:val="single" w:sz="4" w:space="0" w:color="auto"/>
            </w:tcBorders>
            <w:shd w:val="clear" w:color="000000" w:fill="EBF1DE"/>
            <w:vAlign w:val="center"/>
            <w:hideMark/>
          </w:tcPr>
          <w:p w14:paraId="6C5F55A7"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114,198 </w:t>
            </w:r>
          </w:p>
        </w:tc>
        <w:tc>
          <w:tcPr>
            <w:tcW w:w="0" w:type="auto"/>
            <w:tcBorders>
              <w:top w:val="nil"/>
              <w:left w:val="nil"/>
              <w:bottom w:val="single" w:sz="4" w:space="0" w:color="auto"/>
              <w:right w:val="nil"/>
            </w:tcBorders>
            <w:shd w:val="clear" w:color="000000" w:fill="E8D1FF"/>
            <w:vAlign w:val="center"/>
            <w:hideMark/>
          </w:tcPr>
          <w:p w14:paraId="2065EBBB"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single" w:sz="4" w:space="0" w:color="auto"/>
              <w:bottom w:val="nil"/>
              <w:right w:val="single" w:sz="8" w:space="0" w:color="auto"/>
            </w:tcBorders>
            <w:shd w:val="clear" w:color="000000" w:fill="D3D3D3"/>
            <w:vAlign w:val="center"/>
            <w:hideMark/>
          </w:tcPr>
          <w:p w14:paraId="01113124"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316,880 </w:t>
            </w:r>
          </w:p>
        </w:tc>
        <w:tc>
          <w:tcPr>
            <w:tcW w:w="0" w:type="auto"/>
            <w:tcBorders>
              <w:top w:val="nil"/>
              <w:left w:val="nil"/>
              <w:bottom w:val="nil"/>
              <w:right w:val="single" w:sz="4" w:space="0" w:color="auto"/>
            </w:tcBorders>
            <w:shd w:val="clear" w:color="auto" w:fill="auto"/>
            <w:vAlign w:val="center"/>
            <w:hideMark/>
          </w:tcPr>
          <w:p w14:paraId="0B96DB24"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145,140 </w:t>
            </w:r>
          </w:p>
        </w:tc>
        <w:tc>
          <w:tcPr>
            <w:tcW w:w="0" w:type="auto"/>
            <w:tcBorders>
              <w:top w:val="nil"/>
              <w:left w:val="nil"/>
              <w:bottom w:val="nil"/>
              <w:right w:val="single" w:sz="8" w:space="0" w:color="auto"/>
            </w:tcBorders>
            <w:shd w:val="clear" w:color="auto" w:fill="auto"/>
            <w:vAlign w:val="center"/>
            <w:hideMark/>
          </w:tcPr>
          <w:p w14:paraId="3561BC3C"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171,740 </w:t>
            </w:r>
          </w:p>
        </w:tc>
      </w:tr>
      <w:tr w:rsidR="005310F9" w:rsidRPr="00AA2617" w14:paraId="2D94E7EA" w14:textId="77777777" w:rsidTr="005310F9">
        <w:trPr>
          <w:trHeight w:val="300"/>
        </w:trPr>
        <w:tc>
          <w:tcPr>
            <w:tcW w:w="0" w:type="auto"/>
            <w:tcBorders>
              <w:top w:val="single" w:sz="4" w:space="0" w:color="auto"/>
              <w:left w:val="single" w:sz="8" w:space="0" w:color="auto"/>
              <w:bottom w:val="single" w:sz="4" w:space="0" w:color="auto"/>
              <w:right w:val="nil"/>
            </w:tcBorders>
            <w:shd w:val="clear" w:color="000000" w:fill="B4C6E7"/>
            <w:vAlign w:val="center"/>
            <w:hideMark/>
          </w:tcPr>
          <w:p w14:paraId="06CA5761"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5900 Travel </w:t>
            </w:r>
          </w:p>
        </w:tc>
        <w:tc>
          <w:tcPr>
            <w:tcW w:w="0" w:type="auto"/>
            <w:tcBorders>
              <w:top w:val="single" w:sz="4" w:space="0" w:color="auto"/>
              <w:left w:val="nil"/>
              <w:bottom w:val="single" w:sz="4" w:space="0" w:color="auto"/>
              <w:right w:val="nil"/>
            </w:tcBorders>
            <w:shd w:val="clear" w:color="000000" w:fill="B4C6E7"/>
            <w:vAlign w:val="center"/>
            <w:hideMark/>
          </w:tcPr>
          <w:p w14:paraId="1B86D77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1F05C50B"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3B65050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2D7EF7C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7AF49D2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153DD7C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008BDBD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107C915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15E02A6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53C732B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single" w:sz="8" w:space="0" w:color="auto"/>
            </w:tcBorders>
            <w:shd w:val="clear" w:color="000000" w:fill="B4C6E7"/>
            <w:vAlign w:val="center"/>
            <w:hideMark/>
          </w:tcPr>
          <w:p w14:paraId="1BF1FD7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r>
      <w:tr w:rsidR="005310F9" w:rsidRPr="00AA2617" w14:paraId="0BCCB9D4"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4491CC4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International travel </w:t>
            </w:r>
          </w:p>
        </w:tc>
        <w:tc>
          <w:tcPr>
            <w:tcW w:w="0" w:type="auto"/>
            <w:tcBorders>
              <w:top w:val="nil"/>
              <w:left w:val="nil"/>
              <w:bottom w:val="single" w:sz="4" w:space="0" w:color="auto"/>
              <w:right w:val="single" w:sz="4" w:space="0" w:color="auto"/>
            </w:tcBorders>
            <w:shd w:val="clear" w:color="auto" w:fill="auto"/>
            <w:vAlign w:val="center"/>
            <w:hideMark/>
          </w:tcPr>
          <w:p w14:paraId="2855C80F"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7DE8B73F"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63CAD6E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40,000 </w:t>
            </w:r>
          </w:p>
        </w:tc>
        <w:tc>
          <w:tcPr>
            <w:tcW w:w="0" w:type="auto"/>
            <w:tcBorders>
              <w:top w:val="nil"/>
              <w:left w:val="nil"/>
              <w:bottom w:val="single" w:sz="4" w:space="0" w:color="auto"/>
              <w:right w:val="single" w:sz="4" w:space="0" w:color="auto"/>
            </w:tcBorders>
            <w:shd w:val="clear" w:color="000000" w:fill="FDE9D9"/>
            <w:vAlign w:val="center"/>
            <w:hideMark/>
          </w:tcPr>
          <w:p w14:paraId="77A284A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10,666 </w:t>
            </w:r>
          </w:p>
        </w:tc>
        <w:tc>
          <w:tcPr>
            <w:tcW w:w="0" w:type="auto"/>
            <w:tcBorders>
              <w:top w:val="nil"/>
              <w:left w:val="nil"/>
              <w:bottom w:val="single" w:sz="4" w:space="0" w:color="auto"/>
              <w:right w:val="single" w:sz="4" w:space="0" w:color="auto"/>
            </w:tcBorders>
            <w:shd w:val="clear" w:color="000000" w:fill="FDE9D9"/>
            <w:vAlign w:val="center"/>
            <w:hideMark/>
          </w:tcPr>
          <w:p w14:paraId="30C6D6E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2,667 </w:t>
            </w:r>
          </w:p>
        </w:tc>
        <w:tc>
          <w:tcPr>
            <w:tcW w:w="0" w:type="auto"/>
            <w:tcBorders>
              <w:top w:val="nil"/>
              <w:left w:val="nil"/>
              <w:bottom w:val="single" w:sz="4" w:space="0" w:color="auto"/>
              <w:right w:val="single" w:sz="4" w:space="0" w:color="auto"/>
            </w:tcBorders>
            <w:shd w:val="clear" w:color="000000" w:fill="DCE6F1"/>
            <w:vAlign w:val="center"/>
            <w:hideMark/>
          </w:tcPr>
          <w:p w14:paraId="572E26D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13,333 </w:t>
            </w:r>
          </w:p>
        </w:tc>
        <w:tc>
          <w:tcPr>
            <w:tcW w:w="0" w:type="auto"/>
            <w:tcBorders>
              <w:top w:val="nil"/>
              <w:left w:val="nil"/>
              <w:bottom w:val="single" w:sz="4" w:space="0" w:color="auto"/>
              <w:right w:val="single" w:sz="4" w:space="0" w:color="auto"/>
            </w:tcBorders>
            <w:shd w:val="clear" w:color="000000" w:fill="EBF1DE"/>
            <w:vAlign w:val="center"/>
            <w:hideMark/>
          </w:tcPr>
          <w:p w14:paraId="2093F8C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13,334 </w:t>
            </w:r>
          </w:p>
        </w:tc>
        <w:tc>
          <w:tcPr>
            <w:tcW w:w="0" w:type="auto"/>
            <w:tcBorders>
              <w:top w:val="nil"/>
              <w:left w:val="nil"/>
              <w:bottom w:val="single" w:sz="4" w:space="0" w:color="auto"/>
              <w:right w:val="nil"/>
            </w:tcBorders>
            <w:shd w:val="clear" w:color="000000" w:fill="E8D1FF"/>
            <w:vAlign w:val="center"/>
            <w:hideMark/>
          </w:tcPr>
          <w:p w14:paraId="67BC478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3D11FB3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40,000 </w:t>
            </w:r>
          </w:p>
        </w:tc>
        <w:tc>
          <w:tcPr>
            <w:tcW w:w="0" w:type="auto"/>
            <w:tcBorders>
              <w:top w:val="nil"/>
              <w:left w:val="nil"/>
              <w:bottom w:val="single" w:sz="4" w:space="0" w:color="auto"/>
              <w:right w:val="nil"/>
            </w:tcBorders>
            <w:shd w:val="clear" w:color="auto" w:fill="auto"/>
            <w:vAlign w:val="center"/>
            <w:hideMark/>
          </w:tcPr>
          <w:p w14:paraId="75DE29C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20,000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66F623E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20,000 </w:t>
            </w:r>
          </w:p>
        </w:tc>
      </w:tr>
      <w:tr w:rsidR="005310F9" w:rsidRPr="00AA2617" w14:paraId="76EB9C88"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4801AA1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Domestic travel </w:t>
            </w:r>
          </w:p>
        </w:tc>
        <w:tc>
          <w:tcPr>
            <w:tcW w:w="0" w:type="auto"/>
            <w:tcBorders>
              <w:top w:val="nil"/>
              <w:left w:val="nil"/>
              <w:bottom w:val="single" w:sz="4" w:space="0" w:color="auto"/>
              <w:right w:val="single" w:sz="4" w:space="0" w:color="auto"/>
            </w:tcBorders>
            <w:shd w:val="clear" w:color="auto" w:fill="auto"/>
            <w:vAlign w:val="center"/>
            <w:hideMark/>
          </w:tcPr>
          <w:p w14:paraId="02E83245"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20DD2DBA"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602FF5F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40,000 </w:t>
            </w:r>
          </w:p>
        </w:tc>
        <w:tc>
          <w:tcPr>
            <w:tcW w:w="0" w:type="auto"/>
            <w:tcBorders>
              <w:top w:val="nil"/>
              <w:left w:val="nil"/>
              <w:bottom w:val="single" w:sz="4" w:space="0" w:color="auto"/>
              <w:right w:val="single" w:sz="4" w:space="0" w:color="auto"/>
            </w:tcBorders>
            <w:shd w:val="clear" w:color="000000" w:fill="FDE9D9"/>
            <w:vAlign w:val="center"/>
            <w:hideMark/>
          </w:tcPr>
          <w:p w14:paraId="2AFADFF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10,666 </w:t>
            </w:r>
          </w:p>
        </w:tc>
        <w:tc>
          <w:tcPr>
            <w:tcW w:w="0" w:type="auto"/>
            <w:tcBorders>
              <w:top w:val="nil"/>
              <w:left w:val="nil"/>
              <w:bottom w:val="single" w:sz="4" w:space="0" w:color="auto"/>
              <w:right w:val="single" w:sz="4" w:space="0" w:color="auto"/>
            </w:tcBorders>
            <w:shd w:val="clear" w:color="000000" w:fill="FDE9D9"/>
            <w:vAlign w:val="center"/>
            <w:hideMark/>
          </w:tcPr>
          <w:p w14:paraId="756ED02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2,667 </w:t>
            </w:r>
          </w:p>
        </w:tc>
        <w:tc>
          <w:tcPr>
            <w:tcW w:w="0" w:type="auto"/>
            <w:tcBorders>
              <w:top w:val="nil"/>
              <w:left w:val="nil"/>
              <w:bottom w:val="single" w:sz="4" w:space="0" w:color="auto"/>
              <w:right w:val="single" w:sz="4" w:space="0" w:color="auto"/>
            </w:tcBorders>
            <w:shd w:val="clear" w:color="000000" w:fill="DCE6F1"/>
            <w:vAlign w:val="center"/>
            <w:hideMark/>
          </w:tcPr>
          <w:p w14:paraId="37348F0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13,333 </w:t>
            </w:r>
          </w:p>
        </w:tc>
        <w:tc>
          <w:tcPr>
            <w:tcW w:w="0" w:type="auto"/>
            <w:tcBorders>
              <w:top w:val="nil"/>
              <w:left w:val="nil"/>
              <w:bottom w:val="single" w:sz="4" w:space="0" w:color="auto"/>
              <w:right w:val="single" w:sz="4" w:space="0" w:color="auto"/>
            </w:tcBorders>
            <w:shd w:val="clear" w:color="000000" w:fill="EBF1DE"/>
            <w:vAlign w:val="center"/>
            <w:hideMark/>
          </w:tcPr>
          <w:p w14:paraId="7660138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13,334 </w:t>
            </w:r>
          </w:p>
        </w:tc>
        <w:tc>
          <w:tcPr>
            <w:tcW w:w="0" w:type="auto"/>
            <w:tcBorders>
              <w:top w:val="nil"/>
              <w:left w:val="nil"/>
              <w:bottom w:val="single" w:sz="4" w:space="0" w:color="auto"/>
              <w:right w:val="nil"/>
            </w:tcBorders>
            <w:shd w:val="clear" w:color="000000" w:fill="E8D1FF"/>
            <w:vAlign w:val="center"/>
            <w:hideMark/>
          </w:tcPr>
          <w:p w14:paraId="5ED9F1E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6A22901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40,000 </w:t>
            </w:r>
          </w:p>
        </w:tc>
        <w:tc>
          <w:tcPr>
            <w:tcW w:w="0" w:type="auto"/>
            <w:tcBorders>
              <w:top w:val="nil"/>
              <w:left w:val="nil"/>
              <w:bottom w:val="single" w:sz="4" w:space="0" w:color="auto"/>
              <w:right w:val="nil"/>
            </w:tcBorders>
            <w:shd w:val="clear" w:color="auto" w:fill="auto"/>
            <w:vAlign w:val="center"/>
            <w:hideMark/>
          </w:tcPr>
          <w:p w14:paraId="4AFFE79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20,000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5664DFD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20,000 </w:t>
            </w:r>
          </w:p>
        </w:tc>
      </w:tr>
      <w:tr w:rsidR="005310F9" w:rsidRPr="00AA2617" w14:paraId="46C77778" w14:textId="77777777" w:rsidTr="005310F9">
        <w:trPr>
          <w:trHeight w:val="300"/>
        </w:trPr>
        <w:tc>
          <w:tcPr>
            <w:tcW w:w="0" w:type="auto"/>
            <w:tcBorders>
              <w:top w:val="nil"/>
              <w:left w:val="single" w:sz="8" w:space="0" w:color="auto"/>
              <w:bottom w:val="nil"/>
              <w:right w:val="single" w:sz="4" w:space="0" w:color="auto"/>
            </w:tcBorders>
            <w:shd w:val="clear" w:color="auto" w:fill="auto"/>
            <w:vAlign w:val="center"/>
            <w:hideMark/>
          </w:tcPr>
          <w:p w14:paraId="47E1096A"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5900 Sub-total - Travel </w:t>
            </w:r>
          </w:p>
        </w:tc>
        <w:tc>
          <w:tcPr>
            <w:tcW w:w="0" w:type="auto"/>
            <w:tcBorders>
              <w:top w:val="nil"/>
              <w:left w:val="nil"/>
              <w:bottom w:val="nil"/>
              <w:right w:val="single" w:sz="4" w:space="0" w:color="auto"/>
            </w:tcBorders>
            <w:shd w:val="clear" w:color="auto" w:fill="auto"/>
            <w:vAlign w:val="center"/>
            <w:hideMark/>
          </w:tcPr>
          <w:p w14:paraId="1F32F2A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nil"/>
              <w:right w:val="single" w:sz="4" w:space="0" w:color="auto"/>
            </w:tcBorders>
            <w:shd w:val="clear" w:color="auto" w:fill="auto"/>
            <w:vAlign w:val="center"/>
            <w:hideMark/>
          </w:tcPr>
          <w:p w14:paraId="00941E5B"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nil"/>
              <w:right w:val="single" w:sz="4" w:space="0" w:color="auto"/>
            </w:tcBorders>
            <w:shd w:val="clear" w:color="auto" w:fill="auto"/>
            <w:vAlign w:val="center"/>
            <w:hideMark/>
          </w:tcPr>
          <w:p w14:paraId="4D5D3E2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4" w:space="0" w:color="auto"/>
            </w:tcBorders>
            <w:shd w:val="clear" w:color="000000" w:fill="FDE9D9"/>
            <w:vAlign w:val="center"/>
            <w:hideMark/>
          </w:tcPr>
          <w:p w14:paraId="0D27629A"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21,332 </w:t>
            </w:r>
          </w:p>
        </w:tc>
        <w:tc>
          <w:tcPr>
            <w:tcW w:w="0" w:type="auto"/>
            <w:tcBorders>
              <w:top w:val="nil"/>
              <w:left w:val="nil"/>
              <w:bottom w:val="single" w:sz="4" w:space="0" w:color="auto"/>
              <w:right w:val="single" w:sz="4" w:space="0" w:color="auto"/>
            </w:tcBorders>
            <w:shd w:val="clear" w:color="000000" w:fill="FDE9D9"/>
            <w:vAlign w:val="center"/>
            <w:hideMark/>
          </w:tcPr>
          <w:p w14:paraId="3AFE5E80"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5,334 </w:t>
            </w:r>
          </w:p>
        </w:tc>
        <w:tc>
          <w:tcPr>
            <w:tcW w:w="0" w:type="auto"/>
            <w:tcBorders>
              <w:top w:val="nil"/>
              <w:left w:val="nil"/>
              <w:bottom w:val="single" w:sz="4" w:space="0" w:color="auto"/>
              <w:right w:val="single" w:sz="4" w:space="0" w:color="auto"/>
            </w:tcBorders>
            <w:shd w:val="clear" w:color="000000" w:fill="DCE6F1"/>
            <w:vAlign w:val="center"/>
            <w:hideMark/>
          </w:tcPr>
          <w:p w14:paraId="4B7C22F3"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26,666 </w:t>
            </w:r>
          </w:p>
        </w:tc>
        <w:tc>
          <w:tcPr>
            <w:tcW w:w="0" w:type="auto"/>
            <w:tcBorders>
              <w:top w:val="nil"/>
              <w:left w:val="nil"/>
              <w:bottom w:val="single" w:sz="4" w:space="0" w:color="auto"/>
              <w:right w:val="single" w:sz="4" w:space="0" w:color="auto"/>
            </w:tcBorders>
            <w:shd w:val="clear" w:color="000000" w:fill="EBF1DE"/>
            <w:vAlign w:val="center"/>
            <w:hideMark/>
          </w:tcPr>
          <w:p w14:paraId="7455A4EF"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26,668 </w:t>
            </w:r>
          </w:p>
        </w:tc>
        <w:tc>
          <w:tcPr>
            <w:tcW w:w="0" w:type="auto"/>
            <w:tcBorders>
              <w:top w:val="nil"/>
              <w:left w:val="nil"/>
              <w:bottom w:val="single" w:sz="4" w:space="0" w:color="auto"/>
              <w:right w:val="nil"/>
            </w:tcBorders>
            <w:shd w:val="clear" w:color="000000" w:fill="E8D1FF"/>
            <w:vAlign w:val="center"/>
            <w:hideMark/>
          </w:tcPr>
          <w:p w14:paraId="14A54ACE"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single" w:sz="4" w:space="0" w:color="auto"/>
              <w:bottom w:val="nil"/>
              <w:right w:val="single" w:sz="8" w:space="0" w:color="auto"/>
            </w:tcBorders>
            <w:shd w:val="clear" w:color="000000" w:fill="D3D3D3"/>
            <w:vAlign w:val="center"/>
            <w:hideMark/>
          </w:tcPr>
          <w:p w14:paraId="24337C8E"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80,000 </w:t>
            </w:r>
          </w:p>
        </w:tc>
        <w:tc>
          <w:tcPr>
            <w:tcW w:w="0" w:type="auto"/>
            <w:tcBorders>
              <w:top w:val="nil"/>
              <w:left w:val="nil"/>
              <w:bottom w:val="nil"/>
              <w:right w:val="single" w:sz="4" w:space="0" w:color="auto"/>
            </w:tcBorders>
            <w:shd w:val="clear" w:color="auto" w:fill="auto"/>
            <w:vAlign w:val="center"/>
            <w:hideMark/>
          </w:tcPr>
          <w:p w14:paraId="663E2482"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40,000 </w:t>
            </w:r>
          </w:p>
        </w:tc>
        <w:tc>
          <w:tcPr>
            <w:tcW w:w="0" w:type="auto"/>
            <w:tcBorders>
              <w:top w:val="nil"/>
              <w:left w:val="nil"/>
              <w:bottom w:val="nil"/>
              <w:right w:val="single" w:sz="8" w:space="0" w:color="auto"/>
            </w:tcBorders>
            <w:shd w:val="clear" w:color="auto" w:fill="auto"/>
            <w:vAlign w:val="center"/>
            <w:hideMark/>
          </w:tcPr>
          <w:p w14:paraId="790B6FA8"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40,000 </w:t>
            </w:r>
          </w:p>
        </w:tc>
      </w:tr>
      <w:tr w:rsidR="005310F9" w:rsidRPr="00AA2617" w14:paraId="57663196" w14:textId="77777777" w:rsidTr="005310F9">
        <w:trPr>
          <w:trHeight w:val="300"/>
        </w:trPr>
        <w:tc>
          <w:tcPr>
            <w:tcW w:w="0" w:type="auto"/>
            <w:tcBorders>
              <w:top w:val="single" w:sz="4" w:space="0" w:color="auto"/>
              <w:left w:val="single" w:sz="8" w:space="0" w:color="auto"/>
              <w:bottom w:val="single" w:sz="4" w:space="0" w:color="auto"/>
              <w:right w:val="nil"/>
            </w:tcBorders>
            <w:shd w:val="clear" w:color="000000" w:fill="B4C6E7"/>
            <w:vAlign w:val="center"/>
            <w:hideMark/>
          </w:tcPr>
          <w:p w14:paraId="6D3EFEBF"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5920 Training </w:t>
            </w:r>
          </w:p>
        </w:tc>
        <w:tc>
          <w:tcPr>
            <w:tcW w:w="0" w:type="auto"/>
            <w:tcBorders>
              <w:top w:val="single" w:sz="4" w:space="0" w:color="auto"/>
              <w:left w:val="nil"/>
              <w:bottom w:val="single" w:sz="4" w:space="0" w:color="auto"/>
              <w:right w:val="nil"/>
            </w:tcBorders>
            <w:shd w:val="clear" w:color="000000" w:fill="B4C6E7"/>
            <w:vAlign w:val="center"/>
            <w:hideMark/>
          </w:tcPr>
          <w:p w14:paraId="24BFE28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7061C8FA"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726815A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1E13AB2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739A621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04B1110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17E6EDE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114228F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32294D7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758E872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single" w:sz="8" w:space="0" w:color="auto"/>
            </w:tcBorders>
            <w:shd w:val="clear" w:color="000000" w:fill="B4C6E7"/>
            <w:vAlign w:val="center"/>
            <w:hideMark/>
          </w:tcPr>
          <w:p w14:paraId="77E2EB3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r>
      <w:tr w:rsidR="005310F9" w:rsidRPr="00AA2617" w14:paraId="55C47024" w14:textId="77777777" w:rsidTr="005310F9">
        <w:trPr>
          <w:trHeight w:val="300"/>
        </w:trPr>
        <w:tc>
          <w:tcPr>
            <w:tcW w:w="0" w:type="auto"/>
            <w:tcBorders>
              <w:top w:val="nil"/>
              <w:left w:val="single" w:sz="8" w:space="0" w:color="auto"/>
              <w:bottom w:val="single" w:sz="4" w:space="0" w:color="auto"/>
              <w:right w:val="single" w:sz="4" w:space="0" w:color="auto"/>
            </w:tcBorders>
            <w:shd w:val="clear" w:color="000000" w:fill="FFFFFF"/>
            <w:vAlign w:val="center"/>
            <w:hideMark/>
          </w:tcPr>
          <w:p w14:paraId="06891F8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Technical capacity development </w:t>
            </w:r>
          </w:p>
        </w:tc>
        <w:tc>
          <w:tcPr>
            <w:tcW w:w="0" w:type="auto"/>
            <w:tcBorders>
              <w:top w:val="nil"/>
              <w:left w:val="nil"/>
              <w:bottom w:val="single" w:sz="4" w:space="0" w:color="auto"/>
              <w:right w:val="single" w:sz="4" w:space="0" w:color="auto"/>
            </w:tcBorders>
            <w:shd w:val="clear" w:color="auto" w:fill="auto"/>
            <w:vAlign w:val="center"/>
            <w:hideMark/>
          </w:tcPr>
          <w:p w14:paraId="558B8EA7"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65EC8C3C"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3ECCC56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33,500 </w:t>
            </w:r>
          </w:p>
        </w:tc>
        <w:tc>
          <w:tcPr>
            <w:tcW w:w="0" w:type="auto"/>
            <w:tcBorders>
              <w:top w:val="nil"/>
              <w:left w:val="nil"/>
              <w:bottom w:val="single" w:sz="4" w:space="0" w:color="auto"/>
              <w:right w:val="single" w:sz="4" w:space="0" w:color="auto"/>
            </w:tcBorders>
            <w:shd w:val="clear" w:color="000000" w:fill="FDE9D9"/>
            <w:vAlign w:val="center"/>
            <w:hideMark/>
          </w:tcPr>
          <w:p w14:paraId="50BD873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33,500 </w:t>
            </w:r>
          </w:p>
        </w:tc>
        <w:tc>
          <w:tcPr>
            <w:tcW w:w="0" w:type="auto"/>
            <w:tcBorders>
              <w:top w:val="nil"/>
              <w:left w:val="nil"/>
              <w:bottom w:val="single" w:sz="4" w:space="0" w:color="auto"/>
              <w:right w:val="single" w:sz="4" w:space="0" w:color="auto"/>
            </w:tcBorders>
            <w:shd w:val="clear" w:color="000000" w:fill="FDE9D9"/>
            <w:vAlign w:val="center"/>
            <w:hideMark/>
          </w:tcPr>
          <w:p w14:paraId="11F9F6F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DCE6F1"/>
            <w:vAlign w:val="center"/>
            <w:hideMark/>
          </w:tcPr>
          <w:p w14:paraId="3D8355D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EBF1DE"/>
            <w:vAlign w:val="center"/>
            <w:hideMark/>
          </w:tcPr>
          <w:p w14:paraId="7280EE3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nil"/>
            </w:tcBorders>
            <w:shd w:val="clear" w:color="000000" w:fill="E8D1FF"/>
            <w:vAlign w:val="center"/>
            <w:hideMark/>
          </w:tcPr>
          <w:p w14:paraId="573FE7B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49A9E7D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33,500 </w:t>
            </w:r>
          </w:p>
        </w:tc>
        <w:tc>
          <w:tcPr>
            <w:tcW w:w="0" w:type="auto"/>
            <w:tcBorders>
              <w:top w:val="nil"/>
              <w:left w:val="nil"/>
              <w:bottom w:val="single" w:sz="4" w:space="0" w:color="auto"/>
              <w:right w:val="single" w:sz="4" w:space="0" w:color="auto"/>
            </w:tcBorders>
            <w:shd w:val="clear" w:color="auto" w:fill="auto"/>
            <w:vAlign w:val="center"/>
            <w:hideMark/>
          </w:tcPr>
          <w:p w14:paraId="16302D6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27,000 </w:t>
            </w:r>
          </w:p>
        </w:tc>
        <w:tc>
          <w:tcPr>
            <w:tcW w:w="0" w:type="auto"/>
            <w:tcBorders>
              <w:top w:val="nil"/>
              <w:left w:val="nil"/>
              <w:bottom w:val="single" w:sz="4" w:space="0" w:color="auto"/>
              <w:right w:val="single" w:sz="8" w:space="0" w:color="auto"/>
            </w:tcBorders>
            <w:shd w:val="clear" w:color="000000" w:fill="FFFFFF"/>
            <w:vAlign w:val="center"/>
            <w:hideMark/>
          </w:tcPr>
          <w:p w14:paraId="514B6DE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6,500 </w:t>
            </w:r>
          </w:p>
        </w:tc>
      </w:tr>
      <w:tr w:rsidR="005310F9" w:rsidRPr="00AA2617" w14:paraId="242C9393" w14:textId="77777777" w:rsidTr="005310F9">
        <w:trPr>
          <w:trHeight w:val="300"/>
        </w:trPr>
        <w:tc>
          <w:tcPr>
            <w:tcW w:w="0" w:type="auto"/>
            <w:tcBorders>
              <w:top w:val="nil"/>
              <w:left w:val="single" w:sz="8" w:space="0" w:color="auto"/>
              <w:bottom w:val="single" w:sz="4" w:space="0" w:color="auto"/>
              <w:right w:val="single" w:sz="4" w:space="0" w:color="auto"/>
            </w:tcBorders>
            <w:shd w:val="clear" w:color="000000" w:fill="FFFFFF"/>
            <w:vAlign w:val="center"/>
            <w:hideMark/>
          </w:tcPr>
          <w:p w14:paraId="6C0EEF8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Training for national and regional focal points </w:t>
            </w:r>
          </w:p>
        </w:tc>
        <w:tc>
          <w:tcPr>
            <w:tcW w:w="0" w:type="auto"/>
            <w:tcBorders>
              <w:top w:val="nil"/>
              <w:left w:val="nil"/>
              <w:bottom w:val="single" w:sz="4" w:space="0" w:color="auto"/>
              <w:right w:val="single" w:sz="4" w:space="0" w:color="auto"/>
            </w:tcBorders>
            <w:shd w:val="clear" w:color="auto" w:fill="auto"/>
            <w:vAlign w:val="center"/>
            <w:hideMark/>
          </w:tcPr>
          <w:p w14:paraId="14077E03"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7E79F1A8"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2738BF8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17,000 </w:t>
            </w:r>
          </w:p>
        </w:tc>
        <w:tc>
          <w:tcPr>
            <w:tcW w:w="0" w:type="auto"/>
            <w:tcBorders>
              <w:top w:val="nil"/>
              <w:left w:val="nil"/>
              <w:bottom w:val="single" w:sz="4" w:space="0" w:color="auto"/>
              <w:right w:val="single" w:sz="4" w:space="0" w:color="auto"/>
            </w:tcBorders>
            <w:shd w:val="clear" w:color="000000" w:fill="FDE9D9"/>
            <w:vAlign w:val="center"/>
            <w:hideMark/>
          </w:tcPr>
          <w:p w14:paraId="4719787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17,000 </w:t>
            </w:r>
          </w:p>
        </w:tc>
        <w:tc>
          <w:tcPr>
            <w:tcW w:w="0" w:type="auto"/>
            <w:tcBorders>
              <w:top w:val="nil"/>
              <w:left w:val="nil"/>
              <w:bottom w:val="single" w:sz="4" w:space="0" w:color="auto"/>
              <w:right w:val="single" w:sz="4" w:space="0" w:color="auto"/>
            </w:tcBorders>
            <w:shd w:val="clear" w:color="000000" w:fill="FDE9D9"/>
            <w:vAlign w:val="center"/>
            <w:hideMark/>
          </w:tcPr>
          <w:p w14:paraId="372E2FF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DCE6F1"/>
            <w:vAlign w:val="center"/>
            <w:hideMark/>
          </w:tcPr>
          <w:p w14:paraId="01F2D0F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EBF1DE"/>
            <w:vAlign w:val="center"/>
            <w:hideMark/>
          </w:tcPr>
          <w:p w14:paraId="5B46D94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nil"/>
            </w:tcBorders>
            <w:shd w:val="clear" w:color="000000" w:fill="E8D1FF"/>
            <w:vAlign w:val="center"/>
            <w:hideMark/>
          </w:tcPr>
          <w:p w14:paraId="480AABA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5C67DFE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17,000 </w:t>
            </w:r>
          </w:p>
        </w:tc>
        <w:tc>
          <w:tcPr>
            <w:tcW w:w="0" w:type="auto"/>
            <w:tcBorders>
              <w:top w:val="nil"/>
              <w:left w:val="nil"/>
              <w:bottom w:val="single" w:sz="4" w:space="0" w:color="auto"/>
              <w:right w:val="single" w:sz="4" w:space="0" w:color="auto"/>
            </w:tcBorders>
            <w:shd w:val="clear" w:color="auto" w:fill="auto"/>
            <w:vAlign w:val="center"/>
            <w:hideMark/>
          </w:tcPr>
          <w:p w14:paraId="1804E67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14,000 </w:t>
            </w:r>
          </w:p>
        </w:tc>
        <w:tc>
          <w:tcPr>
            <w:tcW w:w="0" w:type="auto"/>
            <w:tcBorders>
              <w:top w:val="nil"/>
              <w:left w:val="nil"/>
              <w:bottom w:val="single" w:sz="4" w:space="0" w:color="auto"/>
              <w:right w:val="single" w:sz="8" w:space="0" w:color="auto"/>
            </w:tcBorders>
            <w:shd w:val="clear" w:color="000000" w:fill="FFFFFF"/>
            <w:vAlign w:val="center"/>
            <w:hideMark/>
          </w:tcPr>
          <w:p w14:paraId="0F0A961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3,000 </w:t>
            </w:r>
          </w:p>
        </w:tc>
      </w:tr>
      <w:tr w:rsidR="005310F9" w:rsidRPr="00AA2617" w14:paraId="5E48AF3F" w14:textId="77777777" w:rsidTr="005310F9">
        <w:trPr>
          <w:trHeight w:val="300"/>
        </w:trPr>
        <w:tc>
          <w:tcPr>
            <w:tcW w:w="0" w:type="auto"/>
            <w:tcBorders>
              <w:top w:val="nil"/>
              <w:left w:val="single" w:sz="8" w:space="0" w:color="auto"/>
              <w:bottom w:val="single" w:sz="4" w:space="0" w:color="auto"/>
              <w:right w:val="single" w:sz="4" w:space="0" w:color="auto"/>
            </w:tcBorders>
            <w:shd w:val="clear" w:color="000000" w:fill="FFFFFF"/>
            <w:vAlign w:val="center"/>
            <w:hideMark/>
          </w:tcPr>
          <w:p w14:paraId="5D26301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Training of trainers re:  MRV for data-provision guidelines </w:t>
            </w:r>
          </w:p>
        </w:tc>
        <w:tc>
          <w:tcPr>
            <w:tcW w:w="0" w:type="auto"/>
            <w:tcBorders>
              <w:top w:val="nil"/>
              <w:left w:val="nil"/>
              <w:bottom w:val="single" w:sz="4" w:space="0" w:color="auto"/>
              <w:right w:val="single" w:sz="4" w:space="0" w:color="auto"/>
            </w:tcBorders>
            <w:shd w:val="clear" w:color="auto" w:fill="auto"/>
            <w:vAlign w:val="center"/>
            <w:hideMark/>
          </w:tcPr>
          <w:p w14:paraId="1D10ADD7"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23E9DAC3"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5D7A338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8,000 </w:t>
            </w:r>
          </w:p>
        </w:tc>
        <w:tc>
          <w:tcPr>
            <w:tcW w:w="0" w:type="auto"/>
            <w:tcBorders>
              <w:top w:val="nil"/>
              <w:left w:val="nil"/>
              <w:bottom w:val="single" w:sz="4" w:space="0" w:color="auto"/>
              <w:right w:val="single" w:sz="4" w:space="0" w:color="auto"/>
            </w:tcBorders>
            <w:shd w:val="clear" w:color="000000" w:fill="FDE9D9"/>
            <w:vAlign w:val="center"/>
            <w:hideMark/>
          </w:tcPr>
          <w:p w14:paraId="3417568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FDE9D9"/>
            <w:vAlign w:val="center"/>
            <w:hideMark/>
          </w:tcPr>
          <w:p w14:paraId="7E5E368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DCE6F1"/>
            <w:vAlign w:val="center"/>
            <w:hideMark/>
          </w:tcPr>
          <w:p w14:paraId="7F5EC49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4,000 </w:t>
            </w:r>
          </w:p>
        </w:tc>
        <w:tc>
          <w:tcPr>
            <w:tcW w:w="0" w:type="auto"/>
            <w:tcBorders>
              <w:top w:val="nil"/>
              <w:left w:val="nil"/>
              <w:bottom w:val="single" w:sz="4" w:space="0" w:color="auto"/>
              <w:right w:val="single" w:sz="4" w:space="0" w:color="auto"/>
            </w:tcBorders>
            <w:shd w:val="clear" w:color="000000" w:fill="EBF1DE"/>
            <w:vAlign w:val="center"/>
            <w:hideMark/>
          </w:tcPr>
          <w:p w14:paraId="71A7BB5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4,000 </w:t>
            </w:r>
          </w:p>
        </w:tc>
        <w:tc>
          <w:tcPr>
            <w:tcW w:w="0" w:type="auto"/>
            <w:tcBorders>
              <w:top w:val="nil"/>
              <w:left w:val="nil"/>
              <w:bottom w:val="single" w:sz="4" w:space="0" w:color="auto"/>
              <w:right w:val="nil"/>
            </w:tcBorders>
            <w:shd w:val="clear" w:color="000000" w:fill="E8D1FF"/>
            <w:vAlign w:val="center"/>
            <w:hideMark/>
          </w:tcPr>
          <w:p w14:paraId="4ACA587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4FB083B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8,000 </w:t>
            </w:r>
          </w:p>
        </w:tc>
        <w:tc>
          <w:tcPr>
            <w:tcW w:w="0" w:type="auto"/>
            <w:tcBorders>
              <w:top w:val="nil"/>
              <w:left w:val="nil"/>
              <w:bottom w:val="single" w:sz="4" w:space="0" w:color="auto"/>
              <w:right w:val="single" w:sz="4" w:space="0" w:color="auto"/>
            </w:tcBorders>
            <w:shd w:val="clear" w:color="auto" w:fill="auto"/>
            <w:vAlign w:val="center"/>
            <w:hideMark/>
          </w:tcPr>
          <w:p w14:paraId="41B96C4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8" w:space="0" w:color="auto"/>
            </w:tcBorders>
            <w:shd w:val="clear" w:color="000000" w:fill="FFFFFF"/>
            <w:vAlign w:val="center"/>
            <w:hideMark/>
          </w:tcPr>
          <w:p w14:paraId="017AC79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8,000 </w:t>
            </w:r>
          </w:p>
        </w:tc>
      </w:tr>
      <w:tr w:rsidR="005310F9" w:rsidRPr="00AA2617" w14:paraId="1190E371" w14:textId="77777777" w:rsidTr="005310F9">
        <w:trPr>
          <w:trHeight w:val="300"/>
        </w:trPr>
        <w:tc>
          <w:tcPr>
            <w:tcW w:w="0" w:type="auto"/>
            <w:tcBorders>
              <w:top w:val="nil"/>
              <w:left w:val="single" w:sz="8" w:space="0" w:color="auto"/>
              <w:bottom w:val="nil"/>
              <w:right w:val="single" w:sz="4" w:space="0" w:color="auto"/>
            </w:tcBorders>
            <w:shd w:val="clear" w:color="auto" w:fill="auto"/>
            <w:vAlign w:val="center"/>
            <w:hideMark/>
          </w:tcPr>
          <w:p w14:paraId="2577DC3B"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5920 Sub-total - Training </w:t>
            </w:r>
          </w:p>
        </w:tc>
        <w:tc>
          <w:tcPr>
            <w:tcW w:w="0" w:type="auto"/>
            <w:tcBorders>
              <w:top w:val="nil"/>
              <w:left w:val="nil"/>
              <w:bottom w:val="nil"/>
              <w:right w:val="single" w:sz="4" w:space="0" w:color="auto"/>
            </w:tcBorders>
            <w:shd w:val="clear" w:color="auto" w:fill="auto"/>
            <w:vAlign w:val="center"/>
            <w:hideMark/>
          </w:tcPr>
          <w:p w14:paraId="0248884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nil"/>
              <w:right w:val="single" w:sz="4" w:space="0" w:color="auto"/>
            </w:tcBorders>
            <w:shd w:val="clear" w:color="auto" w:fill="auto"/>
            <w:vAlign w:val="center"/>
            <w:hideMark/>
          </w:tcPr>
          <w:p w14:paraId="33A17C50"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nil"/>
              <w:right w:val="single" w:sz="4" w:space="0" w:color="auto"/>
            </w:tcBorders>
            <w:shd w:val="clear" w:color="auto" w:fill="auto"/>
            <w:vAlign w:val="center"/>
            <w:hideMark/>
          </w:tcPr>
          <w:p w14:paraId="552AE57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4" w:space="0" w:color="auto"/>
            </w:tcBorders>
            <w:shd w:val="clear" w:color="000000" w:fill="FDE9D9"/>
            <w:vAlign w:val="center"/>
            <w:hideMark/>
          </w:tcPr>
          <w:p w14:paraId="69B15C32"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50,500 </w:t>
            </w:r>
          </w:p>
        </w:tc>
        <w:tc>
          <w:tcPr>
            <w:tcW w:w="0" w:type="auto"/>
            <w:tcBorders>
              <w:top w:val="nil"/>
              <w:left w:val="nil"/>
              <w:bottom w:val="single" w:sz="4" w:space="0" w:color="auto"/>
              <w:right w:val="single" w:sz="4" w:space="0" w:color="auto"/>
            </w:tcBorders>
            <w:shd w:val="clear" w:color="000000" w:fill="FDE9D9"/>
            <w:vAlign w:val="center"/>
            <w:hideMark/>
          </w:tcPr>
          <w:p w14:paraId="542AC7D3"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DCE6F1"/>
            <w:vAlign w:val="center"/>
            <w:hideMark/>
          </w:tcPr>
          <w:p w14:paraId="0840C571"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4,000 </w:t>
            </w:r>
          </w:p>
        </w:tc>
        <w:tc>
          <w:tcPr>
            <w:tcW w:w="0" w:type="auto"/>
            <w:tcBorders>
              <w:top w:val="nil"/>
              <w:left w:val="nil"/>
              <w:bottom w:val="single" w:sz="4" w:space="0" w:color="auto"/>
              <w:right w:val="single" w:sz="4" w:space="0" w:color="auto"/>
            </w:tcBorders>
            <w:shd w:val="clear" w:color="000000" w:fill="EBF1DE"/>
            <w:vAlign w:val="center"/>
            <w:hideMark/>
          </w:tcPr>
          <w:p w14:paraId="37E34715"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4,000 </w:t>
            </w:r>
          </w:p>
        </w:tc>
        <w:tc>
          <w:tcPr>
            <w:tcW w:w="0" w:type="auto"/>
            <w:tcBorders>
              <w:top w:val="nil"/>
              <w:left w:val="nil"/>
              <w:bottom w:val="single" w:sz="4" w:space="0" w:color="auto"/>
              <w:right w:val="nil"/>
            </w:tcBorders>
            <w:shd w:val="clear" w:color="000000" w:fill="E8D1FF"/>
            <w:vAlign w:val="center"/>
            <w:hideMark/>
          </w:tcPr>
          <w:p w14:paraId="252AD1F6"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single" w:sz="4" w:space="0" w:color="auto"/>
              <w:bottom w:val="nil"/>
              <w:right w:val="single" w:sz="8" w:space="0" w:color="auto"/>
            </w:tcBorders>
            <w:shd w:val="clear" w:color="000000" w:fill="D3D3D3"/>
            <w:vAlign w:val="center"/>
            <w:hideMark/>
          </w:tcPr>
          <w:p w14:paraId="76C5A254"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58,500 </w:t>
            </w:r>
          </w:p>
        </w:tc>
        <w:tc>
          <w:tcPr>
            <w:tcW w:w="0" w:type="auto"/>
            <w:tcBorders>
              <w:top w:val="nil"/>
              <w:left w:val="nil"/>
              <w:bottom w:val="nil"/>
              <w:right w:val="single" w:sz="4" w:space="0" w:color="auto"/>
            </w:tcBorders>
            <w:shd w:val="clear" w:color="auto" w:fill="auto"/>
            <w:vAlign w:val="center"/>
            <w:hideMark/>
          </w:tcPr>
          <w:p w14:paraId="16F17A29"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41,000 </w:t>
            </w:r>
          </w:p>
        </w:tc>
        <w:tc>
          <w:tcPr>
            <w:tcW w:w="0" w:type="auto"/>
            <w:tcBorders>
              <w:top w:val="nil"/>
              <w:left w:val="nil"/>
              <w:bottom w:val="nil"/>
              <w:right w:val="single" w:sz="8" w:space="0" w:color="auto"/>
            </w:tcBorders>
            <w:shd w:val="clear" w:color="auto" w:fill="auto"/>
            <w:vAlign w:val="center"/>
            <w:hideMark/>
          </w:tcPr>
          <w:p w14:paraId="48E8444C"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17,500 </w:t>
            </w:r>
          </w:p>
        </w:tc>
      </w:tr>
      <w:tr w:rsidR="005310F9" w:rsidRPr="00AA2617" w14:paraId="0CED3E18" w14:textId="77777777" w:rsidTr="005310F9">
        <w:trPr>
          <w:trHeight w:val="300"/>
        </w:trPr>
        <w:tc>
          <w:tcPr>
            <w:tcW w:w="0" w:type="auto"/>
            <w:tcBorders>
              <w:top w:val="single" w:sz="4" w:space="0" w:color="auto"/>
              <w:left w:val="single" w:sz="8" w:space="0" w:color="auto"/>
              <w:bottom w:val="single" w:sz="4" w:space="0" w:color="auto"/>
              <w:right w:val="nil"/>
            </w:tcBorders>
            <w:shd w:val="clear" w:color="000000" w:fill="B4C6E7"/>
            <w:vAlign w:val="center"/>
            <w:hideMark/>
          </w:tcPr>
          <w:p w14:paraId="7E7212A1"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6100 Non-expendable Procurement </w:t>
            </w:r>
          </w:p>
        </w:tc>
        <w:tc>
          <w:tcPr>
            <w:tcW w:w="0" w:type="auto"/>
            <w:tcBorders>
              <w:top w:val="single" w:sz="4" w:space="0" w:color="auto"/>
              <w:left w:val="nil"/>
              <w:bottom w:val="single" w:sz="4" w:space="0" w:color="auto"/>
              <w:right w:val="nil"/>
            </w:tcBorders>
            <w:shd w:val="clear" w:color="000000" w:fill="B4C6E7"/>
            <w:vAlign w:val="center"/>
            <w:hideMark/>
          </w:tcPr>
          <w:p w14:paraId="7941AD9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67AE3514"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2137206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5AE2C49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489DB9E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65F1272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6F7826B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6F72E82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2640920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162E23F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single" w:sz="8" w:space="0" w:color="auto"/>
            </w:tcBorders>
            <w:shd w:val="clear" w:color="000000" w:fill="B4C6E7"/>
            <w:vAlign w:val="center"/>
            <w:hideMark/>
          </w:tcPr>
          <w:p w14:paraId="0327121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r>
      <w:tr w:rsidR="005310F9" w:rsidRPr="00AA2617" w14:paraId="3132FE99"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0473D46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Equipment for national and regional AFOLU MRV focal points </w:t>
            </w:r>
          </w:p>
        </w:tc>
        <w:tc>
          <w:tcPr>
            <w:tcW w:w="0" w:type="auto"/>
            <w:tcBorders>
              <w:top w:val="nil"/>
              <w:left w:val="nil"/>
              <w:bottom w:val="single" w:sz="4" w:space="0" w:color="auto"/>
              <w:right w:val="single" w:sz="4" w:space="0" w:color="auto"/>
            </w:tcBorders>
            <w:shd w:val="clear" w:color="auto" w:fill="auto"/>
            <w:vAlign w:val="center"/>
            <w:hideMark/>
          </w:tcPr>
          <w:p w14:paraId="6AA70D14"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25AD9B47"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102AABA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16,500 </w:t>
            </w:r>
          </w:p>
        </w:tc>
        <w:tc>
          <w:tcPr>
            <w:tcW w:w="0" w:type="auto"/>
            <w:tcBorders>
              <w:top w:val="nil"/>
              <w:left w:val="nil"/>
              <w:bottom w:val="single" w:sz="4" w:space="0" w:color="auto"/>
              <w:right w:val="single" w:sz="4" w:space="0" w:color="auto"/>
            </w:tcBorders>
            <w:shd w:val="clear" w:color="000000" w:fill="FDE9D9"/>
            <w:vAlign w:val="center"/>
            <w:hideMark/>
          </w:tcPr>
          <w:p w14:paraId="50086D6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16,500 </w:t>
            </w:r>
          </w:p>
        </w:tc>
        <w:tc>
          <w:tcPr>
            <w:tcW w:w="0" w:type="auto"/>
            <w:tcBorders>
              <w:top w:val="nil"/>
              <w:left w:val="nil"/>
              <w:bottom w:val="single" w:sz="4" w:space="0" w:color="auto"/>
              <w:right w:val="single" w:sz="4" w:space="0" w:color="auto"/>
            </w:tcBorders>
            <w:shd w:val="clear" w:color="000000" w:fill="FDE9D9"/>
            <w:vAlign w:val="center"/>
            <w:hideMark/>
          </w:tcPr>
          <w:p w14:paraId="6E5AD22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DCE6F1"/>
            <w:vAlign w:val="center"/>
            <w:hideMark/>
          </w:tcPr>
          <w:p w14:paraId="2D3DF18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EBF1DE"/>
            <w:vAlign w:val="center"/>
            <w:hideMark/>
          </w:tcPr>
          <w:p w14:paraId="3C68629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nil"/>
            </w:tcBorders>
            <w:shd w:val="clear" w:color="000000" w:fill="E8D1FF"/>
            <w:vAlign w:val="center"/>
            <w:hideMark/>
          </w:tcPr>
          <w:p w14:paraId="0B9B602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62C4601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16,500 </w:t>
            </w:r>
          </w:p>
        </w:tc>
        <w:tc>
          <w:tcPr>
            <w:tcW w:w="0" w:type="auto"/>
            <w:tcBorders>
              <w:top w:val="nil"/>
              <w:left w:val="nil"/>
              <w:bottom w:val="single" w:sz="4" w:space="0" w:color="auto"/>
              <w:right w:val="single" w:sz="4" w:space="0" w:color="auto"/>
            </w:tcBorders>
            <w:shd w:val="clear" w:color="auto" w:fill="auto"/>
            <w:vAlign w:val="center"/>
            <w:hideMark/>
          </w:tcPr>
          <w:p w14:paraId="22A7BE8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6,600 </w:t>
            </w:r>
          </w:p>
        </w:tc>
        <w:tc>
          <w:tcPr>
            <w:tcW w:w="0" w:type="auto"/>
            <w:tcBorders>
              <w:top w:val="nil"/>
              <w:left w:val="nil"/>
              <w:bottom w:val="single" w:sz="4" w:space="0" w:color="auto"/>
              <w:right w:val="single" w:sz="8" w:space="0" w:color="auto"/>
            </w:tcBorders>
            <w:shd w:val="clear" w:color="auto" w:fill="auto"/>
            <w:vAlign w:val="center"/>
            <w:hideMark/>
          </w:tcPr>
          <w:p w14:paraId="18452F4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9,900 </w:t>
            </w:r>
          </w:p>
        </w:tc>
      </w:tr>
      <w:tr w:rsidR="005310F9" w:rsidRPr="00AA2617" w14:paraId="0517402F"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0C5E049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ICT systems upgraded for stakeholder departments </w:t>
            </w:r>
          </w:p>
        </w:tc>
        <w:tc>
          <w:tcPr>
            <w:tcW w:w="0" w:type="auto"/>
            <w:tcBorders>
              <w:top w:val="nil"/>
              <w:left w:val="nil"/>
              <w:bottom w:val="single" w:sz="4" w:space="0" w:color="auto"/>
              <w:right w:val="single" w:sz="4" w:space="0" w:color="auto"/>
            </w:tcBorders>
            <w:shd w:val="clear" w:color="auto" w:fill="auto"/>
            <w:vAlign w:val="center"/>
            <w:hideMark/>
          </w:tcPr>
          <w:p w14:paraId="0DE2892C"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46B50393"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2956E6C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9,000 </w:t>
            </w:r>
          </w:p>
        </w:tc>
        <w:tc>
          <w:tcPr>
            <w:tcW w:w="0" w:type="auto"/>
            <w:tcBorders>
              <w:top w:val="nil"/>
              <w:left w:val="nil"/>
              <w:bottom w:val="single" w:sz="4" w:space="0" w:color="auto"/>
              <w:right w:val="single" w:sz="4" w:space="0" w:color="auto"/>
            </w:tcBorders>
            <w:shd w:val="clear" w:color="000000" w:fill="FDE9D9"/>
            <w:vAlign w:val="center"/>
            <w:hideMark/>
          </w:tcPr>
          <w:p w14:paraId="05E0725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FDE9D9"/>
            <w:vAlign w:val="center"/>
            <w:hideMark/>
          </w:tcPr>
          <w:p w14:paraId="0E8EDB0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DCE6F1"/>
            <w:vAlign w:val="center"/>
            <w:hideMark/>
          </w:tcPr>
          <w:p w14:paraId="1975859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4,500 </w:t>
            </w:r>
          </w:p>
        </w:tc>
        <w:tc>
          <w:tcPr>
            <w:tcW w:w="0" w:type="auto"/>
            <w:tcBorders>
              <w:top w:val="nil"/>
              <w:left w:val="nil"/>
              <w:bottom w:val="single" w:sz="4" w:space="0" w:color="auto"/>
              <w:right w:val="single" w:sz="4" w:space="0" w:color="auto"/>
            </w:tcBorders>
            <w:shd w:val="clear" w:color="000000" w:fill="EBF1DE"/>
            <w:vAlign w:val="center"/>
            <w:hideMark/>
          </w:tcPr>
          <w:p w14:paraId="4C91E65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4,500 </w:t>
            </w:r>
          </w:p>
        </w:tc>
        <w:tc>
          <w:tcPr>
            <w:tcW w:w="0" w:type="auto"/>
            <w:tcBorders>
              <w:top w:val="nil"/>
              <w:left w:val="nil"/>
              <w:bottom w:val="single" w:sz="4" w:space="0" w:color="auto"/>
              <w:right w:val="nil"/>
            </w:tcBorders>
            <w:shd w:val="clear" w:color="000000" w:fill="E8D1FF"/>
            <w:vAlign w:val="center"/>
            <w:hideMark/>
          </w:tcPr>
          <w:p w14:paraId="143E693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3956C25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9,000 </w:t>
            </w:r>
          </w:p>
        </w:tc>
        <w:tc>
          <w:tcPr>
            <w:tcW w:w="0" w:type="auto"/>
            <w:tcBorders>
              <w:top w:val="nil"/>
              <w:left w:val="nil"/>
              <w:bottom w:val="single" w:sz="4" w:space="0" w:color="auto"/>
              <w:right w:val="single" w:sz="4" w:space="0" w:color="auto"/>
            </w:tcBorders>
            <w:shd w:val="clear" w:color="auto" w:fill="auto"/>
            <w:vAlign w:val="center"/>
            <w:hideMark/>
          </w:tcPr>
          <w:p w14:paraId="5069496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3,000 </w:t>
            </w:r>
          </w:p>
        </w:tc>
        <w:tc>
          <w:tcPr>
            <w:tcW w:w="0" w:type="auto"/>
            <w:tcBorders>
              <w:top w:val="nil"/>
              <w:left w:val="nil"/>
              <w:bottom w:val="single" w:sz="4" w:space="0" w:color="auto"/>
              <w:right w:val="single" w:sz="8" w:space="0" w:color="auto"/>
            </w:tcBorders>
            <w:shd w:val="clear" w:color="auto" w:fill="auto"/>
            <w:vAlign w:val="center"/>
            <w:hideMark/>
          </w:tcPr>
          <w:p w14:paraId="72320C8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6,000 </w:t>
            </w:r>
          </w:p>
        </w:tc>
      </w:tr>
      <w:tr w:rsidR="005310F9" w:rsidRPr="00AA2617" w14:paraId="14C117DD"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6805F3E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Equipment and software for data-collection and -management </w:t>
            </w:r>
          </w:p>
        </w:tc>
        <w:tc>
          <w:tcPr>
            <w:tcW w:w="0" w:type="auto"/>
            <w:tcBorders>
              <w:top w:val="nil"/>
              <w:left w:val="nil"/>
              <w:bottom w:val="single" w:sz="4" w:space="0" w:color="auto"/>
              <w:right w:val="single" w:sz="4" w:space="0" w:color="auto"/>
            </w:tcBorders>
            <w:shd w:val="clear" w:color="auto" w:fill="auto"/>
            <w:vAlign w:val="center"/>
            <w:hideMark/>
          </w:tcPr>
          <w:p w14:paraId="476B0B42"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709BC61B"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230BDF9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107,000 </w:t>
            </w:r>
          </w:p>
        </w:tc>
        <w:tc>
          <w:tcPr>
            <w:tcW w:w="0" w:type="auto"/>
            <w:tcBorders>
              <w:top w:val="nil"/>
              <w:left w:val="nil"/>
              <w:bottom w:val="single" w:sz="4" w:space="0" w:color="auto"/>
              <w:right w:val="single" w:sz="4" w:space="0" w:color="auto"/>
            </w:tcBorders>
            <w:shd w:val="clear" w:color="000000" w:fill="FDE9D9"/>
            <w:vAlign w:val="center"/>
            <w:hideMark/>
          </w:tcPr>
          <w:p w14:paraId="198C649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FDE9D9"/>
            <w:vAlign w:val="center"/>
            <w:hideMark/>
          </w:tcPr>
          <w:p w14:paraId="39FACC9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4" w:space="0" w:color="auto"/>
            </w:tcBorders>
            <w:shd w:val="clear" w:color="000000" w:fill="DCE6F1"/>
            <w:vAlign w:val="center"/>
            <w:hideMark/>
          </w:tcPr>
          <w:p w14:paraId="6586B1D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56,000 </w:t>
            </w:r>
          </w:p>
        </w:tc>
        <w:tc>
          <w:tcPr>
            <w:tcW w:w="0" w:type="auto"/>
            <w:tcBorders>
              <w:top w:val="nil"/>
              <w:left w:val="nil"/>
              <w:bottom w:val="single" w:sz="4" w:space="0" w:color="auto"/>
              <w:right w:val="single" w:sz="4" w:space="0" w:color="auto"/>
            </w:tcBorders>
            <w:shd w:val="clear" w:color="000000" w:fill="EBF1DE"/>
            <w:vAlign w:val="center"/>
            <w:hideMark/>
          </w:tcPr>
          <w:p w14:paraId="7B62474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51,000 </w:t>
            </w:r>
          </w:p>
        </w:tc>
        <w:tc>
          <w:tcPr>
            <w:tcW w:w="0" w:type="auto"/>
            <w:tcBorders>
              <w:top w:val="nil"/>
              <w:left w:val="nil"/>
              <w:bottom w:val="single" w:sz="4" w:space="0" w:color="auto"/>
              <w:right w:val="nil"/>
            </w:tcBorders>
            <w:shd w:val="clear" w:color="000000" w:fill="E8D1FF"/>
            <w:vAlign w:val="center"/>
            <w:hideMark/>
          </w:tcPr>
          <w:p w14:paraId="04560A8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73DF71E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107,000 </w:t>
            </w:r>
          </w:p>
        </w:tc>
        <w:tc>
          <w:tcPr>
            <w:tcW w:w="0" w:type="auto"/>
            <w:tcBorders>
              <w:top w:val="nil"/>
              <w:left w:val="nil"/>
              <w:bottom w:val="single" w:sz="4" w:space="0" w:color="auto"/>
              <w:right w:val="single" w:sz="4" w:space="0" w:color="auto"/>
            </w:tcBorders>
            <w:shd w:val="clear" w:color="auto" w:fill="auto"/>
            <w:vAlign w:val="center"/>
            <w:hideMark/>
          </w:tcPr>
          <w:p w14:paraId="5E218AF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nil"/>
              <w:bottom w:val="single" w:sz="4" w:space="0" w:color="auto"/>
              <w:right w:val="single" w:sz="8" w:space="0" w:color="auto"/>
            </w:tcBorders>
            <w:shd w:val="clear" w:color="auto" w:fill="auto"/>
            <w:vAlign w:val="center"/>
            <w:hideMark/>
          </w:tcPr>
          <w:p w14:paraId="47DD6D9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107,000 </w:t>
            </w:r>
          </w:p>
        </w:tc>
      </w:tr>
      <w:tr w:rsidR="005310F9" w:rsidRPr="00AA2617" w14:paraId="4A0E32D1"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4EBD380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PMU furniture, common equipment, and renovation </w:t>
            </w:r>
          </w:p>
        </w:tc>
        <w:tc>
          <w:tcPr>
            <w:tcW w:w="0" w:type="auto"/>
            <w:tcBorders>
              <w:top w:val="nil"/>
              <w:left w:val="nil"/>
              <w:bottom w:val="single" w:sz="4" w:space="0" w:color="auto"/>
              <w:right w:val="single" w:sz="4" w:space="0" w:color="auto"/>
            </w:tcBorders>
            <w:shd w:val="clear" w:color="auto" w:fill="auto"/>
            <w:vAlign w:val="center"/>
            <w:hideMark/>
          </w:tcPr>
          <w:p w14:paraId="4C1A331D"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2427B495"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224771D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4,000 </w:t>
            </w:r>
          </w:p>
        </w:tc>
        <w:tc>
          <w:tcPr>
            <w:tcW w:w="0" w:type="auto"/>
            <w:tcBorders>
              <w:top w:val="nil"/>
              <w:left w:val="nil"/>
              <w:bottom w:val="single" w:sz="4" w:space="0" w:color="auto"/>
              <w:right w:val="single" w:sz="4" w:space="0" w:color="auto"/>
            </w:tcBorders>
            <w:shd w:val="clear" w:color="000000" w:fill="FDE9D9"/>
            <w:vAlign w:val="center"/>
            <w:hideMark/>
          </w:tcPr>
          <w:p w14:paraId="29E6804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1,066 </w:t>
            </w:r>
          </w:p>
        </w:tc>
        <w:tc>
          <w:tcPr>
            <w:tcW w:w="0" w:type="auto"/>
            <w:tcBorders>
              <w:top w:val="nil"/>
              <w:left w:val="nil"/>
              <w:bottom w:val="single" w:sz="4" w:space="0" w:color="auto"/>
              <w:right w:val="single" w:sz="4" w:space="0" w:color="auto"/>
            </w:tcBorders>
            <w:shd w:val="clear" w:color="000000" w:fill="FDE9D9"/>
            <w:vAlign w:val="center"/>
            <w:hideMark/>
          </w:tcPr>
          <w:p w14:paraId="0AD2CD8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267 </w:t>
            </w:r>
          </w:p>
        </w:tc>
        <w:tc>
          <w:tcPr>
            <w:tcW w:w="0" w:type="auto"/>
            <w:tcBorders>
              <w:top w:val="nil"/>
              <w:left w:val="nil"/>
              <w:bottom w:val="single" w:sz="4" w:space="0" w:color="auto"/>
              <w:right w:val="single" w:sz="4" w:space="0" w:color="auto"/>
            </w:tcBorders>
            <w:shd w:val="clear" w:color="000000" w:fill="DCE6F1"/>
            <w:vAlign w:val="center"/>
            <w:hideMark/>
          </w:tcPr>
          <w:p w14:paraId="54226E7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1,333 </w:t>
            </w:r>
          </w:p>
        </w:tc>
        <w:tc>
          <w:tcPr>
            <w:tcW w:w="0" w:type="auto"/>
            <w:tcBorders>
              <w:top w:val="nil"/>
              <w:left w:val="nil"/>
              <w:bottom w:val="single" w:sz="4" w:space="0" w:color="auto"/>
              <w:right w:val="single" w:sz="4" w:space="0" w:color="auto"/>
            </w:tcBorders>
            <w:shd w:val="clear" w:color="000000" w:fill="EBF1DE"/>
            <w:vAlign w:val="center"/>
            <w:hideMark/>
          </w:tcPr>
          <w:p w14:paraId="47F458D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1,334 </w:t>
            </w:r>
          </w:p>
        </w:tc>
        <w:tc>
          <w:tcPr>
            <w:tcW w:w="0" w:type="auto"/>
            <w:tcBorders>
              <w:top w:val="nil"/>
              <w:left w:val="nil"/>
              <w:bottom w:val="single" w:sz="4" w:space="0" w:color="auto"/>
              <w:right w:val="nil"/>
            </w:tcBorders>
            <w:shd w:val="clear" w:color="000000" w:fill="E8D1FF"/>
            <w:vAlign w:val="center"/>
            <w:hideMark/>
          </w:tcPr>
          <w:p w14:paraId="040218B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5F7BC73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4,000 </w:t>
            </w:r>
          </w:p>
        </w:tc>
        <w:tc>
          <w:tcPr>
            <w:tcW w:w="0" w:type="auto"/>
            <w:tcBorders>
              <w:top w:val="nil"/>
              <w:left w:val="nil"/>
              <w:bottom w:val="single" w:sz="4" w:space="0" w:color="auto"/>
              <w:right w:val="single" w:sz="4" w:space="0" w:color="auto"/>
            </w:tcBorders>
            <w:shd w:val="clear" w:color="auto" w:fill="auto"/>
            <w:vAlign w:val="center"/>
            <w:hideMark/>
          </w:tcPr>
          <w:p w14:paraId="2A95E6B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3,200 </w:t>
            </w:r>
          </w:p>
        </w:tc>
        <w:tc>
          <w:tcPr>
            <w:tcW w:w="0" w:type="auto"/>
            <w:tcBorders>
              <w:top w:val="nil"/>
              <w:left w:val="nil"/>
              <w:bottom w:val="single" w:sz="4" w:space="0" w:color="auto"/>
              <w:right w:val="single" w:sz="8" w:space="0" w:color="auto"/>
            </w:tcBorders>
            <w:shd w:val="clear" w:color="auto" w:fill="auto"/>
            <w:vAlign w:val="center"/>
            <w:hideMark/>
          </w:tcPr>
          <w:p w14:paraId="53C1BA2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800 </w:t>
            </w:r>
          </w:p>
        </w:tc>
      </w:tr>
      <w:tr w:rsidR="005310F9" w:rsidRPr="00AA2617" w14:paraId="0D3E30D0"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1DC069E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PMU computer equipment, electronics, power generation, security, etc.  </w:t>
            </w:r>
          </w:p>
        </w:tc>
        <w:tc>
          <w:tcPr>
            <w:tcW w:w="0" w:type="auto"/>
            <w:tcBorders>
              <w:top w:val="nil"/>
              <w:left w:val="nil"/>
              <w:bottom w:val="single" w:sz="4" w:space="0" w:color="auto"/>
              <w:right w:val="single" w:sz="4" w:space="0" w:color="auto"/>
            </w:tcBorders>
            <w:shd w:val="clear" w:color="auto" w:fill="auto"/>
            <w:vAlign w:val="center"/>
            <w:hideMark/>
          </w:tcPr>
          <w:p w14:paraId="79AC4F15"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6262DC5A"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05AC4F2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5,003 </w:t>
            </w:r>
          </w:p>
        </w:tc>
        <w:tc>
          <w:tcPr>
            <w:tcW w:w="0" w:type="auto"/>
            <w:tcBorders>
              <w:top w:val="nil"/>
              <w:left w:val="nil"/>
              <w:bottom w:val="single" w:sz="4" w:space="0" w:color="auto"/>
              <w:right w:val="single" w:sz="4" w:space="0" w:color="auto"/>
            </w:tcBorders>
            <w:shd w:val="clear" w:color="000000" w:fill="FDE9D9"/>
            <w:vAlign w:val="center"/>
            <w:hideMark/>
          </w:tcPr>
          <w:p w14:paraId="3E643DB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1,334 </w:t>
            </w:r>
          </w:p>
        </w:tc>
        <w:tc>
          <w:tcPr>
            <w:tcW w:w="0" w:type="auto"/>
            <w:tcBorders>
              <w:top w:val="nil"/>
              <w:left w:val="nil"/>
              <w:bottom w:val="single" w:sz="4" w:space="0" w:color="auto"/>
              <w:right w:val="single" w:sz="4" w:space="0" w:color="auto"/>
            </w:tcBorders>
            <w:shd w:val="clear" w:color="000000" w:fill="FDE9D9"/>
            <w:vAlign w:val="center"/>
            <w:hideMark/>
          </w:tcPr>
          <w:p w14:paraId="26A06D1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334 </w:t>
            </w:r>
          </w:p>
        </w:tc>
        <w:tc>
          <w:tcPr>
            <w:tcW w:w="0" w:type="auto"/>
            <w:tcBorders>
              <w:top w:val="nil"/>
              <w:left w:val="nil"/>
              <w:bottom w:val="single" w:sz="4" w:space="0" w:color="auto"/>
              <w:right w:val="single" w:sz="4" w:space="0" w:color="auto"/>
            </w:tcBorders>
            <w:shd w:val="clear" w:color="000000" w:fill="DCE6F1"/>
            <w:vAlign w:val="center"/>
            <w:hideMark/>
          </w:tcPr>
          <w:p w14:paraId="7385325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1,668 </w:t>
            </w:r>
          </w:p>
        </w:tc>
        <w:tc>
          <w:tcPr>
            <w:tcW w:w="0" w:type="auto"/>
            <w:tcBorders>
              <w:top w:val="nil"/>
              <w:left w:val="nil"/>
              <w:bottom w:val="single" w:sz="4" w:space="0" w:color="auto"/>
              <w:right w:val="single" w:sz="4" w:space="0" w:color="auto"/>
            </w:tcBorders>
            <w:shd w:val="clear" w:color="000000" w:fill="EBF1DE"/>
            <w:vAlign w:val="center"/>
            <w:hideMark/>
          </w:tcPr>
          <w:p w14:paraId="57E9158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1,667 </w:t>
            </w:r>
          </w:p>
        </w:tc>
        <w:tc>
          <w:tcPr>
            <w:tcW w:w="0" w:type="auto"/>
            <w:tcBorders>
              <w:top w:val="nil"/>
              <w:left w:val="nil"/>
              <w:bottom w:val="single" w:sz="4" w:space="0" w:color="auto"/>
              <w:right w:val="nil"/>
            </w:tcBorders>
            <w:shd w:val="clear" w:color="000000" w:fill="E8D1FF"/>
            <w:vAlign w:val="center"/>
            <w:hideMark/>
          </w:tcPr>
          <w:p w14:paraId="23EC123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3282D17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5,003 </w:t>
            </w:r>
          </w:p>
        </w:tc>
        <w:tc>
          <w:tcPr>
            <w:tcW w:w="0" w:type="auto"/>
            <w:tcBorders>
              <w:top w:val="nil"/>
              <w:left w:val="nil"/>
              <w:bottom w:val="single" w:sz="4" w:space="0" w:color="auto"/>
              <w:right w:val="single" w:sz="4" w:space="0" w:color="auto"/>
            </w:tcBorders>
            <w:shd w:val="clear" w:color="auto" w:fill="auto"/>
            <w:vAlign w:val="center"/>
            <w:hideMark/>
          </w:tcPr>
          <w:p w14:paraId="5FA9CE9D"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4,000 </w:t>
            </w:r>
          </w:p>
        </w:tc>
        <w:tc>
          <w:tcPr>
            <w:tcW w:w="0" w:type="auto"/>
            <w:tcBorders>
              <w:top w:val="nil"/>
              <w:left w:val="nil"/>
              <w:bottom w:val="single" w:sz="4" w:space="0" w:color="auto"/>
              <w:right w:val="single" w:sz="8" w:space="0" w:color="auto"/>
            </w:tcBorders>
            <w:shd w:val="clear" w:color="auto" w:fill="auto"/>
            <w:vAlign w:val="center"/>
            <w:hideMark/>
          </w:tcPr>
          <w:p w14:paraId="106852D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1,003 </w:t>
            </w:r>
          </w:p>
        </w:tc>
      </w:tr>
      <w:tr w:rsidR="005310F9" w:rsidRPr="00AA2617" w14:paraId="622F6FBB" w14:textId="77777777" w:rsidTr="005310F9">
        <w:trPr>
          <w:trHeight w:val="252"/>
        </w:trPr>
        <w:tc>
          <w:tcPr>
            <w:tcW w:w="0" w:type="auto"/>
            <w:tcBorders>
              <w:top w:val="nil"/>
              <w:left w:val="single" w:sz="8" w:space="0" w:color="auto"/>
              <w:bottom w:val="nil"/>
              <w:right w:val="single" w:sz="4" w:space="0" w:color="auto"/>
            </w:tcBorders>
            <w:shd w:val="clear" w:color="auto" w:fill="auto"/>
            <w:vAlign w:val="center"/>
            <w:hideMark/>
          </w:tcPr>
          <w:p w14:paraId="25E34BF8"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6100 Sub-total - Non-expendable Procurement </w:t>
            </w:r>
          </w:p>
        </w:tc>
        <w:tc>
          <w:tcPr>
            <w:tcW w:w="0" w:type="auto"/>
            <w:tcBorders>
              <w:top w:val="nil"/>
              <w:left w:val="nil"/>
              <w:bottom w:val="single" w:sz="4" w:space="0" w:color="auto"/>
              <w:right w:val="single" w:sz="4" w:space="0" w:color="auto"/>
            </w:tcBorders>
            <w:shd w:val="clear" w:color="auto" w:fill="auto"/>
            <w:vAlign w:val="center"/>
            <w:hideMark/>
          </w:tcPr>
          <w:p w14:paraId="1BE6299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67D70835"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4" w:space="0" w:color="auto"/>
            </w:tcBorders>
            <w:shd w:val="clear" w:color="auto" w:fill="auto"/>
            <w:vAlign w:val="center"/>
            <w:hideMark/>
          </w:tcPr>
          <w:p w14:paraId="3F62BE7B"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w:t>
            </w:r>
          </w:p>
        </w:tc>
        <w:tc>
          <w:tcPr>
            <w:tcW w:w="0" w:type="auto"/>
            <w:tcBorders>
              <w:top w:val="nil"/>
              <w:left w:val="nil"/>
              <w:bottom w:val="single" w:sz="4" w:space="0" w:color="auto"/>
              <w:right w:val="single" w:sz="4" w:space="0" w:color="auto"/>
            </w:tcBorders>
            <w:shd w:val="clear" w:color="000000" w:fill="FDE9D9"/>
            <w:vAlign w:val="center"/>
            <w:hideMark/>
          </w:tcPr>
          <w:p w14:paraId="4A325DBC"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18,900 </w:t>
            </w:r>
          </w:p>
        </w:tc>
        <w:tc>
          <w:tcPr>
            <w:tcW w:w="0" w:type="auto"/>
            <w:tcBorders>
              <w:top w:val="nil"/>
              <w:left w:val="nil"/>
              <w:bottom w:val="single" w:sz="4" w:space="0" w:color="auto"/>
              <w:right w:val="single" w:sz="4" w:space="0" w:color="auto"/>
            </w:tcBorders>
            <w:shd w:val="clear" w:color="000000" w:fill="FDE9D9"/>
            <w:vAlign w:val="center"/>
            <w:hideMark/>
          </w:tcPr>
          <w:p w14:paraId="0942C21A"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601 </w:t>
            </w:r>
          </w:p>
        </w:tc>
        <w:tc>
          <w:tcPr>
            <w:tcW w:w="0" w:type="auto"/>
            <w:tcBorders>
              <w:top w:val="nil"/>
              <w:left w:val="nil"/>
              <w:bottom w:val="single" w:sz="4" w:space="0" w:color="auto"/>
              <w:right w:val="single" w:sz="4" w:space="0" w:color="auto"/>
            </w:tcBorders>
            <w:shd w:val="clear" w:color="000000" w:fill="DCE6F1"/>
            <w:vAlign w:val="center"/>
            <w:hideMark/>
          </w:tcPr>
          <w:p w14:paraId="611D19E3"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63,501 </w:t>
            </w:r>
          </w:p>
        </w:tc>
        <w:tc>
          <w:tcPr>
            <w:tcW w:w="0" w:type="auto"/>
            <w:tcBorders>
              <w:top w:val="nil"/>
              <w:left w:val="nil"/>
              <w:bottom w:val="single" w:sz="4" w:space="0" w:color="auto"/>
              <w:right w:val="single" w:sz="4" w:space="0" w:color="auto"/>
            </w:tcBorders>
            <w:shd w:val="clear" w:color="000000" w:fill="EBF1DE"/>
            <w:vAlign w:val="center"/>
            <w:hideMark/>
          </w:tcPr>
          <w:p w14:paraId="34770D61"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58,501 </w:t>
            </w:r>
          </w:p>
        </w:tc>
        <w:tc>
          <w:tcPr>
            <w:tcW w:w="0" w:type="auto"/>
            <w:tcBorders>
              <w:top w:val="nil"/>
              <w:left w:val="nil"/>
              <w:bottom w:val="single" w:sz="4" w:space="0" w:color="auto"/>
              <w:right w:val="nil"/>
            </w:tcBorders>
            <w:shd w:val="clear" w:color="000000" w:fill="E8D1FF"/>
            <w:vAlign w:val="center"/>
            <w:hideMark/>
          </w:tcPr>
          <w:p w14:paraId="56491C00"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single" w:sz="4" w:space="0" w:color="auto"/>
              <w:bottom w:val="nil"/>
              <w:right w:val="single" w:sz="8" w:space="0" w:color="auto"/>
            </w:tcBorders>
            <w:shd w:val="clear" w:color="000000" w:fill="D3D3D3"/>
            <w:vAlign w:val="center"/>
            <w:hideMark/>
          </w:tcPr>
          <w:p w14:paraId="4DC41D11"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141,503 </w:t>
            </w:r>
          </w:p>
        </w:tc>
        <w:tc>
          <w:tcPr>
            <w:tcW w:w="0" w:type="auto"/>
            <w:tcBorders>
              <w:top w:val="nil"/>
              <w:left w:val="nil"/>
              <w:bottom w:val="single" w:sz="4" w:space="0" w:color="auto"/>
              <w:right w:val="single" w:sz="4" w:space="0" w:color="auto"/>
            </w:tcBorders>
            <w:shd w:val="clear" w:color="auto" w:fill="auto"/>
            <w:vAlign w:val="center"/>
            <w:hideMark/>
          </w:tcPr>
          <w:p w14:paraId="779BF2AF"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16,800 </w:t>
            </w:r>
          </w:p>
        </w:tc>
        <w:tc>
          <w:tcPr>
            <w:tcW w:w="0" w:type="auto"/>
            <w:tcBorders>
              <w:top w:val="nil"/>
              <w:left w:val="nil"/>
              <w:bottom w:val="single" w:sz="4" w:space="0" w:color="auto"/>
              <w:right w:val="single" w:sz="8" w:space="0" w:color="auto"/>
            </w:tcBorders>
            <w:shd w:val="clear" w:color="auto" w:fill="auto"/>
            <w:vAlign w:val="center"/>
            <w:hideMark/>
          </w:tcPr>
          <w:p w14:paraId="34BA17CA"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124,703 </w:t>
            </w:r>
          </w:p>
        </w:tc>
      </w:tr>
      <w:tr w:rsidR="005310F9" w:rsidRPr="00AA2617" w14:paraId="3419CE36" w14:textId="77777777" w:rsidTr="005310F9">
        <w:trPr>
          <w:trHeight w:val="300"/>
        </w:trPr>
        <w:tc>
          <w:tcPr>
            <w:tcW w:w="0" w:type="auto"/>
            <w:tcBorders>
              <w:top w:val="single" w:sz="4" w:space="0" w:color="auto"/>
              <w:left w:val="single" w:sz="8" w:space="0" w:color="auto"/>
              <w:bottom w:val="single" w:sz="4" w:space="0" w:color="auto"/>
              <w:right w:val="nil"/>
            </w:tcBorders>
            <w:shd w:val="clear" w:color="000000" w:fill="B4C6E7"/>
            <w:vAlign w:val="center"/>
            <w:hideMark/>
          </w:tcPr>
          <w:p w14:paraId="50DE407C"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6300 General Operating Expenses (GOE; ≤ 5%) </w:t>
            </w:r>
          </w:p>
        </w:tc>
        <w:tc>
          <w:tcPr>
            <w:tcW w:w="0" w:type="auto"/>
            <w:tcBorders>
              <w:top w:val="nil"/>
              <w:left w:val="nil"/>
              <w:bottom w:val="single" w:sz="4" w:space="0" w:color="auto"/>
              <w:right w:val="nil"/>
            </w:tcBorders>
            <w:shd w:val="clear" w:color="000000" w:fill="B4C6E7"/>
            <w:vAlign w:val="center"/>
            <w:hideMark/>
          </w:tcPr>
          <w:p w14:paraId="795CAFE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73D64A53"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7EEE3E9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14E360F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720B122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2DC3839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409CC8D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59D0EF4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single" w:sz="4" w:space="0" w:color="auto"/>
              <w:left w:val="nil"/>
              <w:bottom w:val="single" w:sz="4" w:space="0" w:color="auto"/>
              <w:right w:val="nil"/>
            </w:tcBorders>
            <w:shd w:val="clear" w:color="000000" w:fill="B4C6E7"/>
            <w:vAlign w:val="center"/>
            <w:hideMark/>
          </w:tcPr>
          <w:p w14:paraId="3F77C86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nil"/>
            </w:tcBorders>
            <w:shd w:val="clear" w:color="000000" w:fill="B4C6E7"/>
            <w:vAlign w:val="center"/>
            <w:hideMark/>
          </w:tcPr>
          <w:p w14:paraId="715053A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single" w:sz="4" w:space="0" w:color="auto"/>
              <w:right w:val="single" w:sz="8" w:space="0" w:color="auto"/>
            </w:tcBorders>
            <w:shd w:val="clear" w:color="000000" w:fill="B4C6E7"/>
            <w:vAlign w:val="center"/>
            <w:hideMark/>
          </w:tcPr>
          <w:p w14:paraId="31A578D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r>
      <w:tr w:rsidR="005310F9" w:rsidRPr="00AA2617" w14:paraId="37204891"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5D08BBF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Vehicle rental (incl. cars, boats, drivers, fuel, related operating costs, etc.) </w:t>
            </w:r>
          </w:p>
        </w:tc>
        <w:tc>
          <w:tcPr>
            <w:tcW w:w="0" w:type="auto"/>
            <w:tcBorders>
              <w:top w:val="nil"/>
              <w:left w:val="nil"/>
              <w:bottom w:val="single" w:sz="4" w:space="0" w:color="auto"/>
              <w:right w:val="single" w:sz="4" w:space="0" w:color="auto"/>
            </w:tcBorders>
            <w:shd w:val="clear" w:color="auto" w:fill="auto"/>
            <w:vAlign w:val="center"/>
            <w:hideMark/>
          </w:tcPr>
          <w:p w14:paraId="3320D8F7"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day </w:t>
            </w:r>
          </w:p>
        </w:tc>
        <w:tc>
          <w:tcPr>
            <w:tcW w:w="0" w:type="auto"/>
            <w:tcBorders>
              <w:top w:val="nil"/>
              <w:left w:val="nil"/>
              <w:bottom w:val="single" w:sz="4" w:space="0" w:color="auto"/>
              <w:right w:val="single" w:sz="4" w:space="0" w:color="auto"/>
            </w:tcBorders>
            <w:shd w:val="clear" w:color="auto" w:fill="auto"/>
            <w:vAlign w:val="center"/>
            <w:hideMark/>
          </w:tcPr>
          <w:p w14:paraId="0E303F78"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504 </w:t>
            </w:r>
          </w:p>
        </w:tc>
        <w:tc>
          <w:tcPr>
            <w:tcW w:w="0" w:type="auto"/>
            <w:tcBorders>
              <w:top w:val="nil"/>
              <w:left w:val="nil"/>
              <w:bottom w:val="single" w:sz="4" w:space="0" w:color="auto"/>
              <w:right w:val="single" w:sz="4" w:space="0" w:color="auto"/>
            </w:tcBorders>
            <w:shd w:val="clear" w:color="auto" w:fill="auto"/>
            <w:vAlign w:val="center"/>
            <w:hideMark/>
          </w:tcPr>
          <w:p w14:paraId="6BFF99D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40 </w:t>
            </w:r>
          </w:p>
        </w:tc>
        <w:tc>
          <w:tcPr>
            <w:tcW w:w="0" w:type="auto"/>
            <w:tcBorders>
              <w:top w:val="nil"/>
              <w:left w:val="nil"/>
              <w:bottom w:val="single" w:sz="4" w:space="0" w:color="auto"/>
              <w:right w:val="single" w:sz="4" w:space="0" w:color="auto"/>
            </w:tcBorders>
            <w:shd w:val="clear" w:color="000000" w:fill="FDE9D9"/>
            <w:vAlign w:val="center"/>
            <w:hideMark/>
          </w:tcPr>
          <w:p w14:paraId="47BE80C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7,600 </w:t>
            </w:r>
          </w:p>
        </w:tc>
        <w:tc>
          <w:tcPr>
            <w:tcW w:w="0" w:type="auto"/>
            <w:tcBorders>
              <w:top w:val="nil"/>
              <w:left w:val="nil"/>
              <w:bottom w:val="single" w:sz="4" w:space="0" w:color="auto"/>
              <w:right w:val="single" w:sz="4" w:space="0" w:color="auto"/>
            </w:tcBorders>
            <w:shd w:val="clear" w:color="000000" w:fill="FDE9D9"/>
            <w:vAlign w:val="center"/>
            <w:hideMark/>
          </w:tcPr>
          <w:p w14:paraId="725E8BC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7,120 </w:t>
            </w:r>
          </w:p>
        </w:tc>
        <w:tc>
          <w:tcPr>
            <w:tcW w:w="0" w:type="auto"/>
            <w:tcBorders>
              <w:top w:val="nil"/>
              <w:left w:val="nil"/>
              <w:bottom w:val="single" w:sz="4" w:space="0" w:color="auto"/>
              <w:right w:val="single" w:sz="4" w:space="0" w:color="auto"/>
            </w:tcBorders>
            <w:shd w:val="clear" w:color="000000" w:fill="DCE6F1"/>
            <w:vAlign w:val="center"/>
            <w:hideMark/>
          </w:tcPr>
          <w:p w14:paraId="30257AC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1,720 </w:t>
            </w:r>
          </w:p>
        </w:tc>
        <w:tc>
          <w:tcPr>
            <w:tcW w:w="0" w:type="auto"/>
            <w:tcBorders>
              <w:top w:val="nil"/>
              <w:left w:val="nil"/>
              <w:bottom w:val="single" w:sz="4" w:space="0" w:color="auto"/>
              <w:right w:val="single" w:sz="4" w:space="0" w:color="auto"/>
            </w:tcBorders>
            <w:shd w:val="clear" w:color="000000" w:fill="EBF1DE"/>
            <w:vAlign w:val="center"/>
            <w:hideMark/>
          </w:tcPr>
          <w:p w14:paraId="28E41FB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3,720 </w:t>
            </w:r>
          </w:p>
        </w:tc>
        <w:tc>
          <w:tcPr>
            <w:tcW w:w="0" w:type="auto"/>
            <w:tcBorders>
              <w:top w:val="nil"/>
              <w:left w:val="nil"/>
              <w:bottom w:val="single" w:sz="4" w:space="0" w:color="auto"/>
              <w:right w:val="nil"/>
            </w:tcBorders>
            <w:shd w:val="clear" w:color="000000" w:fill="E8D1FF"/>
            <w:vAlign w:val="center"/>
            <w:hideMark/>
          </w:tcPr>
          <w:p w14:paraId="52A0F61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040D7E9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20,160 </w:t>
            </w:r>
          </w:p>
        </w:tc>
        <w:tc>
          <w:tcPr>
            <w:tcW w:w="0" w:type="auto"/>
            <w:tcBorders>
              <w:top w:val="nil"/>
              <w:left w:val="nil"/>
              <w:bottom w:val="single" w:sz="4" w:space="0" w:color="auto"/>
              <w:right w:val="nil"/>
            </w:tcBorders>
            <w:shd w:val="clear" w:color="auto" w:fill="auto"/>
            <w:vAlign w:val="center"/>
            <w:hideMark/>
          </w:tcPr>
          <w:p w14:paraId="14BE1D1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10,080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5C6F5BC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10,080 </w:t>
            </w:r>
          </w:p>
        </w:tc>
      </w:tr>
      <w:tr w:rsidR="005310F9" w:rsidRPr="00AA2617" w14:paraId="7AB4EA5C"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6C8CBEC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Communication </w:t>
            </w:r>
          </w:p>
        </w:tc>
        <w:tc>
          <w:tcPr>
            <w:tcW w:w="0" w:type="auto"/>
            <w:tcBorders>
              <w:top w:val="nil"/>
              <w:left w:val="nil"/>
              <w:bottom w:val="single" w:sz="4" w:space="0" w:color="auto"/>
              <w:right w:val="single" w:sz="4" w:space="0" w:color="auto"/>
            </w:tcBorders>
            <w:shd w:val="clear" w:color="auto" w:fill="auto"/>
            <w:vAlign w:val="center"/>
            <w:hideMark/>
          </w:tcPr>
          <w:p w14:paraId="6E7F21BE"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mo. </w:t>
            </w:r>
          </w:p>
        </w:tc>
        <w:tc>
          <w:tcPr>
            <w:tcW w:w="0" w:type="auto"/>
            <w:tcBorders>
              <w:top w:val="nil"/>
              <w:left w:val="nil"/>
              <w:bottom w:val="single" w:sz="4" w:space="0" w:color="auto"/>
              <w:right w:val="single" w:sz="4" w:space="0" w:color="auto"/>
            </w:tcBorders>
            <w:shd w:val="clear" w:color="auto" w:fill="auto"/>
            <w:vAlign w:val="center"/>
            <w:hideMark/>
          </w:tcPr>
          <w:p w14:paraId="1E3E6D3D"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24 </w:t>
            </w:r>
          </w:p>
        </w:tc>
        <w:tc>
          <w:tcPr>
            <w:tcW w:w="0" w:type="auto"/>
            <w:tcBorders>
              <w:top w:val="nil"/>
              <w:left w:val="nil"/>
              <w:bottom w:val="single" w:sz="4" w:space="0" w:color="auto"/>
              <w:right w:val="single" w:sz="4" w:space="0" w:color="auto"/>
            </w:tcBorders>
            <w:shd w:val="clear" w:color="auto" w:fill="auto"/>
            <w:vAlign w:val="center"/>
            <w:hideMark/>
          </w:tcPr>
          <w:p w14:paraId="5BF1705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30 </w:t>
            </w:r>
          </w:p>
        </w:tc>
        <w:tc>
          <w:tcPr>
            <w:tcW w:w="0" w:type="auto"/>
            <w:tcBorders>
              <w:top w:val="nil"/>
              <w:left w:val="nil"/>
              <w:bottom w:val="single" w:sz="4" w:space="0" w:color="auto"/>
              <w:right w:val="single" w:sz="4" w:space="0" w:color="auto"/>
            </w:tcBorders>
            <w:shd w:val="clear" w:color="000000" w:fill="FDE9D9"/>
            <w:vAlign w:val="center"/>
            <w:hideMark/>
          </w:tcPr>
          <w:p w14:paraId="586F6F6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180 </w:t>
            </w:r>
          </w:p>
        </w:tc>
        <w:tc>
          <w:tcPr>
            <w:tcW w:w="0" w:type="auto"/>
            <w:tcBorders>
              <w:top w:val="nil"/>
              <w:left w:val="nil"/>
              <w:bottom w:val="single" w:sz="4" w:space="0" w:color="auto"/>
              <w:right w:val="single" w:sz="4" w:space="0" w:color="auto"/>
            </w:tcBorders>
            <w:shd w:val="clear" w:color="000000" w:fill="FDE9D9"/>
            <w:vAlign w:val="center"/>
            <w:hideMark/>
          </w:tcPr>
          <w:p w14:paraId="4611AC4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180 </w:t>
            </w:r>
          </w:p>
        </w:tc>
        <w:tc>
          <w:tcPr>
            <w:tcW w:w="0" w:type="auto"/>
            <w:tcBorders>
              <w:top w:val="nil"/>
              <w:left w:val="nil"/>
              <w:bottom w:val="single" w:sz="4" w:space="0" w:color="auto"/>
              <w:right w:val="single" w:sz="4" w:space="0" w:color="auto"/>
            </w:tcBorders>
            <w:shd w:val="clear" w:color="000000" w:fill="DCE6F1"/>
            <w:vAlign w:val="center"/>
            <w:hideMark/>
          </w:tcPr>
          <w:p w14:paraId="2F0B85F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180 </w:t>
            </w:r>
          </w:p>
        </w:tc>
        <w:tc>
          <w:tcPr>
            <w:tcW w:w="0" w:type="auto"/>
            <w:tcBorders>
              <w:top w:val="nil"/>
              <w:left w:val="nil"/>
              <w:bottom w:val="single" w:sz="4" w:space="0" w:color="auto"/>
              <w:right w:val="single" w:sz="4" w:space="0" w:color="auto"/>
            </w:tcBorders>
            <w:shd w:val="clear" w:color="000000" w:fill="EBF1DE"/>
            <w:vAlign w:val="center"/>
            <w:hideMark/>
          </w:tcPr>
          <w:p w14:paraId="681F7B4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180 </w:t>
            </w:r>
          </w:p>
        </w:tc>
        <w:tc>
          <w:tcPr>
            <w:tcW w:w="0" w:type="auto"/>
            <w:tcBorders>
              <w:top w:val="nil"/>
              <w:left w:val="nil"/>
              <w:bottom w:val="single" w:sz="4" w:space="0" w:color="auto"/>
              <w:right w:val="nil"/>
            </w:tcBorders>
            <w:shd w:val="clear" w:color="000000" w:fill="E8D1FF"/>
            <w:vAlign w:val="center"/>
            <w:hideMark/>
          </w:tcPr>
          <w:p w14:paraId="1AC9E44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4E47778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720 </w:t>
            </w:r>
          </w:p>
        </w:tc>
        <w:tc>
          <w:tcPr>
            <w:tcW w:w="0" w:type="auto"/>
            <w:tcBorders>
              <w:top w:val="nil"/>
              <w:left w:val="nil"/>
              <w:bottom w:val="single" w:sz="4" w:space="0" w:color="auto"/>
              <w:right w:val="nil"/>
            </w:tcBorders>
            <w:shd w:val="clear" w:color="auto" w:fill="auto"/>
            <w:vAlign w:val="center"/>
            <w:hideMark/>
          </w:tcPr>
          <w:p w14:paraId="26C2041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360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7C238BB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360 </w:t>
            </w:r>
          </w:p>
        </w:tc>
      </w:tr>
      <w:tr w:rsidR="005310F9" w:rsidRPr="00AA2617" w14:paraId="616C0052"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098FD2D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Utilities </w:t>
            </w:r>
          </w:p>
        </w:tc>
        <w:tc>
          <w:tcPr>
            <w:tcW w:w="0" w:type="auto"/>
            <w:tcBorders>
              <w:top w:val="nil"/>
              <w:left w:val="nil"/>
              <w:bottom w:val="single" w:sz="4" w:space="0" w:color="auto"/>
              <w:right w:val="single" w:sz="4" w:space="0" w:color="auto"/>
            </w:tcBorders>
            <w:shd w:val="clear" w:color="auto" w:fill="auto"/>
            <w:vAlign w:val="center"/>
            <w:hideMark/>
          </w:tcPr>
          <w:p w14:paraId="6D977E74"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mo. </w:t>
            </w:r>
          </w:p>
        </w:tc>
        <w:tc>
          <w:tcPr>
            <w:tcW w:w="0" w:type="auto"/>
            <w:tcBorders>
              <w:top w:val="nil"/>
              <w:left w:val="nil"/>
              <w:bottom w:val="single" w:sz="4" w:space="0" w:color="auto"/>
              <w:right w:val="single" w:sz="4" w:space="0" w:color="auto"/>
            </w:tcBorders>
            <w:shd w:val="clear" w:color="auto" w:fill="auto"/>
            <w:vAlign w:val="center"/>
            <w:hideMark/>
          </w:tcPr>
          <w:p w14:paraId="67DB22DF"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24 </w:t>
            </w:r>
          </w:p>
        </w:tc>
        <w:tc>
          <w:tcPr>
            <w:tcW w:w="0" w:type="auto"/>
            <w:tcBorders>
              <w:top w:val="nil"/>
              <w:left w:val="nil"/>
              <w:bottom w:val="single" w:sz="4" w:space="0" w:color="auto"/>
              <w:right w:val="single" w:sz="4" w:space="0" w:color="auto"/>
            </w:tcBorders>
            <w:shd w:val="clear" w:color="auto" w:fill="auto"/>
            <w:vAlign w:val="center"/>
            <w:hideMark/>
          </w:tcPr>
          <w:p w14:paraId="5CD5B33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 </w:t>
            </w:r>
          </w:p>
        </w:tc>
        <w:tc>
          <w:tcPr>
            <w:tcW w:w="0" w:type="auto"/>
            <w:tcBorders>
              <w:top w:val="nil"/>
              <w:left w:val="nil"/>
              <w:bottom w:val="single" w:sz="4" w:space="0" w:color="auto"/>
              <w:right w:val="single" w:sz="4" w:space="0" w:color="auto"/>
            </w:tcBorders>
            <w:shd w:val="clear" w:color="000000" w:fill="FDE9D9"/>
            <w:vAlign w:val="center"/>
            <w:hideMark/>
          </w:tcPr>
          <w:p w14:paraId="0D49BFB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300 </w:t>
            </w:r>
          </w:p>
        </w:tc>
        <w:tc>
          <w:tcPr>
            <w:tcW w:w="0" w:type="auto"/>
            <w:tcBorders>
              <w:top w:val="nil"/>
              <w:left w:val="nil"/>
              <w:bottom w:val="single" w:sz="4" w:space="0" w:color="auto"/>
              <w:right w:val="single" w:sz="4" w:space="0" w:color="auto"/>
            </w:tcBorders>
            <w:shd w:val="clear" w:color="000000" w:fill="FDE9D9"/>
            <w:vAlign w:val="center"/>
            <w:hideMark/>
          </w:tcPr>
          <w:p w14:paraId="614BBA4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300 </w:t>
            </w:r>
          </w:p>
        </w:tc>
        <w:tc>
          <w:tcPr>
            <w:tcW w:w="0" w:type="auto"/>
            <w:tcBorders>
              <w:top w:val="nil"/>
              <w:left w:val="nil"/>
              <w:bottom w:val="single" w:sz="4" w:space="0" w:color="auto"/>
              <w:right w:val="single" w:sz="4" w:space="0" w:color="auto"/>
            </w:tcBorders>
            <w:shd w:val="clear" w:color="000000" w:fill="DCE6F1"/>
            <w:vAlign w:val="center"/>
            <w:hideMark/>
          </w:tcPr>
          <w:p w14:paraId="3136DD0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300 </w:t>
            </w:r>
          </w:p>
        </w:tc>
        <w:tc>
          <w:tcPr>
            <w:tcW w:w="0" w:type="auto"/>
            <w:tcBorders>
              <w:top w:val="nil"/>
              <w:left w:val="nil"/>
              <w:bottom w:val="single" w:sz="4" w:space="0" w:color="auto"/>
              <w:right w:val="single" w:sz="4" w:space="0" w:color="auto"/>
            </w:tcBorders>
            <w:shd w:val="clear" w:color="000000" w:fill="EBF1DE"/>
            <w:vAlign w:val="center"/>
            <w:hideMark/>
          </w:tcPr>
          <w:p w14:paraId="20C9890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300 </w:t>
            </w:r>
          </w:p>
        </w:tc>
        <w:tc>
          <w:tcPr>
            <w:tcW w:w="0" w:type="auto"/>
            <w:tcBorders>
              <w:top w:val="nil"/>
              <w:left w:val="nil"/>
              <w:bottom w:val="single" w:sz="4" w:space="0" w:color="auto"/>
              <w:right w:val="nil"/>
            </w:tcBorders>
            <w:shd w:val="clear" w:color="000000" w:fill="E8D1FF"/>
            <w:vAlign w:val="center"/>
            <w:hideMark/>
          </w:tcPr>
          <w:p w14:paraId="6E9B336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530ED58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1,200 </w:t>
            </w:r>
          </w:p>
        </w:tc>
        <w:tc>
          <w:tcPr>
            <w:tcW w:w="0" w:type="auto"/>
            <w:tcBorders>
              <w:top w:val="nil"/>
              <w:left w:val="nil"/>
              <w:bottom w:val="single" w:sz="4" w:space="0" w:color="auto"/>
              <w:right w:val="nil"/>
            </w:tcBorders>
            <w:shd w:val="clear" w:color="auto" w:fill="auto"/>
            <w:vAlign w:val="center"/>
            <w:hideMark/>
          </w:tcPr>
          <w:p w14:paraId="7B23367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600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10ECA46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600 </w:t>
            </w:r>
          </w:p>
        </w:tc>
      </w:tr>
      <w:tr w:rsidR="005310F9" w:rsidRPr="00AA2617" w14:paraId="2B1C4A07"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0755422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Stationery and Consumables </w:t>
            </w:r>
          </w:p>
        </w:tc>
        <w:tc>
          <w:tcPr>
            <w:tcW w:w="0" w:type="auto"/>
            <w:tcBorders>
              <w:top w:val="nil"/>
              <w:left w:val="nil"/>
              <w:bottom w:val="single" w:sz="4" w:space="0" w:color="auto"/>
              <w:right w:val="single" w:sz="4" w:space="0" w:color="auto"/>
            </w:tcBorders>
            <w:shd w:val="clear" w:color="auto" w:fill="auto"/>
            <w:vAlign w:val="center"/>
            <w:hideMark/>
          </w:tcPr>
          <w:p w14:paraId="6CD69486"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7F0CBCC8"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26B3384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1,000 </w:t>
            </w:r>
          </w:p>
        </w:tc>
        <w:tc>
          <w:tcPr>
            <w:tcW w:w="0" w:type="auto"/>
            <w:tcBorders>
              <w:top w:val="nil"/>
              <w:left w:val="nil"/>
              <w:bottom w:val="single" w:sz="4" w:space="0" w:color="auto"/>
              <w:right w:val="single" w:sz="4" w:space="0" w:color="auto"/>
            </w:tcBorders>
            <w:shd w:val="clear" w:color="000000" w:fill="FDE9D9"/>
            <w:vAlign w:val="center"/>
            <w:hideMark/>
          </w:tcPr>
          <w:p w14:paraId="4482936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250 </w:t>
            </w:r>
          </w:p>
        </w:tc>
        <w:tc>
          <w:tcPr>
            <w:tcW w:w="0" w:type="auto"/>
            <w:tcBorders>
              <w:top w:val="nil"/>
              <w:left w:val="nil"/>
              <w:bottom w:val="single" w:sz="4" w:space="0" w:color="auto"/>
              <w:right w:val="single" w:sz="4" w:space="0" w:color="auto"/>
            </w:tcBorders>
            <w:shd w:val="clear" w:color="000000" w:fill="FDE9D9"/>
            <w:vAlign w:val="center"/>
            <w:hideMark/>
          </w:tcPr>
          <w:p w14:paraId="605D6BD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250 </w:t>
            </w:r>
          </w:p>
        </w:tc>
        <w:tc>
          <w:tcPr>
            <w:tcW w:w="0" w:type="auto"/>
            <w:tcBorders>
              <w:top w:val="nil"/>
              <w:left w:val="nil"/>
              <w:bottom w:val="single" w:sz="4" w:space="0" w:color="auto"/>
              <w:right w:val="single" w:sz="4" w:space="0" w:color="auto"/>
            </w:tcBorders>
            <w:shd w:val="clear" w:color="000000" w:fill="DCE6F1"/>
            <w:vAlign w:val="center"/>
            <w:hideMark/>
          </w:tcPr>
          <w:p w14:paraId="7AFF3BB8"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250 </w:t>
            </w:r>
          </w:p>
        </w:tc>
        <w:tc>
          <w:tcPr>
            <w:tcW w:w="0" w:type="auto"/>
            <w:tcBorders>
              <w:top w:val="nil"/>
              <w:left w:val="nil"/>
              <w:bottom w:val="single" w:sz="4" w:space="0" w:color="auto"/>
              <w:right w:val="single" w:sz="4" w:space="0" w:color="auto"/>
            </w:tcBorders>
            <w:shd w:val="clear" w:color="000000" w:fill="EBF1DE"/>
            <w:vAlign w:val="center"/>
            <w:hideMark/>
          </w:tcPr>
          <w:p w14:paraId="2CA3048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250 </w:t>
            </w:r>
          </w:p>
        </w:tc>
        <w:tc>
          <w:tcPr>
            <w:tcW w:w="0" w:type="auto"/>
            <w:tcBorders>
              <w:top w:val="nil"/>
              <w:left w:val="nil"/>
              <w:bottom w:val="single" w:sz="4" w:space="0" w:color="auto"/>
              <w:right w:val="nil"/>
            </w:tcBorders>
            <w:shd w:val="clear" w:color="000000" w:fill="E8D1FF"/>
            <w:vAlign w:val="center"/>
            <w:hideMark/>
          </w:tcPr>
          <w:p w14:paraId="04F133C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345BAAB0"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1,000 </w:t>
            </w:r>
          </w:p>
        </w:tc>
        <w:tc>
          <w:tcPr>
            <w:tcW w:w="0" w:type="auto"/>
            <w:tcBorders>
              <w:top w:val="nil"/>
              <w:left w:val="nil"/>
              <w:bottom w:val="single" w:sz="4" w:space="0" w:color="auto"/>
              <w:right w:val="nil"/>
            </w:tcBorders>
            <w:shd w:val="clear" w:color="auto" w:fill="auto"/>
            <w:vAlign w:val="center"/>
            <w:hideMark/>
          </w:tcPr>
          <w:p w14:paraId="3BAFFC87"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697791AB"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500 </w:t>
            </w:r>
          </w:p>
        </w:tc>
      </w:tr>
      <w:tr w:rsidR="005310F9" w:rsidRPr="00AA2617" w14:paraId="4CC02BF6" w14:textId="77777777" w:rsidTr="005310F9">
        <w:trPr>
          <w:trHeight w:val="300"/>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7750C083"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Miscellaneous including contingencies  </w:t>
            </w:r>
          </w:p>
        </w:tc>
        <w:tc>
          <w:tcPr>
            <w:tcW w:w="0" w:type="auto"/>
            <w:tcBorders>
              <w:top w:val="nil"/>
              <w:left w:val="nil"/>
              <w:bottom w:val="single" w:sz="4" w:space="0" w:color="auto"/>
              <w:right w:val="single" w:sz="4" w:space="0" w:color="auto"/>
            </w:tcBorders>
            <w:shd w:val="clear" w:color="auto" w:fill="auto"/>
            <w:vAlign w:val="center"/>
            <w:hideMark/>
          </w:tcPr>
          <w:p w14:paraId="6FF656DA"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sum </w:t>
            </w:r>
          </w:p>
        </w:tc>
        <w:tc>
          <w:tcPr>
            <w:tcW w:w="0" w:type="auto"/>
            <w:tcBorders>
              <w:top w:val="nil"/>
              <w:left w:val="nil"/>
              <w:bottom w:val="single" w:sz="4" w:space="0" w:color="auto"/>
              <w:right w:val="single" w:sz="4" w:space="0" w:color="auto"/>
            </w:tcBorders>
            <w:shd w:val="clear" w:color="auto" w:fill="auto"/>
            <w:vAlign w:val="center"/>
            <w:hideMark/>
          </w:tcPr>
          <w:p w14:paraId="586ECD60"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 </w:t>
            </w:r>
          </w:p>
        </w:tc>
        <w:tc>
          <w:tcPr>
            <w:tcW w:w="0" w:type="auto"/>
            <w:tcBorders>
              <w:top w:val="nil"/>
              <w:left w:val="nil"/>
              <w:bottom w:val="single" w:sz="4" w:space="0" w:color="auto"/>
              <w:right w:val="single" w:sz="4" w:space="0" w:color="auto"/>
            </w:tcBorders>
            <w:shd w:val="clear" w:color="auto" w:fill="auto"/>
            <w:vAlign w:val="center"/>
            <w:hideMark/>
          </w:tcPr>
          <w:p w14:paraId="2DC9B02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20,082 </w:t>
            </w:r>
          </w:p>
        </w:tc>
        <w:tc>
          <w:tcPr>
            <w:tcW w:w="0" w:type="auto"/>
            <w:tcBorders>
              <w:top w:val="nil"/>
              <w:left w:val="nil"/>
              <w:bottom w:val="single" w:sz="4" w:space="0" w:color="auto"/>
              <w:right w:val="single" w:sz="4" w:space="0" w:color="auto"/>
            </w:tcBorders>
            <w:shd w:val="clear" w:color="000000" w:fill="FDE9D9"/>
            <w:vAlign w:val="center"/>
            <w:hideMark/>
          </w:tcPr>
          <w:p w14:paraId="2D7848B9"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8,000 </w:t>
            </w:r>
          </w:p>
        </w:tc>
        <w:tc>
          <w:tcPr>
            <w:tcW w:w="0" w:type="auto"/>
            <w:tcBorders>
              <w:top w:val="nil"/>
              <w:left w:val="nil"/>
              <w:bottom w:val="single" w:sz="4" w:space="0" w:color="auto"/>
              <w:right w:val="single" w:sz="4" w:space="0" w:color="auto"/>
            </w:tcBorders>
            <w:shd w:val="clear" w:color="000000" w:fill="FDE9D9"/>
            <w:vAlign w:val="center"/>
            <w:hideMark/>
          </w:tcPr>
          <w:p w14:paraId="7A8AB8A5"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8,000 </w:t>
            </w:r>
          </w:p>
        </w:tc>
        <w:tc>
          <w:tcPr>
            <w:tcW w:w="0" w:type="auto"/>
            <w:tcBorders>
              <w:top w:val="nil"/>
              <w:left w:val="nil"/>
              <w:bottom w:val="single" w:sz="4" w:space="0" w:color="auto"/>
              <w:right w:val="single" w:sz="4" w:space="0" w:color="auto"/>
            </w:tcBorders>
            <w:shd w:val="clear" w:color="000000" w:fill="DCE6F1"/>
            <w:vAlign w:val="center"/>
            <w:hideMark/>
          </w:tcPr>
          <w:p w14:paraId="36DA912C"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2,000 </w:t>
            </w:r>
          </w:p>
        </w:tc>
        <w:tc>
          <w:tcPr>
            <w:tcW w:w="0" w:type="auto"/>
            <w:tcBorders>
              <w:top w:val="nil"/>
              <w:left w:val="nil"/>
              <w:bottom w:val="single" w:sz="4" w:space="0" w:color="auto"/>
              <w:right w:val="single" w:sz="4" w:space="0" w:color="auto"/>
            </w:tcBorders>
            <w:shd w:val="clear" w:color="000000" w:fill="EBF1DE"/>
            <w:vAlign w:val="center"/>
            <w:hideMark/>
          </w:tcPr>
          <w:p w14:paraId="7A0008F1"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2,082 </w:t>
            </w:r>
          </w:p>
        </w:tc>
        <w:tc>
          <w:tcPr>
            <w:tcW w:w="0" w:type="auto"/>
            <w:tcBorders>
              <w:top w:val="nil"/>
              <w:left w:val="nil"/>
              <w:bottom w:val="single" w:sz="4" w:space="0" w:color="auto"/>
              <w:right w:val="nil"/>
            </w:tcBorders>
            <w:shd w:val="clear" w:color="000000" w:fill="E8D1FF"/>
            <w:vAlign w:val="center"/>
            <w:hideMark/>
          </w:tcPr>
          <w:p w14:paraId="6E63FC16"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   </w:t>
            </w:r>
          </w:p>
        </w:tc>
        <w:tc>
          <w:tcPr>
            <w:tcW w:w="0" w:type="auto"/>
            <w:tcBorders>
              <w:top w:val="nil"/>
              <w:left w:val="single" w:sz="4" w:space="0" w:color="auto"/>
              <w:bottom w:val="single" w:sz="4" w:space="0" w:color="auto"/>
              <w:right w:val="single" w:sz="8" w:space="0" w:color="auto"/>
            </w:tcBorders>
            <w:shd w:val="clear" w:color="000000" w:fill="D3D3D3"/>
            <w:vAlign w:val="center"/>
            <w:hideMark/>
          </w:tcPr>
          <w:p w14:paraId="0CCABF9F"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20,082 </w:t>
            </w:r>
          </w:p>
        </w:tc>
        <w:tc>
          <w:tcPr>
            <w:tcW w:w="0" w:type="auto"/>
            <w:tcBorders>
              <w:top w:val="nil"/>
              <w:left w:val="nil"/>
              <w:bottom w:val="single" w:sz="4" w:space="0" w:color="auto"/>
              <w:right w:val="nil"/>
            </w:tcBorders>
            <w:shd w:val="clear" w:color="auto" w:fill="auto"/>
            <w:vAlign w:val="center"/>
            <w:hideMark/>
          </w:tcPr>
          <w:p w14:paraId="5925F254"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10,041 </w:t>
            </w:r>
          </w:p>
        </w:tc>
        <w:tc>
          <w:tcPr>
            <w:tcW w:w="0" w:type="auto"/>
            <w:tcBorders>
              <w:top w:val="nil"/>
              <w:left w:val="single" w:sz="4" w:space="0" w:color="auto"/>
              <w:bottom w:val="single" w:sz="4" w:space="0" w:color="auto"/>
              <w:right w:val="single" w:sz="8" w:space="0" w:color="auto"/>
            </w:tcBorders>
            <w:shd w:val="clear" w:color="auto" w:fill="auto"/>
            <w:vAlign w:val="center"/>
            <w:hideMark/>
          </w:tcPr>
          <w:p w14:paraId="1FCE69DE"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xml:space="preserve">                    10,041 </w:t>
            </w:r>
          </w:p>
        </w:tc>
      </w:tr>
      <w:tr w:rsidR="005310F9" w:rsidRPr="00AA2617" w14:paraId="5BFEB889" w14:textId="77777777" w:rsidTr="005310F9">
        <w:trPr>
          <w:trHeight w:val="315"/>
        </w:trPr>
        <w:tc>
          <w:tcPr>
            <w:tcW w:w="0" w:type="auto"/>
            <w:tcBorders>
              <w:top w:val="nil"/>
              <w:left w:val="single" w:sz="8" w:space="0" w:color="auto"/>
              <w:bottom w:val="double" w:sz="6" w:space="0" w:color="auto"/>
              <w:right w:val="single" w:sz="4" w:space="0" w:color="auto"/>
            </w:tcBorders>
            <w:shd w:val="clear" w:color="auto" w:fill="auto"/>
            <w:vAlign w:val="center"/>
            <w:hideMark/>
          </w:tcPr>
          <w:p w14:paraId="03634CB2"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6300 Sub-total - GOE </w:t>
            </w:r>
          </w:p>
        </w:tc>
        <w:tc>
          <w:tcPr>
            <w:tcW w:w="0" w:type="auto"/>
            <w:tcBorders>
              <w:top w:val="nil"/>
              <w:left w:val="nil"/>
              <w:bottom w:val="double" w:sz="6" w:space="0" w:color="auto"/>
              <w:right w:val="single" w:sz="4" w:space="0" w:color="auto"/>
            </w:tcBorders>
            <w:shd w:val="clear" w:color="auto" w:fill="auto"/>
            <w:vAlign w:val="center"/>
            <w:hideMark/>
          </w:tcPr>
          <w:p w14:paraId="1381F15A"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double" w:sz="6" w:space="0" w:color="auto"/>
              <w:right w:val="single" w:sz="4" w:space="0" w:color="auto"/>
            </w:tcBorders>
            <w:shd w:val="clear" w:color="auto" w:fill="auto"/>
            <w:vAlign w:val="center"/>
            <w:hideMark/>
          </w:tcPr>
          <w:p w14:paraId="7B14D55F" w14:textId="77777777" w:rsidR="005310F9" w:rsidRPr="00AA2617" w:rsidRDefault="005310F9" w:rsidP="00AA2617">
            <w:pPr>
              <w:spacing w:after="0"/>
              <w:jc w:val="center"/>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double" w:sz="6" w:space="0" w:color="auto"/>
              <w:right w:val="single" w:sz="4" w:space="0" w:color="auto"/>
            </w:tcBorders>
            <w:shd w:val="clear" w:color="auto" w:fill="auto"/>
            <w:vAlign w:val="center"/>
            <w:hideMark/>
          </w:tcPr>
          <w:p w14:paraId="694A88E2" w14:textId="77777777" w:rsidR="005310F9" w:rsidRPr="00AA2617" w:rsidRDefault="005310F9" w:rsidP="00AA2617">
            <w:pPr>
              <w:spacing w:after="0"/>
              <w:jc w:val="left"/>
              <w:rPr>
                <w:rFonts w:ascii="Arial Narrow" w:eastAsia="Times New Roman" w:hAnsi="Arial Narrow" w:cs="Times New Roman"/>
                <w:sz w:val="16"/>
                <w:szCs w:val="16"/>
                <w:lang w:eastAsia="ja-JP"/>
              </w:rPr>
            </w:pPr>
            <w:r w:rsidRPr="00AA2617">
              <w:rPr>
                <w:rFonts w:ascii="Arial Narrow" w:eastAsia="Times New Roman" w:hAnsi="Arial Narrow" w:cs="Times New Roman"/>
                <w:sz w:val="16"/>
                <w:szCs w:val="16"/>
                <w:lang w:eastAsia="ja-JP"/>
              </w:rPr>
              <w:t> </w:t>
            </w:r>
          </w:p>
        </w:tc>
        <w:tc>
          <w:tcPr>
            <w:tcW w:w="0" w:type="auto"/>
            <w:tcBorders>
              <w:top w:val="nil"/>
              <w:left w:val="nil"/>
              <w:bottom w:val="double" w:sz="6" w:space="0" w:color="auto"/>
              <w:right w:val="single" w:sz="4" w:space="0" w:color="auto"/>
            </w:tcBorders>
            <w:shd w:val="clear" w:color="000000" w:fill="FDE9D9"/>
            <w:vAlign w:val="center"/>
            <w:hideMark/>
          </w:tcPr>
          <w:p w14:paraId="6B722B2D"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16,330 </w:t>
            </w:r>
          </w:p>
        </w:tc>
        <w:tc>
          <w:tcPr>
            <w:tcW w:w="0" w:type="auto"/>
            <w:tcBorders>
              <w:top w:val="nil"/>
              <w:left w:val="nil"/>
              <w:bottom w:val="double" w:sz="6" w:space="0" w:color="auto"/>
              <w:right w:val="single" w:sz="4" w:space="0" w:color="auto"/>
            </w:tcBorders>
            <w:shd w:val="clear" w:color="000000" w:fill="FDE9D9"/>
            <w:vAlign w:val="center"/>
            <w:hideMark/>
          </w:tcPr>
          <w:p w14:paraId="15EF5ED4"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15,850 </w:t>
            </w:r>
          </w:p>
        </w:tc>
        <w:tc>
          <w:tcPr>
            <w:tcW w:w="0" w:type="auto"/>
            <w:tcBorders>
              <w:top w:val="nil"/>
              <w:left w:val="nil"/>
              <w:bottom w:val="double" w:sz="6" w:space="0" w:color="auto"/>
              <w:right w:val="single" w:sz="4" w:space="0" w:color="auto"/>
            </w:tcBorders>
            <w:shd w:val="clear" w:color="000000" w:fill="DCE6F1"/>
            <w:vAlign w:val="center"/>
            <w:hideMark/>
          </w:tcPr>
          <w:p w14:paraId="1B1599B3"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4,450 </w:t>
            </w:r>
          </w:p>
        </w:tc>
        <w:tc>
          <w:tcPr>
            <w:tcW w:w="0" w:type="auto"/>
            <w:tcBorders>
              <w:top w:val="nil"/>
              <w:left w:val="nil"/>
              <w:bottom w:val="double" w:sz="6" w:space="0" w:color="auto"/>
              <w:right w:val="single" w:sz="4" w:space="0" w:color="auto"/>
            </w:tcBorders>
            <w:shd w:val="clear" w:color="000000" w:fill="EBF1DE"/>
            <w:vAlign w:val="center"/>
            <w:hideMark/>
          </w:tcPr>
          <w:p w14:paraId="26B621B9"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6,532 </w:t>
            </w:r>
          </w:p>
        </w:tc>
        <w:tc>
          <w:tcPr>
            <w:tcW w:w="0" w:type="auto"/>
            <w:tcBorders>
              <w:top w:val="nil"/>
              <w:left w:val="nil"/>
              <w:bottom w:val="double" w:sz="6" w:space="0" w:color="auto"/>
              <w:right w:val="nil"/>
            </w:tcBorders>
            <w:shd w:val="clear" w:color="000000" w:fill="E8D1FF"/>
            <w:vAlign w:val="center"/>
            <w:hideMark/>
          </w:tcPr>
          <w:p w14:paraId="34388ACD"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   </w:t>
            </w:r>
          </w:p>
        </w:tc>
        <w:tc>
          <w:tcPr>
            <w:tcW w:w="0" w:type="auto"/>
            <w:tcBorders>
              <w:top w:val="nil"/>
              <w:left w:val="single" w:sz="4" w:space="0" w:color="auto"/>
              <w:bottom w:val="double" w:sz="6" w:space="0" w:color="auto"/>
              <w:right w:val="single" w:sz="8" w:space="0" w:color="auto"/>
            </w:tcBorders>
            <w:shd w:val="clear" w:color="000000" w:fill="D3D3D3"/>
            <w:vAlign w:val="center"/>
            <w:hideMark/>
          </w:tcPr>
          <w:p w14:paraId="7831B715"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43,162 </w:t>
            </w:r>
          </w:p>
        </w:tc>
        <w:tc>
          <w:tcPr>
            <w:tcW w:w="0" w:type="auto"/>
            <w:tcBorders>
              <w:top w:val="nil"/>
              <w:left w:val="nil"/>
              <w:bottom w:val="double" w:sz="6" w:space="0" w:color="auto"/>
              <w:right w:val="single" w:sz="4" w:space="0" w:color="auto"/>
            </w:tcBorders>
            <w:shd w:val="clear" w:color="auto" w:fill="auto"/>
            <w:vAlign w:val="center"/>
            <w:hideMark/>
          </w:tcPr>
          <w:p w14:paraId="26498DF4"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21,581 </w:t>
            </w:r>
          </w:p>
        </w:tc>
        <w:tc>
          <w:tcPr>
            <w:tcW w:w="0" w:type="auto"/>
            <w:tcBorders>
              <w:top w:val="nil"/>
              <w:left w:val="nil"/>
              <w:bottom w:val="double" w:sz="6" w:space="0" w:color="auto"/>
              <w:right w:val="single" w:sz="8" w:space="0" w:color="auto"/>
            </w:tcBorders>
            <w:shd w:val="clear" w:color="auto" w:fill="auto"/>
            <w:vAlign w:val="center"/>
            <w:hideMark/>
          </w:tcPr>
          <w:p w14:paraId="6ED77DB7"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21,581 </w:t>
            </w:r>
          </w:p>
        </w:tc>
      </w:tr>
      <w:tr w:rsidR="005310F9" w:rsidRPr="00AA2617" w14:paraId="1247512A" w14:textId="77777777" w:rsidTr="005310F9">
        <w:trPr>
          <w:trHeight w:val="330"/>
        </w:trPr>
        <w:tc>
          <w:tcPr>
            <w:tcW w:w="0" w:type="auto"/>
            <w:gridSpan w:val="3"/>
            <w:tcBorders>
              <w:top w:val="nil"/>
              <w:left w:val="single" w:sz="8" w:space="0" w:color="auto"/>
              <w:bottom w:val="single" w:sz="8" w:space="0" w:color="auto"/>
              <w:right w:val="nil"/>
            </w:tcBorders>
            <w:shd w:val="clear" w:color="000000" w:fill="B4C6E7"/>
            <w:noWrap/>
            <w:vAlign w:val="center"/>
            <w:hideMark/>
          </w:tcPr>
          <w:p w14:paraId="55FA3EB4"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TOTAL </w:t>
            </w:r>
          </w:p>
        </w:tc>
        <w:tc>
          <w:tcPr>
            <w:tcW w:w="0" w:type="auto"/>
            <w:tcBorders>
              <w:top w:val="nil"/>
              <w:left w:val="nil"/>
              <w:bottom w:val="single" w:sz="8" w:space="0" w:color="auto"/>
              <w:right w:val="single" w:sz="4" w:space="0" w:color="auto"/>
            </w:tcBorders>
            <w:shd w:val="clear" w:color="000000" w:fill="B4C6E7"/>
            <w:noWrap/>
            <w:vAlign w:val="center"/>
            <w:hideMark/>
          </w:tcPr>
          <w:p w14:paraId="7C445E8C" w14:textId="77777777" w:rsidR="005310F9" w:rsidRPr="00AA2617" w:rsidRDefault="005310F9" w:rsidP="00AA2617">
            <w:pPr>
              <w:spacing w:after="0"/>
              <w:jc w:val="lef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w:t>
            </w:r>
          </w:p>
        </w:tc>
        <w:tc>
          <w:tcPr>
            <w:tcW w:w="0" w:type="auto"/>
            <w:tcBorders>
              <w:top w:val="nil"/>
              <w:left w:val="nil"/>
              <w:bottom w:val="single" w:sz="8" w:space="0" w:color="auto"/>
              <w:right w:val="single" w:sz="4" w:space="0" w:color="auto"/>
            </w:tcBorders>
            <w:shd w:val="clear" w:color="000000" w:fill="B4C6E7"/>
            <w:vAlign w:val="center"/>
            <w:hideMark/>
          </w:tcPr>
          <w:p w14:paraId="65EC14EC" w14:textId="77777777" w:rsidR="005310F9" w:rsidRPr="00AA2617" w:rsidRDefault="005310F9" w:rsidP="00F61DE5">
            <w:pPr>
              <w:spacing w:after="0"/>
              <w:jc w:val="righ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252,824 </w:t>
            </w:r>
          </w:p>
        </w:tc>
        <w:tc>
          <w:tcPr>
            <w:tcW w:w="0" w:type="auto"/>
            <w:tcBorders>
              <w:top w:val="nil"/>
              <w:left w:val="nil"/>
              <w:bottom w:val="single" w:sz="8" w:space="0" w:color="auto"/>
              <w:right w:val="single" w:sz="4" w:space="0" w:color="auto"/>
            </w:tcBorders>
            <w:shd w:val="clear" w:color="000000" w:fill="B4C6E7"/>
            <w:vAlign w:val="center"/>
            <w:hideMark/>
          </w:tcPr>
          <w:p w14:paraId="2CEB8983" w14:textId="77777777" w:rsidR="005310F9" w:rsidRPr="00AA2617" w:rsidRDefault="005310F9" w:rsidP="00F61DE5">
            <w:pPr>
              <w:spacing w:after="0"/>
              <w:jc w:val="righ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              56,604 </w:t>
            </w:r>
          </w:p>
        </w:tc>
        <w:tc>
          <w:tcPr>
            <w:tcW w:w="0" w:type="auto"/>
            <w:tcBorders>
              <w:top w:val="nil"/>
              <w:left w:val="nil"/>
              <w:bottom w:val="single" w:sz="8" w:space="0" w:color="auto"/>
              <w:right w:val="single" w:sz="4" w:space="0" w:color="auto"/>
            </w:tcBorders>
            <w:shd w:val="clear" w:color="000000" w:fill="B4C6E7"/>
            <w:vAlign w:val="center"/>
            <w:hideMark/>
          </w:tcPr>
          <w:p w14:paraId="63073005" w14:textId="33A12E44" w:rsidR="005310F9" w:rsidRPr="00AA2617" w:rsidRDefault="005310F9" w:rsidP="00F61DE5">
            <w:pPr>
              <w:spacing w:after="0"/>
              <w:jc w:val="righ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232,598 </w:t>
            </w:r>
          </w:p>
        </w:tc>
        <w:tc>
          <w:tcPr>
            <w:tcW w:w="0" w:type="auto"/>
            <w:tcBorders>
              <w:top w:val="nil"/>
              <w:left w:val="nil"/>
              <w:bottom w:val="single" w:sz="8" w:space="0" w:color="auto"/>
              <w:right w:val="single" w:sz="4" w:space="0" w:color="auto"/>
            </w:tcBorders>
            <w:shd w:val="clear" w:color="000000" w:fill="B4C6E7"/>
            <w:vAlign w:val="center"/>
            <w:hideMark/>
          </w:tcPr>
          <w:p w14:paraId="25CA09F5" w14:textId="75D912E4" w:rsidR="005310F9" w:rsidRPr="00AA2617" w:rsidRDefault="005310F9" w:rsidP="00F61DE5">
            <w:pPr>
              <w:spacing w:after="0"/>
              <w:jc w:val="righ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242,739 </w:t>
            </w:r>
          </w:p>
        </w:tc>
        <w:tc>
          <w:tcPr>
            <w:tcW w:w="0" w:type="auto"/>
            <w:tcBorders>
              <w:top w:val="nil"/>
              <w:left w:val="nil"/>
              <w:bottom w:val="single" w:sz="8" w:space="0" w:color="auto"/>
              <w:right w:val="single" w:sz="4" w:space="0" w:color="auto"/>
            </w:tcBorders>
            <w:shd w:val="clear" w:color="000000" w:fill="B4C6E7"/>
            <w:vAlign w:val="center"/>
            <w:hideMark/>
          </w:tcPr>
          <w:p w14:paraId="52ECC32F" w14:textId="77BFA4B2" w:rsidR="005310F9" w:rsidRPr="00AA2617" w:rsidRDefault="005310F9" w:rsidP="00F61DE5">
            <w:pPr>
              <w:spacing w:after="0"/>
              <w:jc w:val="righ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78,477 </w:t>
            </w:r>
          </w:p>
        </w:tc>
        <w:tc>
          <w:tcPr>
            <w:tcW w:w="0" w:type="auto"/>
            <w:tcBorders>
              <w:top w:val="nil"/>
              <w:left w:val="nil"/>
              <w:bottom w:val="single" w:sz="8" w:space="0" w:color="auto"/>
              <w:right w:val="nil"/>
            </w:tcBorders>
            <w:shd w:val="clear" w:color="000000" w:fill="B4C6E7"/>
            <w:vAlign w:val="center"/>
            <w:hideMark/>
          </w:tcPr>
          <w:p w14:paraId="6008D157" w14:textId="6B226703" w:rsidR="005310F9" w:rsidRPr="00AA2617" w:rsidRDefault="005310F9" w:rsidP="00F61DE5">
            <w:pPr>
              <w:spacing w:after="0"/>
              <w:jc w:val="righ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863,242 </w:t>
            </w:r>
          </w:p>
        </w:tc>
        <w:tc>
          <w:tcPr>
            <w:tcW w:w="0" w:type="auto"/>
            <w:tcBorders>
              <w:top w:val="nil"/>
              <w:left w:val="single" w:sz="8" w:space="0" w:color="auto"/>
              <w:bottom w:val="single" w:sz="8" w:space="0" w:color="auto"/>
              <w:right w:val="single" w:sz="4" w:space="0" w:color="auto"/>
            </w:tcBorders>
            <w:shd w:val="clear" w:color="000000" w:fill="B4C6E7"/>
            <w:vAlign w:val="center"/>
            <w:hideMark/>
          </w:tcPr>
          <w:p w14:paraId="4D53ECB1" w14:textId="7E1E996C" w:rsidR="005310F9" w:rsidRPr="00AA2617" w:rsidRDefault="005310F9" w:rsidP="00F61DE5">
            <w:pPr>
              <w:spacing w:after="0"/>
              <w:jc w:val="righ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380,620 </w:t>
            </w:r>
          </w:p>
        </w:tc>
        <w:tc>
          <w:tcPr>
            <w:tcW w:w="0" w:type="auto"/>
            <w:tcBorders>
              <w:top w:val="nil"/>
              <w:left w:val="single" w:sz="8" w:space="0" w:color="auto"/>
              <w:bottom w:val="single" w:sz="8" w:space="0" w:color="auto"/>
              <w:right w:val="single" w:sz="8" w:space="0" w:color="auto"/>
            </w:tcBorders>
            <w:shd w:val="clear" w:color="000000" w:fill="B4C6E7"/>
            <w:vAlign w:val="center"/>
            <w:hideMark/>
          </w:tcPr>
          <w:p w14:paraId="27AC2655" w14:textId="1DFF8390" w:rsidR="005310F9" w:rsidRPr="00AA2617" w:rsidRDefault="005310F9" w:rsidP="00F61DE5">
            <w:pPr>
              <w:spacing w:after="0"/>
              <w:jc w:val="right"/>
              <w:rPr>
                <w:rFonts w:ascii="Arial Narrow" w:eastAsia="Times New Roman" w:hAnsi="Arial Narrow" w:cs="Times New Roman"/>
                <w:b/>
                <w:bCs/>
                <w:sz w:val="16"/>
                <w:szCs w:val="16"/>
                <w:lang w:eastAsia="ja-JP"/>
              </w:rPr>
            </w:pPr>
            <w:r w:rsidRPr="00AA2617">
              <w:rPr>
                <w:rFonts w:ascii="Arial Narrow" w:eastAsia="Times New Roman" w:hAnsi="Arial Narrow" w:cs="Times New Roman"/>
                <w:b/>
                <w:bCs/>
                <w:sz w:val="16"/>
                <w:szCs w:val="16"/>
                <w:lang w:eastAsia="ja-JP"/>
              </w:rPr>
              <w:t xml:space="preserve">482,623 </w:t>
            </w:r>
          </w:p>
        </w:tc>
      </w:tr>
    </w:tbl>
    <w:p w14:paraId="0CD42FC5" w14:textId="637E5589" w:rsidR="00814685" w:rsidRPr="00AA2617" w:rsidRDefault="005310F9" w:rsidP="00AA2617">
      <w:pPr>
        <w:rPr>
          <w:rFonts w:cs="Times New Roman"/>
          <w:b/>
          <w:sz w:val="22"/>
          <w:lang w:val="en-GB"/>
        </w:rPr>
      </w:pPr>
      <w:r w:rsidRPr="00AA2617">
        <w:rPr>
          <w:rFonts w:cs="Times New Roman"/>
          <w:b/>
          <w:sz w:val="22"/>
          <w:lang w:val="en-GB"/>
        </w:rPr>
        <w:object w:dxaOrig="1540" w:dyaOrig="997" w14:anchorId="00A450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50.25pt" o:ole="">
            <v:imagedata r:id="rId21" o:title=""/>
          </v:shape>
          <o:OLEObject Type="Embed" ProgID="Excel.Sheet.12" ShapeID="_x0000_i1025" DrawAspect="Icon" ObjectID="_1620046795" r:id="rId22"/>
        </w:object>
      </w:r>
    </w:p>
    <w:p w14:paraId="08EA8AE1" w14:textId="28DE8114" w:rsidR="00814685" w:rsidRPr="00AA2617" w:rsidRDefault="00814685" w:rsidP="00AA2617">
      <w:pPr>
        <w:rPr>
          <w:rFonts w:cs="Times New Roman"/>
          <w:b/>
          <w:sz w:val="22"/>
          <w:lang w:val="en-GB"/>
        </w:rPr>
      </w:pPr>
    </w:p>
    <w:p w14:paraId="7B0A9D9A" w14:textId="614D05C5" w:rsidR="00814685" w:rsidRPr="00AA2617" w:rsidRDefault="00814685" w:rsidP="00AA2617">
      <w:pPr>
        <w:rPr>
          <w:rFonts w:cs="Times New Roman"/>
          <w:b/>
          <w:sz w:val="22"/>
          <w:lang w:val="en-GB"/>
        </w:rPr>
      </w:pPr>
    </w:p>
    <w:p w14:paraId="62E334E6" w14:textId="41714FB2" w:rsidR="00814685" w:rsidRPr="00AA2617" w:rsidRDefault="00814685" w:rsidP="00AA2617">
      <w:pPr>
        <w:rPr>
          <w:rFonts w:cs="Times New Roman"/>
          <w:b/>
          <w:sz w:val="22"/>
          <w:lang w:val="en-GB"/>
        </w:rPr>
      </w:pPr>
    </w:p>
    <w:p w14:paraId="330B27F9" w14:textId="4E0939CC" w:rsidR="00814685" w:rsidRPr="00AA2617" w:rsidRDefault="00814685" w:rsidP="00AA2617">
      <w:pPr>
        <w:rPr>
          <w:rFonts w:cs="Times New Roman"/>
          <w:b/>
          <w:sz w:val="22"/>
          <w:lang w:val="en-GB"/>
        </w:rPr>
      </w:pPr>
    </w:p>
    <w:p w14:paraId="52FB25BE" w14:textId="07E3D3AD" w:rsidR="00814685" w:rsidRPr="00AA2617" w:rsidRDefault="00814685" w:rsidP="00AA2617">
      <w:pPr>
        <w:rPr>
          <w:rFonts w:cs="Times New Roman"/>
          <w:b/>
          <w:sz w:val="22"/>
          <w:lang w:val="en-GB"/>
        </w:rPr>
      </w:pPr>
    </w:p>
    <w:p w14:paraId="4A3C4BAB" w14:textId="062FC554" w:rsidR="00814685" w:rsidRPr="00AA2617" w:rsidRDefault="00814685" w:rsidP="00AA2617">
      <w:pPr>
        <w:rPr>
          <w:rFonts w:cs="Times New Roman"/>
          <w:b/>
          <w:sz w:val="22"/>
          <w:lang w:val="en-GB"/>
        </w:rPr>
      </w:pPr>
    </w:p>
    <w:p w14:paraId="71B1D1B3" w14:textId="4DC6A3FB" w:rsidR="00814685" w:rsidRPr="00AA2617" w:rsidRDefault="00814685" w:rsidP="00AA2617">
      <w:pPr>
        <w:rPr>
          <w:rFonts w:cs="Times New Roman"/>
          <w:b/>
          <w:sz w:val="22"/>
          <w:lang w:val="en-GB"/>
        </w:rPr>
      </w:pPr>
    </w:p>
    <w:p w14:paraId="588DBA03" w14:textId="5025D929" w:rsidR="00814685" w:rsidRPr="00AA2617" w:rsidRDefault="00814685" w:rsidP="00AA2617">
      <w:pPr>
        <w:rPr>
          <w:rFonts w:cs="Times New Roman"/>
          <w:b/>
          <w:sz w:val="22"/>
          <w:lang w:val="en-GB"/>
        </w:rPr>
      </w:pPr>
    </w:p>
    <w:p w14:paraId="5708CC17" w14:textId="078A722A" w:rsidR="00814685" w:rsidRPr="00AA2617" w:rsidRDefault="00814685" w:rsidP="00AA2617">
      <w:pPr>
        <w:rPr>
          <w:rFonts w:cs="Times New Roman"/>
          <w:b/>
          <w:sz w:val="22"/>
          <w:lang w:val="en-GB"/>
        </w:rPr>
      </w:pPr>
    </w:p>
    <w:p w14:paraId="654A66A2" w14:textId="77777777" w:rsidR="00814685" w:rsidRPr="00AA2617" w:rsidRDefault="00814685" w:rsidP="00AA2617">
      <w:pPr>
        <w:rPr>
          <w:rFonts w:cs="Times New Roman"/>
          <w:b/>
          <w:sz w:val="22"/>
          <w:lang w:val="en-GB"/>
        </w:rPr>
      </w:pPr>
    </w:p>
    <w:p w14:paraId="1CC2ADD8" w14:textId="739405C4" w:rsidR="00814685" w:rsidRPr="00AA2617" w:rsidRDefault="00814685" w:rsidP="00AA2617">
      <w:pPr>
        <w:rPr>
          <w:rFonts w:cs="Times New Roman"/>
          <w:b/>
          <w:sz w:val="22"/>
          <w:lang w:val="en-GB"/>
        </w:rPr>
      </w:pPr>
    </w:p>
    <w:p w14:paraId="10AE294A" w14:textId="0472C3BE" w:rsidR="00814685" w:rsidRPr="00AA2617" w:rsidRDefault="00814685" w:rsidP="00AA2617">
      <w:pPr>
        <w:rPr>
          <w:rFonts w:cs="Times New Roman"/>
          <w:b/>
          <w:sz w:val="22"/>
          <w:lang w:val="en-GB"/>
        </w:rPr>
      </w:pPr>
    </w:p>
    <w:p w14:paraId="41CC0AEB" w14:textId="4BCBAA5E" w:rsidR="00814685" w:rsidRPr="00AA2617" w:rsidRDefault="00814685" w:rsidP="00AA2617">
      <w:pPr>
        <w:rPr>
          <w:rFonts w:cs="Times New Roman"/>
          <w:b/>
          <w:sz w:val="22"/>
          <w:lang w:val="en-GB"/>
        </w:rPr>
      </w:pPr>
    </w:p>
    <w:p w14:paraId="5F53BF8C" w14:textId="2AE8512D" w:rsidR="00814685" w:rsidRPr="00AA2617" w:rsidRDefault="00814685" w:rsidP="00AA2617">
      <w:pPr>
        <w:rPr>
          <w:rFonts w:cs="Times New Roman"/>
          <w:b/>
          <w:sz w:val="22"/>
          <w:lang w:val="en-GB"/>
        </w:rPr>
      </w:pPr>
    </w:p>
    <w:p w14:paraId="2D7EF3BB" w14:textId="7A59123D" w:rsidR="00814685" w:rsidRPr="00AA2617" w:rsidRDefault="00814685" w:rsidP="00AA2617">
      <w:pPr>
        <w:rPr>
          <w:rFonts w:cs="Times New Roman"/>
          <w:b/>
          <w:sz w:val="22"/>
          <w:lang w:val="en-GB"/>
        </w:rPr>
      </w:pPr>
    </w:p>
    <w:p w14:paraId="461DAF09" w14:textId="7BD0D64A" w:rsidR="00814685" w:rsidRPr="00AA2617" w:rsidRDefault="00814685" w:rsidP="00AA2617">
      <w:pPr>
        <w:rPr>
          <w:rFonts w:cs="Times New Roman"/>
          <w:b/>
          <w:sz w:val="22"/>
          <w:lang w:val="en-GB"/>
        </w:rPr>
      </w:pPr>
    </w:p>
    <w:p w14:paraId="15B9D5EA" w14:textId="77777777" w:rsidR="00814685" w:rsidRPr="00AA2617" w:rsidRDefault="00814685" w:rsidP="00AA2617">
      <w:pPr>
        <w:rPr>
          <w:rFonts w:cs="Times New Roman"/>
          <w:b/>
          <w:sz w:val="22"/>
          <w:lang w:val="en-GB"/>
        </w:rPr>
      </w:pPr>
    </w:p>
    <w:p w14:paraId="61A29F9A" w14:textId="548F32CE" w:rsidR="003B1514" w:rsidRPr="00AA2617" w:rsidRDefault="003B1514" w:rsidP="00AA2617">
      <w:pPr>
        <w:rPr>
          <w:rFonts w:cs="Times New Roman"/>
          <w:b/>
          <w:sz w:val="22"/>
          <w:lang w:val="en-GB"/>
        </w:rPr>
      </w:pPr>
    </w:p>
    <w:p w14:paraId="36D1CB89" w14:textId="77777777" w:rsidR="003B1514" w:rsidRPr="00AA2617" w:rsidRDefault="003B1514" w:rsidP="00AA2617">
      <w:pPr>
        <w:rPr>
          <w:rFonts w:cs="Times New Roman"/>
          <w:b/>
          <w:sz w:val="22"/>
          <w:lang w:val="en-GB"/>
        </w:rPr>
      </w:pPr>
    </w:p>
    <w:p w14:paraId="297A1286" w14:textId="77777777" w:rsidR="003B1514" w:rsidRPr="00AA2617" w:rsidRDefault="003B1514" w:rsidP="00AA2617">
      <w:pPr>
        <w:jc w:val="left"/>
        <w:rPr>
          <w:rFonts w:cs="Times New Roman"/>
          <w:b/>
          <w:sz w:val="22"/>
          <w:lang w:val="en-GB"/>
        </w:rPr>
      </w:pPr>
    </w:p>
    <w:p w14:paraId="4B256AA8" w14:textId="7006AFC6" w:rsidR="003B1514" w:rsidRPr="00AA2617" w:rsidRDefault="003B1514" w:rsidP="00AA2617">
      <w:pPr>
        <w:outlineLvl w:val="0"/>
        <w:rPr>
          <w:rFonts w:cs="Times New Roman"/>
          <w:b/>
          <w:sz w:val="22"/>
          <w:lang w:val="en-GB"/>
        </w:rPr>
        <w:sectPr w:rsidR="003B1514" w:rsidRPr="00AA2617" w:rsidSect="00EE6CBD">
          <w:type w:val="continuous"/>
          <w:pgSz w:w="16838" w:h="11906" w:orient="landscape"/>
          <w:pgMar w:top="720" w:right="720" w:bottom="720" w:left="720" w:header="706" w:footer="706" w:gutter="0"/>
          <w:cols w:space="708"/>
          <w:docGrid w:linePitch="360"/>
        </w:sectPr>
      </w:pPr>
    </w:p>
    <w:p w14:paraId="75798FE9" w14:textId="77777777" w:rsidR="003B1514" w:rsidRPr="00AA2617" w:rsidRDefault="003B1514" w:rsidP="00AA2617">
      <w:pPr>
        <w:outlineLvl w:val="0"/>
        <w:rPr>
          <w:rFonts w:cs="Times New Roman"/>
          <w:b/>
          <w:sz w:val="22"/>
          <w:lang w:val="en-GB"/>
        </w:rPr>
      </w:pPr>
      <w:bookmarkStart w:id="314" w:name="_Toc5366453"/>
      <w:bookmarkStart w:id="315" w:name="_Toc9249231"/>
      <w:r w:rsidRPr="00AA2617">
        <w:rPr>
          <w:rFonts w:cs="Times New Roman"/>
          <w:b/>
          <w:sz w:val="22"/>
          <w:lang w:val="en-GB"/>
        </w:rPr>
        <w:lastRenderedPageBreak/>
        <w:t>Appendix 4.  Project Steering Committee’s Terms of Reference and Provisional Membership</w:t>
      </w:r>
      <w:bookmarkEnd w:id="314"/>
      <w:bookmarkEnd w:id="315"/>
    </w:p>
    <w:p w14:paraId="438988B0" w14:textId="77777777" w:rsidR="003B1514" w:rsidRPr="00AA2617" w:rsidRDefault="003B1514" w:rsidP="00AA2617">
      <w:pPr>
        <w:keepNext/>
        <w:spacing w:before="120"/>
        <w:rPr>
          <w:rFonts w:cs="Times New Roman"/>
          <w:b/>
          <w:sz w:val="22"/>
          <w:lang w:val="en-GB"/>
        </w:rPr>
      </w:pPr>
      <w:r w:rsidRPr="00AA2617">
        <w:rPr>
          <w:rFonts w:cs="Times New Roman"/>
          <w:b/>
          <w:sz w:val="22"/>
          <w:lang w:val="en-GB"/>
        </w:rPr>
        <w:t>Purpose and Duties</w:t>
      </w:r>
    </w:p>
    <w:p w14:paraId="0E4D9305" w14:textId="77777777" w:rsidR="003B1514" w:rsidRPr="00AA2617" w:rsidRDefault="003B1514" w:rsidP="00AA2617">
      <w:pPr>
        <w:rPr>
          <w:rFonts w:cs="Times New Roman"/>
          <w:sz w:val="22"/>
          <w:lang w:val="en-GB"/>
        </w:rPr>
      </w:pPr>
      <w:r w:rsidRPr="00AA2617">
        <w:rPr>
          <w:rFonts w:cs="Times New Roman"/>
          <w:sz w:val="22"/>
          <w:lang w:val="en-GB"/>
        </w:rPr>
        <w:t xml:space="preserve">The PSC will provide guidance and decision-making to ensure that the project’s execution leads efficiently to the project’s objective, and that the project continually accords with national policies.  The PSC will oversee the </w:t>
      </w:r>
      <w:r w:rsidRPr="00AA2617">
        <w:rPr>
          <w:rFonts w:eastAsiaTheme="minorEastAsia" w:cs="Times New Roman"/>
          <w:sz w:val="22"/>
          <w:lang w:val="en-GB" w:eastAsia="ja-JP"/>
        </w:rPr>
        <w:t xml:space="preserve">project’s </w:t>
      </w:r>
      <w:r w:rsidRPr="00AA2617">
        <w:rPr>
          <w:rFonts w:cs="Times New Roman"/>
          <w:sz w:val="22"/>
          <w:lang w:val="en-GB"/>
        </w:rPr>
        <w:t>execution and ensure that all activities are executed in accordance with the project document,</w:t>
      </w:r>
      <w:r w:rsidRPr="00AA2617">
        <w:rPr>
          <w:rFonts w:eastAsiaTheme="minorEastAsia" w:cs="Times New Roman"/>
          <w:sz w:val="22"/>
          <w:lang w:val="en-GB" w:eastAsia="ja-JP"/>
        </w:rPr>
        <w:t xml:space="preserve"> inception report, and updates or amendments approved by the PSC</w:t>
      </w:r>
      <w:r w:rsidRPr="00AA2617">
        <w:rPr>
          <w:rFonts w:cs="Times New Roman"/>
          <w:sz w:val="22"/>
          <w:lang w:val="en-GB"/>
        </w:rPr>
        <w:t>.  The PSC will:</w:t>
      </w:r>
    </w:p>
    <w:p w14:paraId="510DDA71" w14:textId="77777777" w:rsidR="003B1514" w:rsidRPr="00AA2617" w:rsidRDefault="003B1514" w:rsidP="00AA2617">
      <w:pPr>
        <w:numPr>
          <w:ilvl w:val="0"/>
          <w:numId w:val="9"/>
        </w:numPr>
        <w:rPr>
          <w:rFonts w:cs="Times New Roman"/>
          <w:sz w:val="22"/>
          <w:lang w:val="en-GB"/>
        </w:rPr>
      </w:pPr>
      <w:r w:rsidRPr="00AA2617">
        <w:rPr>
          <w:rFonts w:cs="Times New Roman"/>
          <w:sz w:val="22"/>
          <w:lang w:val="en-GB"/>
        </w:rPr>
        <w:t>Provide institutional and political support for the project’s goals and activities;</w:t>
      </w:r>
    </w:p>
    <w:p w14:paraId="1B8200A9" w14:textId="77777777" w:rsidR="003B1514" w:rsidRPr="00AA2617" w:rsidRDefault="003B1514" w:rsidP="00AA2617">
      <w:pPr>
        <w:numPr>
          <w:ilvl w:val="0"/>
          <w:numId w:val="9"/>
        </w:numPr>
        <w:rPr>
          <w:rFonts w:cs="Times New Roman"/>
          <w:sz w:val="22"/>
          <w:lang w:val="en-GB"/>
        </w:rPr>
      </w:pPr>
      <w:r w:rsidRPr="00AA2617">
        <w:rPr>
          <w:rFonts w:cs="Times New Roman"/>
          <w:sz w:val="22"/>
          <w:lang w:val="en-GB"/>
        </w:rPr>
        <w:t>Provide overall guidance to the Project Management Unit (PMU) in the implementation of the project;</w:t>
      </w:r>
    </w:p>
    <w:p w14:paraId="6560248A" w14:textId="77777777" w:rsidR="003B1514" w:rsidRPr="00AA2617" w:rsidRDefault="003B1514" w:rsidP="00AA2617">
      <w:pPr>
        <w:numPr>
          <w:ilvl w:val="0"/>
          <w:numId w:val="9"/>
        </w:numPr>
        <w:rPr>
          <w:rFonts w:cs="Times New Roman"/>
          <w:sz w:val="22"/>
          <w:lang w:val="en-GB"/>
        </w:rPr>
      </w:pPr>
      <w:r w:rsidRPr="00AA2617">
        <w:rPr>
          <w:rFonts w:cs="Times New Roman"/>
          <w:sz w:val="22"/>
          <w:lang w:val="en-GB"/>
        </w:rPr>
        <w:t>Ensure all project outputs accord with the project document,</w:t>
      </w:r>
      <w:r w:rsidRPr="00AA2617">
        <w:rPr>
          <w:rFonts w:eastAsiaTheme="minorEastAsia" w:cs="Times New Roman"/>
          <w:sz w:val="22"/>
          <w:lang w:val="en-GB" w:eastAsia="ja-JP"/>
        </w:rPr>
        <w:t xml:space="preserve"> inception report, and updates or amendments approved by the PSC;</w:t>
      </w:r>
    </w:p>
    <w:p w14:paraId="3466B779" w14:textId="77777777" w:rsidR="003B1514" w:rsidRPr="00AA2617" w:rsidRDefault="003B1514" w:rsidP="00AA2617">
      <w:pPr>
        <w:numPr>
          <w:ilvl w:val="0"/>
          <w:numId w:val="9"/>
        </w:numPr>
        <w:rPr>
          <w:rFonts w:cs="Times New Roman"/>
          <w:sz w:val="22"/>
          <w:lang w:val="en-GB"/>
        </w:rPr>
      </w:pPr>
      <w:r w:rsidRPr="00AA2617">
        <w:rPr>
          <w:rFonts w:cs="Times New Roman"/>
          <w:sz w:val="22"/>
          <w:lang w:val="en-GB"/>
        </w:rPr>
        <w:t>Review, amend (if appropriate), and clear the project’s drafted annual work-plan and budget for submission to FAO;</w:t>
      </w:r>
    </w:p>
    <w:p w14:paraId="639961AA" w14:textId="77777777" w:rsidR="003B1514" w:rsidRPr="00AA2617" w:rsidRDefault="003B1514" w:rsidP="00AA2617">
      <w:pPr>
        <w:numPr>
          <w:ilvl w:val="0"/>
          <w:numId w:val="9"/>
        </w:numPr>
        <w:rPr>
          <w:rFonts w:cs="Times New Roman"/>
          <w:sz w:val="22"/>
          <w:lang w:val="en-GB"/>
        </w:rPr>
      </w:pPr>
      <w:r w:rsidRPr="00AA2617">
        <w:rPr>
          <w:rFonts w:cs="Times New Roman"/>
          <w:sz w:val="22"/>
          <w:lang w:val="en-GB"/>
        </w:rPr>
        <w:t>Proactively identify and discuss related initiatives and policies, and their potential implications for the project;</w:t>
      </w:r>
    </w:p>
    <w:p w14:paraId="0E44A641" w14:textId="77777777" w:rsidR="003B1514" w:rsidRPr="00AA2617" w:rsidRDefault="003B1514" w:rsidP="00AA2617">
      <w:pPr>
        <w:numPr>
          <w:ilvl w:val="0"/>
          <w:numId w:val="9"/>
        </w:numPr>
        <w:rPr>
          <w:rFonts w:cs="Times New Roman"/>
          <w:sz w:val="22"/>
          <w:lang w:val="en-GB"/>
        </w:rPr>
      </w:pPr>
      <w:r w:rsidRPr="00AA2617">
        <w:rPr>
          <w:rFonts w:cs="Times New Roman"/>
          <w:sz w:val="22"/>
          <w:lang w:val="en-GB"/>
        </w:rPr>
        <w:t>Provide inputs to project reviews and the terminal evaluation, review findings, and provide comments for the response;</w:t>
      </w:r>
    </w:p>
    <w:p w14:paraId="7AAAC9E0" w14:textId="77777777" w:rsidR="003B1514" w:rsidRPr="00AA2617" w:rsidRDefault="003B1514" w:rsidP="00AA2617">
      <w:pPr>
        <w:numPr>
          <w:ilvl w:val="0"/>
          <w:numId w:val="9"/>
        </w:numPr>
        <w:rPr>
          <w:rFonts w:cs="Times New Roman"/>
          <w:sz w:val="22"/>
          <w:lang w:val="en-GB"/>
        </w:rPr>
      </w:pPr>
      <w:r w:rsidRPr="00AA2617">
        <w:rPr>
          <w:rFonts w:cs="Times New Roman"/>
          <w:sz w:val="22"/>
          <w:lang w:val="en-GB"/>
        </w:rPr>
        <w:t>Facilitate relevant inter-ministerial discussion and knowledge-sharing;</w:t>
      </w:r>
    </w:p>
    <w:p w14:paraId="050F9469" w14:textId="77777777" w:rsidR="003B1514" w:rsidRPr="00AA2617" w:rsidRDefault="003B1514" w:rsidP="00AA2617">
      <w:pPr>
        <w:numPr>
          <w:ilvl w:val="0"/>
          <w:numId w:val="9"/>
        </w:numPr>
        <w:rPr>
          <w:rFonts w:cs="Times New Roman"/>
          <w:sz w:val="22"/>
          <w:lang w:val="en-GB"/>
        </w:rPr>
      </w:pPr>
      <w:r w:rsidRPr="00AA2617">
        <w:rPr>
          <w:rFonts w:cs="Times New Roman"/>
          <w:sz w:val="22"/>
          <w:lang w:val="en-GB"/>
        </w:rPr>
        <w:t>Ensure dissemination of information, best practices, and lessons learned from the project; and</w:t>
      </w:r>
    </w:p>
    <w:p w14:paraId="41BD2157" w14:textId="77777777" w:rsidR="003B1514" w:rsidRPr="00AA2617" w:rsidRDefault="003B1514" w:rsidP="00AA2617">
      <w:pPr>
        <w:numPr>
          <w:ilvl w:val="0"/>
          <w:numId w:val="9"/>
        </w:numPr>
        <w:rPr>
          <w:rFonts w:cs="Times New Roman"/>
          <w:sz w:val="22"/>
          <w:lang w:val="en-GB"/>
        </w:rPr>
      </w:pPr>
      <w:r w:rsidRPr="00AA2617">
        <w:rPr>
          <w:rFonts w:cs="Times New Roman"/>
          <w:sz w:val="22"/>
          <w:lang w:val="en-GB"/>
        </w:rPr>
        <w:t>Identify, propose, and support efforts to strengthen post-project sustainability.</w:t>
      </w:r>
    </w:p>
    <w:p w14:paraId="0FB4CBFE" w14:textId="77777777" w:rsidR="003B1514" w:rsidRPr="00AA2617" w:rsidRDefault="003B1514" w:rsidP="00AA2617">
      <w:pPr>
        <w:keepNext/>
        <w:spacing w:before="240" w:after="240"/>
        <w:rPr>
          <w:rFonts w:cs="Times New Roman"/>
          <w:b/>
          <w:bCs/>
          <w:sz w:val="22"/>
          <w:lang w:val="en-GB"/>
        </w:rPr>
      </w:pPr>
      <w:r w:rsidRPr="00AA2617">
        <w:rPr>
          <w:rFonts w:cs="Times New Roman"/>
          <w:b/>
          <w:bCs/>
          <w:sz w:val="22"/>
          <w:lang w:val="en-GB"/>
        </w:rPr>
        <w:t>Membership</w:t>
      </w:r>
    </w:p>
    <w:p w14:paraId="26028A65" w14:textId="77777777" w:rsidR="003B1514" w:rsidRPr="00AA2617" w:rsidRDefault="003B1514" w:rsidP="00AA2617">
      <w:pPr>
        <w:rPr>
          <w:rFonts w:cs="Times New Roman"/>
          <w:sz w:val="22"/>
          <w:lang w:val="en-GB"/>
        </w:rPr>
      </w:pPr>
      <w:r w:rsidRPr="00AA2617">
        <w:rPr>
          <w:rFonts w:cs="Times New Roman"/>
          <w:sz w:val="22"/>
          <w:lang w:val="en-GB"/>
        </w:rPr>
        <w:t xml:space="preserve">PSC membership is held </w:t>
      </w:r>
      <w:r w:rsidRPr="00AA2617">
        <w:rPr>
          <w:rFonts w:cs="Times New Roman"/>
          <w:i/>
          <w:sz w:val="22"/>
          <w:lang w:val="en-GB"/>
        </w:rPr>
        <w:t>ex officio</w:t>
      </w:r>
      <w:r w:rsidRPr="00AA2617">
        <w:rPr>
          <w:rFonts w:cs="Times New Roman"/>
          <w:sz w:val="22"/>
          <w:lang w:val="en-GB"/>
        </w:rPr>
        <w:t xml:space="preserve"> (i.e., by office or official capacity), such that turnover does not affect membership.  The PSC’s chair and members will be confirmed during the project’s inception phase.  </w:t>
      </w:r>
    </w:p>
    <w:p w14:paraId="4A84043B" w14:textId="77777777" w:rsidR="003B1514" w:rsidRPr="00AA2617" w:rsidRDefault="003B1514" w:rsidP="00AA2617">
      <w:pPr>
        <w:keepNext/>
        <w:spacing w:before="120"/>
        <w:rPr>
          <w:rFonts w:cs="Times New Roman"/>
          <w:i/>
          <w:sz w:val="22"/>
          <w:lang w:val="en-GB"/>
        </w:rPr>
      </w:pPr>
      <w:r w:rsidRPr="00AA2617">
        <w:rPr>
          <w:rFonts w:cs="Times New Roman"/>
          <w:i/>
          <w:sz w:val="22"/>
          <w:lang w:val="en-GB"/>
        </w:rPr>
        <w:t>Nomination and Removal of Members</w:t>
      </w:r>
    </w:p>
    <w:p w14:paraId="45A32679" w14:textId="77777777" w:rsidR="003B1514" w:rsidRPr="00AA2617" w:rsidRDefault="003B1514" w:rsidP="00AA2617">
      <w:pPr>
        <w:rPr>
          <w:rFonts w:cs="Times New Roman"/>
          <w:sz w:val="22"/>
          <w:lang w:val="en-GB"/>
        </w:rPr>
      </w:pPr>
      <w:r w:rsidRPr="00AA2617">
        <w:rPr>
          <w:rFonts w:cs="Times New Roman"/>
          <w:sz w:val="22"/>
          <w:lang w:val="en-GB"/>
        </w:rPr>
        <w:t>Nominated members may decline membership in the PSC and active members may renounce their membership at any time with notice to the chair and the PSC secretariat (PMU).  The PSC may add new members (</w:t>
      </w:r>
      <w:r w:rsidRPr="00AA2617">
        <w:rPr>
          <w:rFonts w:cs="Times New Roman"/>
          <w:i/>
          <w:sz w:val="22"/>
          <w:lang w:val="en-GB"/>
        </w:rPr>
        <w:t>ex officio</w:t>
      </w:r>
      <w:r w:rsidRPr="00AA2617">
        <w:rPr>
          <w:rFonts w:cs="Times New Roman"/>
          <w:sz w:val="22"/>
          <w:lang w:val="en-GB"/>
        </w:rPr>
        <w:t>) in accordance with the voting rules of the PSC.  However, the PSC shall aim to balance the needs for relevant representation against the needs for practical functionality of the PSC.  It is suggested that the number of voting members of the PSC not exceed 15.  Members may be removed by consensus of the chair of the PSC, the FAO Representative (as in-country representative of the GEF implementing agency), and the national GEF Operational Focal Point.</w:t>
      </w:r>
    </w:p>
    <w:p w14:paraId="1F07BE09"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Duties of the Chairperson</w:t>
      </w:r>
    </w:p>
    <w:p w14:paraId="07121D17" w14:textId="77777777" w:rsidR="003B1514" w:rsidRPr="00AA2617" w:rsidRDefault="003B1514" w:rsidP="00AA2617">
      <w:pPr>
        <w:rPr>
          <w:rFonts w:cs="Times New Roman"/>
          <w:sz w:val="22"/>
          <w:lang w:val="en-GB"/>
        </w:rPr>
      </w:pPr>
      <w:r w:rsidRPr="00AA2617">
        <w:rPr>
          <w:rFonts w:cs="Times New Roman"/>
          <w:sz w:val="22"/>
          <w:lang w:val="en-GB"/>
        </w:rPr>
        <w:t>The Chairperson shall exercise the functions conferred on him/ her as indicated in this document, and in particular shall:</w:t>
      </w:r>
    </w:p>
    <w:p w14:paraId="5CF2A936" w14:textId="77777777" w:rsidR="003B1514" w:rsidRPr="00AA2617" w:rsidRDefault="003B1514" w:rsidP="00AA2617">
      <w:pPr>
        <w:rPr>
          <w:rFonts w:cs="Times New Roman"/>
          <w:sz w:val="22"/>
          <w:lang w:val="en-GB"/>
        </w:rPr>
      </w:pPr>
    </w:p>
    <w:p w14:paraId="64525CC0"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Declare the opening and closing of each PSC meeting;</w:t>
      </w:r>
    </w:p>
    <w:p w14:paraId="46BD0D50"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 xml:space="preserve">Direct the discussions at such meetings and ensure observance of these rules, equitably accord the privilege to speak, put questions to the members, and announce decisions; </w:t>
      </w:r>
    </w:p>
    <w:p w14:paraId="5DB48E8D"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Rule on points of order;</w:t>
      </w:r>
    </w:p>
    <w:p w14:paraId="72CDA4EA"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Control the proceedings of the PSC in accord with these rules;</w:t>
      </w:r>
    </w:p>
    <w:p w14:paraId="563CA236"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Ensure that the PSC’s membership continues to represent relevant stakeholder groups;</w:t>
      </w:r>
    </w:p>
    <w:p w14:paraId="6F27DF89"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 xml:space="preserve">Appoint such </w:t>
      </w:r>
      <w:r w:rsidRPr="00AA2617">
        <w:rPr>
          <w:rFonts w:cs="Times New Roman"/>
          <w:i/>
          <w:sz w:val="22"/>
          <w:lang w:val="en-GB"/>
        </w:rPr>
        <w:t>ad hoc</w:t>
      </w:r>
      <w:r w:rsidRPr="00AA2617">
        <w:rPr>
          <w:rFonts w:cs="Times New Roman"/>
          <w:sz w:val="22"/>
          <w:lang w:val="en-GB"/>
        </w:rPr>
        <w:t xml:space="preserve"> committees as the PSC may direct;</w:t>
      </w:r>
    </w:p>
    <w:p w14:paraId="67B77684"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Ensure circulation of all relevant documents by the secretariat to PSC members;</w:t>
      </w:r>
    </w:p>
    <w:p w14:paraId="044A8797"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lastRenderedPageBreak/>
        <w:t>Agree with annual work-plans and budgets and any subsequently proposed amendments submitted to FAO;</w:t>
      </w:r>
    </w:p>
    <w:p w14:paraId="3A4052F8"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Enforce recusal for the purposes of discussion or voting for any members with a potential conflict of interest on a matter before the PSC for which the member(s) have not recused himself/ herself/ themselves;</w:t>
      </w:r>
    </w:p>
    <w:p w14:paraId="50BBC6E4"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At his/ her discretion, in consultation with the PMU, request that the chairperson of the Technical Working Group (TWG) or his/ her designee(s) present to or advise the PSC on relevant technical matters;</w:t>
      </w:r>
    </w:p>
    <w:p w14:paraId="4EC9E7A7"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At his/ her discretion and with at least 3 business days’ advance notice to the PSC’s secretariat and members, invite relevant observers or advisors to attend PSC meetings in a non-voting capacity; and</w:t>
      </w:r>
    </w:p>
    <w:p w14:paraId="32C8CECE" w14:textId="77777777" w:rsidR="003B1514" w:rsidRPr="00AA2617" w:rsidRDefault="003B1514" w:rsidP="00AA2617">
      <w:pPr>
        <w:pStyle w:val="ListParagraph"/>
        <w:numPr>
          <w:ilvl w:val="0"/>
          <w:numId w:val="22"/>
        </w:numPr>
        <w:ind w:left="720"/>
        <w:rPr>
          <w:rFonts w:cs="Times New Roman"/>
          <w:sz w:val="22"/>
          <w:lang w:val="en-GB"/>
        </w:rPr>
      </w:pPr>
      <w:r w:rsidRPr="00AA2617">
        <w:rPr>
          <w:rFonts w:cs="Times New Roman"/>
          <w:sz w:val="22"/>
          <w:lang w:val="en-GB"/>
        </w:rPr>
        <w:t>In consultation with the PSC’s secretariat (PMU), determine the date, location, and agenda of the PSC meetings, the chairing of such meetings as well as nomination of Chairperson and members for PSC and TWG.</w:t>
      </w:r>
    </w:p>
    <w:p w14:paraId="5CB28635"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 xml:space="preserve">Secretariat </w:t>
      </w:r>
    </w:p>
    <w:p w14:paraId="47D38322" w14:textId="77777777" w:rsidR="003B1514" w:rsidRPr="00AA2617" w:rsidRDefault="003B1514" w:rsidP="00AA2617">
      <w:pPr>
        <w:rPr>
          <w:rFonts w:cs="Times New Roman"/>
          <w:sz w:val="22"/>
          <w:lang w:val="en-GB"/>
        </w:rPr>
      </w:pPr>
      <w:r w:rsidRPr="00AA2617">
        <w:rPr>
          <w:rFonts w:cs="Times New Roman"/>
          <w:sz w:val="22"/>
          <w:lang w:val="en-GB"/>
        </w:rPr>
        <w:t>The PMU (The National Project Manager (NPM)) will act as secretariat to the PSC and be responsible for providing PSC members with all required documents in advance of PSC meetings, including agendas, drafted annual work-plan and budget, and any documents to be discussed during the meeting.  The secretariat will ensure timely and appropriate logistical arrangements for meetings, including translation services as requested.  The secretariat will prepare a written report summarizing the main points of discussion, guidance, and decisions of the PSC, as well as any issues directed to FAO in its role as GEF Agency.   The secretariat will circulate minutes to the PSC members for review and clarification prior to finalization, and will archive the PSC’s minutes.  The secretariat will ensure that all matters necessary for the efficient operational conduct of the project and required administrative processes are raised to the PSC.</w:t>
      </w:r>
    </w:p>
    <w:p w14:paraId="185A8E10" w14:textId="77777777" w:rsidR="003B1514" w:rsidRPr="00AA2617" w:rsidRDefault="003B1514" w:rsidP="00AA2617">
      <w:pPr>
        <w:keepNext/>
        <w:spacing w:before="120"/>
        <w:rPr>
          <w:rFonts w:cs="Times New Roman"/>
          <w:b/>
          <w:sz w:val="22"/>
          <w:lang w:val="en-GB"/>
        </w:rPr>
      </w:pPr>
      <w:r w:rsidRPr="00AA2617">
        <w:rPr>
          <w:rFonts w:cs="Times New Roman"/>
          <w:b/>
          <w:sz w:val="22"/>
          <w:lang w:val="en-GB"/>
        </w:rPr>
        <w:t>Potential Conflicts of Interest</w:t>
      </w:r>
    </w:p>
    <w:p w14:paraId="6508C611" w14:textId="77777777" w:rsidR="003B1514" w:rsidRPr="00AA2617" w:rsidRDefault="003B1514" w:rsidP="00AA2617">
      <w:pPr>
        <w:spacing w:before="120"/>
        <w:rPr>
          <w:rFonts w:cs="Times New Roman"/>
          <w:bCs/>
          <w:sz w:val="22"/>
          <w:lang w:val="en-GB"/>
        </w:rPr>
      </w:pPr>
      <w:r w:rsidRPr="00AA2617">
        <w:rPr>
          <w:rFonts w:cs="Times New Roman"/>
          <w:bCs/>
          <w:sz w:val="22"/>
          <w:lang w:val="en-GB"/>
        </w:rPr>
        <w:t>PSC members represent the agencies, constituents, and considerations of their respective official positions (</w:t>
      </w:r>
      <w:r w:rsidRPr="00AA2617">
        <w:rPr>
          <w:rFonts w:cs="Times New Roman"/>
          <w:bCs/>
          <w:i/>
          <w:sz w:val="22"/>
          <w:lang w:val="en-GB"/>
        </w:rPr>
        <w:t>ex officio</w:t>
      </w:r>
      <w:r w:rsidRPr="00AA2617">
        <w:rPr>
          <w:rFonts w:cs="Times New Roman"/>
          <w:bCs/>
          <w:sz w:val="22"/>
          <w:lang w:val="en-GB"/>
        </w:rPr>
        <w:t>) rather than their personal interests.  PSC members must notify the PSC chair regarding any potential personal or professional conflicts of interest, and must recuse themselves from discussions or voting accordingly.</w:t>
      </w:r>
    </w:p>
    <w:p w14:paraId="1CA3543E" w14:textId="77777777" w:rsidR="003B1514" w:rsidRPr="00AA2617" w:rsidRDefault="003B1514" w:rsidP="00AA2617">
      <w:pPr>
        <w:spacing w:before="120"/>
        <w:rPr>
          <w:rFonts w:cs="Times New Roman"/>
          <w:bCs/>
          <w:sz w:val="22"/>
          <w:lang w:val="en-GB"/>
        </w:rPr>
      </w:pPr>
      <w:r w:rsidRPr="00AA2617">
        <w:rPr>
          <w:rFonts w:cs="Times New Roman"/>
          <w:bCs/>
          <w:sz w:val="22"/>
          <w:lang w:val="en-GB"/>
        </w:rPr>
        <w:t>PSC members should represent agencies that are unlikely to sign LOAs or contracts related to execution of the project.  If such cases arise, those members should notify the chairperson and recuse themselves from associated discussions and voting.</w:t>
      </w:r>
    </w:p>
    <w:p w14:paraId="40E38EBD"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Meetings of the PSC</w:t>
      </w:r>
    </w:p>
    <w:p w14:paraId="74E7B5AF" w14:textId="77777777" w:rsidR="003B1514" w:rsidRPr="00AA2617" w:rsidRDefault="003B1514" w:rsidP="00AA2617">
      <w:pPr>
        <w:rPr>
          <w:rFonts w:cs="Times New Roman"/>
          <w:sz w:val="22"/>
          <w:lang w:val="en-GB"/>
        </w:rPr>
      </w:pPr>
      <w:r w:rsidRPr="00AA2617">
        <w:rPr>
          <w:rFonts w:cs="Times New Roman"/>
          <w:sz w:val="22"/>
          <w:lang w:val="en-GB"/>
        </w:rPr>
        <w:t>The PSC will convene its first meeting at or around the time of the inception workshop to operationalize the project.  Among other agenda items the PSC might address in its first meeting, the PSC will:</w:t>
      </w:r>
    </w:p>
    <w:p w14:paraId="7831F049" w14:textId="77777777" w:rsidR="003B1514" w:rsidRPr="00AA2617" w:rsidRDefault="003B1514" w:rsidP="00AA2617">
      <w:pPr>
        <w:rPr>
          <w:rFonts w:cs="Times New Roman"/>
          <w:sz w:val="22"/>
          <w:lang w:val="en-GB"/>
        </w:rPr>
      </w:pPr>
    </w:p>
    <w:p w14:paraId="2EDC0826"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Revise, as needed, and confirm the membership and roles of the PSC, including the chairperson and secretariat;</w:t>
      </w:r>
    </w:p>
    <w:p w14:paraId="4A31555F"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Accept the PSC’s rules and terms of reference or propose amendments to FAO in its role as GEF Agency;</w:t>
      </w:r>
    </w:p>
    <w:p w14:paraId="61A506DC"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Determine the primary language for the PSC’s oral discussions (as noted below);</w:t>
      </w:r>
    </w:p>
    <w:p w14:paraId="13050E9A"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Review, revise (as needed), and approve the annual work-plan and budget, including any requested amendments or changes, for submission by the PMU to FAO;</w:t>
      </w:r>
    </w:p>
    <w:p w14:paraId="440DD3E8"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Review, revise (as needed), and approve the initial membership and terms of reference of the Technical Working Group (TWG); and</w:t>
      </w:r>
    </w:p>
    <w:p w14:paraId="61873A54"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Set an approximate date and location for the next PSC meeting.</w:t>
      </w:r>
    </w:p>
    <w:p w14:paraId="1BD59A8F" w14:textId="77777777" w:rsidR="003B1514" w:rsidRPr="00AA2617" w:rsidRDefault="003B1514" w:rsidP="00AA2617">
      <w:pPr>
        <w:rPr>
          <w:rFonts w:cs="Times New Roman"/>
          <w:sz w:val="22"/>
          <w:lang w:val="en-GB"/>
        </w:rPr>
      </w:pPr>
    </w:p>
    <w:p w14:paraId="6C9724F5" w14:textId="77777777" w:rsidR="003B1514" w:rsidRPr="00AA2617" w:rsidRDefault="003B1514" w:rsidP="00AA2617">
      <w:pPr>
        <w:rPr>
          <w:rFonts w:cs="Times New Roman"/>
          <w:sz w:val="22"/>
          <w:lang w:val="en-GB"/>
        </w:rPr>
      </w:pPr>
      <w:r w:rsidRPr="00AA2617">
        <w:rPr>
          <w:rFonts w:cs="Times New Roman"/>
          <w:sz w:val="22"/>
          <w:lang w:val="en-GB"/>
        </w:rPr>
        <w:lastRenderedPageBreak/>
        <w:t xml:space="preserve">The PSC will meet biannually (twice per year) and on an </w:t>
      </w:r>
      <w:r w:rsidRPr="00AA2617">
        <w:rPr>
          <w:rFonts w:cs="Times New Roman"/>
          <w:i/>
          <w:sz w:val="22"/>
          <w:lang w:val="en-GB"/>
        </w:rPr>
        <w:t>ad-hoc</w:t>
      </w:r>
      <w:r w:rsidRPr="00AA2617">
        <w:rPr>
          <w:rFonts w:cs="Times New Roman"/>
          <w:sz w:val="22"/>
          <w:lang w:val="en-GB"/>
        </w:rPr>
        <w:t xml:space="preserve"> basis as needed.  No more than nine months may elapse between PSC meetings.  PSC members may attend meetings virtually (e.g., video-conference) at the discretion of the chair and with adequate advance notice to the secretariat for making such arrangements.</w:t>
      </w:r>
    </w:p>
    <w:p w14:paraId="7D71B001" w14:textId="77777777" w:rsidR="003B1514" w:rsidRPr="00AA2617" w:rsidRDefault="003B1514" w:rsidP="00AA2617">
      <w:pPr>
        <w:rPr>
          <w:rFonts w:cs="Times New Roman"/>
          <w:sz w:val="22"/>
          <w:lang w:val="en-GB"/>
        </w:rPr>
      </w:pPr>
    </w:p>
    <w:p w14:paraId="0D7A10E0" w14:textId="77777777" w:rsidR="003B1514" w:rsidRPr="00AA2617" w:rsidRDefault="003B1514" w:rsidP="00AA2617">
      <w:pPr>
        <w:rPr>
          <w:rFonts w:cs="Times New Roman"/>
          <w:sz w:val="22"/>
          <w:lang w:val="en-GB"/>
        </w:rPr>
      </w:pPr>
      <w:r w:rsidRPr="00AA2617">
        <w:rPr>
          <w:rFonts w:cs="Times New Roman"/>
          <w:sz w:val="22"/>
          <w:lang w:val="en-GB"/>
        </w:rPr>
        <w:t xml:space="preserve">Invitations to regular PSC meetings shall be issued at least 45 calendar days before the meeting.  Invitations to special or </w:t>
      </w:r>
      <w:r w:rsidRPr="00AA2617">
        <w:rPr>
          <w:rFonts w:cs="Times New Roman"/>
          <w:i/>
          <w:sz w:val="22"/>
          <w:lang w:val="en-GB"/>
        </w:rPr>
        <w:t>ad-hoc</w:t>
      </w:r>
      <w:r w:rsidRPr="00AA2617">
        <w:rPr>
          <w:rFonts w:cs="Times New Roman"/>
          <w:sz w:val="22"/>
          <w:lang w:val="en-GB"/>
        </w:rPr>
        <w:t xml:space="preserve"> meetings shall be issued at least 20 calendar days before the meeting.  PSC members shall update their contact information with PSC secretariat if it changes.</w:t>
      </w:r>
    </w:p>
    <w:p w14:paraId="1EE61441" w14:textId="77777777" w:rsidR="003B1514" w:rsidRPr="00AA2617" w:rsidRDefault="003B1514" w:rsidP="00AA2617">
      <w:pPr>
        <w:spacing w:before="120"/>
        <w:rPr>
          <w:rFonts w:cs="Times New Roman"/>
          <w:b/>
          <w:bCs/>
          <w:sz w:val="22"/>
          <w:lang w:val="en-GB"/>
        </w:rPr>
      </w:pPr>
      <w:r w:rsidRPr="00AA2617">
        <w:rPr>
          <w:rFonts w:cs="Times New Roman"/>
          <w:b/>
          <w:bCs/>
          <w:sz w:val="22"/>
          <w:lang w:val="en-GB"/>
        </w:rPr>
        <w:t xml:space="preserve">Agenda </w:t>
      </w:r>
    </w:p>
    <w:p w14:paraId="7BA3C1E6" w14:textId="77777777" w:rsidR="003B1514" w:rsidRPr="00AA2617" w:rsidRDefault="003B1514" w:rsidP="00AA2617">
      <w:pPr>
        <w:rPr>
          <w:rFonts w:cs="Times New Roman"/>
          <w:sz w:val="22"/>
          <w:lang w:val="en-GB"/>
        </w:rPr>
      </w:pPr>
      <w:r w:rsidRPr="00AA2617">
        <w:rPr>
          <w:rFonts w:cs="Times New Roman"/>
          <w:sz w:val="22"/>
          <w:lang w:val="en-GB"/>
        </w:rPr>
        <w:t xml:space="preserve">The secretariat will solicit requested agenda items from PSC members at least 40 days prior to regularly scheduled meetings, and as early as possible for </w:t>
      </w:r>
      <w:r w:rsidRPr="00AA2617">
        <w:rPr>
          <w:rFonts w:cs="Times New Roman"/>
          <w:i/>
          <w:sz w:val="22"/>
          <w:lang w:val="en-GB"/>
        </w:rPr>
        <w:t>ad-hoc</w:t>
      </w:r>
      <w:r w:rsidRPr="00AA2617">
        <w:rPr>
          <w:rFonts w:cs="Times New Roman"/>
          <w:sz w:val="22"/>
          <w:lang w:val="en-GB"/>
        </w:rPr>
        <w:t xml:space="preserve"> meetings.  The secretariat will draft agendas and submit them for the chairperson’s review and approval.  The secretariat will send agendas to PSC members and scheduled observers at least 15 calendar days prior to regularly scheduled meetings and as early as possible for </w:t>
      </w:r>
      <w:r w:rsidRPr="00AA2617">
        <w:rPr>
          <w:rFonts w:cs="Times New Roman"/>
          <w:i/>
          <w:sz w:val="22"/>
          <w:lang w:val="en-GB"/>
        </w:rPr>
        <w:t>ad-hoc</w:t>
      </w:r>
      <w:r w:rsidRPr="00AA2617">
        <w:rPr>
          <w:rFonts w:cs="Times New Roman"/>
          <w:sz w:val="22"/>
          <w:lang w:val="en-GB"/>
        </w:rPr>
        <w:t xml:space="preserve"> meetings.</w:t>
      </w:r>
    </w:p>
    <w:p w14:paraId="54528EE9" w14:textId="77777777" w:rsidR="003B1514" w:rsidRPr="00AA2617" w:rsidRDefault="003B1514" w:rsidP="00AA2617">
      <w:pPr>
        <w:rPr>
          <w:rFonts w:cs="Times New Roman"/>
          <w:sz w:val="22"/>
          <w:lang w:val="en-GB"/>
        </w:rPr>
      </w:pPr>
      <w:r w:rsidRPr="00AA2617">
        <w:rPr>
          <w:rFonts w:cs="Times New Roman"/>
          <w:sz w:val="22"/>
          <w:lang w:val="en-GB"/>
        </w:rPr>
        <w:t xml:space="preserve"> </w:t>
      </w:r>
    </w:p>
    <w:p w14:paraId="7E41724F" w14:textId="77777777" w:rsidR="003B1514" w:rsidRPr="00AA2617" w:rsidRDefault="003B1514" w:rsidP="00AA2617">
      <w:pPr>
        <w:rPr>
          <w:rFonts w:cs="Times New Roman"/>
          <w:sz w:val="22"/>
          <w:lang w:val="en-GB"/>
        </w:rPr>
      </w:pPr>
      <w:r w:rsidRPr="00AA2617">
        <w:rPr>
          <w:rFonts w:cs="Times New Roman"/>
          <w:sz w:val="22"/>
          <w:lang w:val="en-GB"/>
        </w:rPr>
        <w:t>The agenda of each regular meeting shall include:</w:t>
      </w:r>
    </w:p>
    <w:p w14:paraId="2FCB2F98" w14:textId="77777777" w:rsidR="003B1514" w:rsidRPr="00AA2617" w:rsidRDefault="003B1514" w:rsidP="00AA2617">
      <w:pPr>
        <w:rPr>
          <w:rFonts w:cs="Times New Roman"/>
          <w:sz w:val="22"/>
          <w:lang w:val="en-GB"/>
        </w:rPr>
      </w:pPr>
    </w:p>
    <w:p w14:paraId="20EDAD77" w14:textId="77777777" w:rsidR="003B1514" w:rsidRPr="00AA2617" w:rsidRDefault="003B1514" w:rsidP="00AA2617">
      <w:pPr>
        <w:pStyle w:val="ListParagraph"/>
        <w:numPr>
          <w:ilvl w:val="0"/>
          <w:numId w:val="23"/>
        </w:numPr>
        <w:rPr>
          <w:rFonts w:cs="Times New Roman"/>
          <w:sz w:val="22"/>
          <w:lang w:val="en-GB"/>
        </w:rPr>
      </w:pPr>
      <w:r w:rsidRPr="00AA2617">
        <w:rPr>
          <w:rFonts w:cs="Times New Roman"/>
          <w:sz w:val="22"/>
          <w:lang w:val="en-GB"/>
        </w:rPr>
        <w:t>Adoption of the agenda;</w:t>
      </w:r>
    </w:p>
    <w:p w14:paraId="59248080" w14:textId="77777777" w:rsidR="003B1514" w:rsidRPr="00AA2617" w:rsidRDefault="003B1514" w:rsidP="00AA2617">
      <w:pPr>
        <w:pStyle w:val="ListParagraph"/>
        <w:numPr>
          <w:ilvl w:val="0"/>
          <w:numId w:val="23"/>
        </w:numPr>
        <w:rPr>
          <w:rFonts w:cs="Times New Roman"/>
          <w:sz w:val="22"/>
          <w:lang w:val="en-GB"/>
        </w:rPr>
      </w:pPr>
      <w:r w:rsidRPr="00AA2617">
        <w:rPr>
          <w:rFonts w:cs="Times New Roman"/>
          <w:sz w:val="22"/>
          <w:lang w:val="en-GB"/>
        </w:rPr>
        <w:t>Resolution of any outstanding issues from the prior meeting;</w:t>
      </w:r>
    </w:p>
    <w:p w14:paraId="68629945" w14:textId="77777777" w:rsidR="003B1514" w:rsidRPr="00AA2617" w:rsidRDefault="003B1514" w:rsidP="00AA2617">
      <w:pPr>
        <w:pStyle w:val="ListParagraph"/>
        <w:numPr>
          <w:ilvl w:val="0"/>
          <w:numId w:val="23"/>
        </w:numPr>
        <w:rPr>
          <w:rFonts w:cs="Times New Roman"/>
          <w:sz w:val="22"/>
          <w:lang w:val="en-GB"/>
        </w:rPr>
      </w:pPr>
      <w:r w:rsidRPr="00AA2617">
        <w:rPr>
          <w:rFonts w:cs="Times New Roman"/>
          <w:sz w:val="22"/>
          <w:lang w:val="en-GB"/>
        </w:rPr>
        <w:t>A report from the PMU on project-related activities during the inter-sessional period;</w:t>
      </w:r>
    </w:p>
    <w:p w14:paraId="299EE60D" w14:textId="77777777" w:rsidR="003B1514" w:rsidRPr="00AA2617" w:rsidRDefault="003B1514" w:rsidP="00AA2617">
      <w:pPr>
        <w:pStyle w:val="ListParagraph"/>
        <w:numPr>
          <w:ilvl w:val="0"/>
          <w:numId w:val="23"/>
        </w:numPr>
        <w:rPr>
          <w:rFonts w:cs="Times New Roman"/>
          <w:sz w:val="22"/>
          <w:lang w:val="en-GB"/>
        </w:rPr>
      </w:pPr>
      <w:r w:rsidRPr="00AA2617">
        <w:rPr>
          <w:rFonts w:cs="Times New Roman"/>
          <w:sz w:val="22"/>
          <w:lang w:val="en-GB"/>
        </w:rPr>
        <w:t>A report and recommendations from the PMU on the proposed annual work-plan and budget for the ensuing period;</w:t>
      </w:r>
    </w:p>
    <w:p w14:paraId="4FEC4F79" w14:textId="77777777" w:rsidR="003B1514" w:rsidRPr="00AA2617" w:rsidRDefault="003B1514" w:rsidP="00AA2617">
      <w:pPr>
        <w:pStyle w:val="ListParagraph"/>
        <w:numPr>
          <w:ilvl w:val="0"/>
          <w:numId w:val="23"/>
        </w:numPr>
        <w:rPr>
          <w:rFonts w:cs="Times New Roman"/>
          <w:sz w:val="22"/>
          <w:lang w:val="en-GB"/>
        </w:rPr>
      </w:pPr>
      <w:r w:rsidRPr="00AA2617">
        <w:rPr>
          <w:rFonts w:cs="Times New Roman"/>
          <w:sz w:val="22"/>
          <w:lang w:val="en-GB"/>
        </w:rPr>
        <w:t>Reports that require PSC consideration;</w:t>
      </w:r>
    </w:p>
    <w:p w14:paraId="37B1AB20" w14:textId="77777777" w:rsidR="003B1514" w:rsidRPr="00AA2617" w:rsidRDefault="003B1514" w:rsidP="00AA2617">
      <w:pPr>
        <w:pStyle w:val="ListParagraph"/>
        <w:numPr>
          <w:ilvl w:val="0"/>
          <w:numId w:val="23"/>
        </w:numPr>
        <w:rPr>
          <w:rFonts w:cs="Times New Roman"/>
          <w:sz w:val="22"/>
          <w:lang w:val="en-GB"/>
        </w:rPr>
      </w:pPr>
      <w:r w:rsidRPr="00AA2617">
        <w:rPr>
          <w:rFonts w:cs="Times New Roman"/>
          <w:sz w:val="22"/>
          <w:lang w:val="en-GB"/>
        </w:rPr>
        <w:t>Review of alignment and harmonization between relevant projects;</w:t>
      </w:r>
    </w:p>
    <w:p w14:paraId="35FEC01E" w14:textId="77777777" w:rsidR="003B1514" w:rsidRPr="00AA2617" w:rsidRDefault="003B1514" w:rsidP="00AA2617">
      <w:pPr>
        <w:pStyle w:val="ListParagraph"/>
        <w:numPr>
          <w:ilvl w:val="0"/>
          <w:numId w:val="23"/>
        </w:numPr>
        <w:rPr>
          <w:rFonts w:cs="Times New Roman"/>
          <w:sz w:val="22"/>
          <w:lang w:val="en-GB"/>
        </w:rPr>
      </w:pPr>
      <w:r w:rsidRPr="00AA2617">
        <w:rPr>
          <w:rFonts w:cs="Times New Roman"/>
          <w:sz w:val="22"/>
          <w:lang w:val="en-GB"/>
        </w:rPr>
        <w:t>Matters to be resolved before the next meeting;</w:t>
      </w:r>
    </w:p>
    <w:p w14:paraId="091D2268" w14:textId="77777777" w:rsidR="003B1514" w:rsidRPr="00AA2617" w:rsidRDefault="003B1514" w:rsidP="00AA2617">
      <w:pPr>
        <w:pStyle w:val="ListParagraph"/>
        <w:numPr>
          <w:ilvl w:val="0"/>
          <w:numId w:val="23"/>
        </w:numPr>
        <w:rPr>
          <w:rFonts w:cs="Times New Roman"/>
          <w:sz w:val="22"/>
          <w:lang w:val="en-GB"/>
        </w:rPr>
      </w:pPr>
      <w:r w:rsidRPr="00AA2617">
        <w:rPr>
          <w:rFonts w:cs="Times New Roman"/>
          <w:sz w:val="22"/>
          <w:lang w:val="en-GB"/>
        </w:rPr>
        <w:t xml:space="preserve">Consideration of the time and location of the next meeting; </w:t>
      </w:r>
    </w:p>
    <w:p w14:paraId="3DBDABA6" w14:textId="77777777" w:rsidR="003B1514" w:rsidRPr="00AA2617" w:rsidRDefault="003B1514" w:rsidP="00AA2617">
      <w:pPr>
        <w:pStyle w:val="ListParagraph"/>
        <w:numPr>
          <w:ilvl w:val="0"/>
          <w:numId w:val="23"/>
        </w:numPr>
        <w:rPr>
          <w:rFonts w:cs="Times New Roman"/>
          <w:sz w:val="22"/>
          <w:lang w:val="en-GB"/>
        </w:rPr>
      </w:pPr>
      <w:r w:rsidRPr="00AA2617">
        <w:rPr>
          <w:rFonts w:cs="Times New Roman"/>
          <w:sz w:val="22"/>
          <w:lang w:val="en-GB"/>
        </w:rPr>
        <w:t>Any other matters approved by the chairperson.</w:t>
      </w:r>
    </w:p>
    <w:p w14:paraId="306EDE2A" w14:textId="77777777" w:rsidR="003B1514" w:rsidRPr="00AA2617" w:rsidRDefault="003B1514" w:rsidP="00AA2617">
      <w:pPr>
        <w:rPr>
          <w:rFonts w:cs="Times New Roman"/>
          <w:sz w:val="22"/>
          <w:lang w:val="en-GB"/>
        </w:rPr>
      </w:pPr>
      <w:r w:rsidRPr="00AA2617">
        <w:rPr>
          <w:rFonts w:cs="Times New Roman"/>
          <w:sz w:val="22"/>
          <w:lang w:val="en-GB"/>
        </w:rPr>
        <w:t xml:space="preserve">The agenda of a special or </w:t>
      </w:r>
      <w:r w:rsidRPr="00AA2617">
        <w:rPr>
          <w:rFonts w:cs="Times New Roman"/>
          <w:i/>
          <w:sz w:val="22"/>
          <w:lang w:val="en-GB"/>
        </w:rPr>
        <w:t>ad-hoc</w:t>
      </w:r>
      <w:r w:rsidRPr="00AA2617">
        <w:rPr>
          <w:rFonts w:cs="Times New Roman"/>
          <w:sz w:val="22"/>
          <w:lang w:val="en-GB"/>
        </w:rPr>
        <w:t xml:space="preserve"> meeting shall consist only of items relating to the purpose for which the meeting was called, unless otherwise directed by the chairperson.</w:t>
      </w:r>
    </w:p>
    <w:p w14:paraId="284DC973" w14:textId="77777777" w:rsidR="003B1514" w:rsidRPr="00AA2617" w:rsidRDefault="003B1514" w:rsidP="00AA2617">
      <w:pPr>
        <w:spacing w:before="120"/>
        <w:rPr>
          <w:rFonts w:cs="Times New Roman"/>
          <w:b/>
          <w:bCs/>
          <w:sz w:val="22"/>
          <w:lang w:val="en-GB"/>
        </w:rPr>
      </w:pPr>
      <w:r w:rsidRPr="00AA2617">
        <w:rPr>
          <w:rFonts w:cs="Times New Roman"/>
          <w:b/>
          <w:bCs/>
          <w:sz w:val="22"/>
          <w:lang w:val="en-GB"/>
        </w:rPr>
        <w:t>Quorum</w:t>
      </w:r>
    </w:p>
    <w:p w14:paraId="4B361299" w14:textId="77777777" w:rsidR="003B1514" w:rsidRPr="00AA2617" w:rsidRDefault="003B1514" w:rsidP="00AA2617">
      <w:pPr>
        <w:rPr>
          <w:rFonts w:cs="Times New Roman"/>
          <w:sz w:val="22"/>
          <w:lang w:val="en-GB"/>
        </w:rPr>
      </w:pPr>
      <w:r w:rsidRPr="00AA2617">
        <w:rPr>
          <w:rFonts w:cs="Times New Roman"/>
          <w:sz w:val="22"/>
          <w:lang w:val="en-GB"/>
        </w:rPr>
        <w:t>A quorum comprises at least 60% of members who have not explicitly abstained (including recusal) and must include the chair or his/ her designated representative.  Members who are unable to attend may appoint a representative on their behalf.  If at least half (50%) of members are in attendance, a quorum may also be met at the chair’s discretion if the requisite proportion of members (60%) concurs at a later date with the minutes and decisions of a meeting.</w:t>
      </w:r>
    </w:p>
    <w:p w14:paraId="74745EE8" w14:textId="77777777" w:rsidR="003B1514" w:rsidRPr="00AA2617" w:rsidRDefault="003B1514" w:rsidP="00AA2617">
      <w:pPr>
        <w:spacing w:before="120"/>
        <w:rPr>
          <w:rFonts w:cs="Times New Roman"/>
          <w:b/>
          <w:bCs/>
          <w:sz w:val="22"/>
          <w:lang w:val="en-GB"/>
        </w:rPr>
      </w:pPr>
      <w:r w:rsidRPr="00AA2617">
        <w:rPr>
          <w:rFonts w:cs="Times New Roman"/>
          <w:b/>
          <w:bCs/>
          <w:sz w:val="22"/>
          <w:lang w:val="en-GB"/>
        </w:rPr>
        <w:t>Decision-making</w:t>
      </w:r>
    </w:p>
    <w:p w14:paraId="2F69D6A1" w14:textId="77777777" w:rsidR="003B1514" w:rsidRPr="00AA2617" w:rsidRDefault="003B1514" w:rsidP="00AA2617">
      <w:pPr>
        <w:rPr>
          <w:rFonts w:cs="Times New Roman"/>
          <w:sz w:val="22"/>
          <w:lang w:val="en-GB"/>
        </w:rPr>
      </w:pPr>
      <w:r w:rsidRPr="00AA2617">
        <w:rPr>
          <w:rFonts w:cs="Times New Roman"/>
          <w:sz w:val="22"/>
          <w:lang w:val="en-GB"/>
        </w:rPr>
        <w:t>The PSC will endeavor to achieve consensus in all decisions.  When consensus is not possible or practicable, approval requires at least 80% support, including the support of the chair and the FAO Representative (in his/ her capacity as representative of the implementing agency</w:t>
      </w:r>
      <w:r w:rsidRPr="00AA2617">
        <w:rPr>
          <w:rStyle w:val="FootnoteReference"/>
          <w:rFonts w:cs="Times New Roman"/>
          <w:sz w:val="22"/>
          <w:lang w:val="en-GB"/>
        </w:rPr>
        <w:footnoteReference w:id="46"/>
      </w:r>
      <w:r w:rsidRPr="00AA2617">
        <w:rPr>
          <w:rFonts w:cs="Times New Roman"/>
          <w:sz w:val="22"/>
          <w:lang w:val="en-GB"/>
        </w:rPr>
        <w:t>).</w:t>
      </w:r>
    </w:p>
    <w:p w14:paraId="0A5BAB25" w14:textId="77777777" w:rsidR="003B1514" w:rsidRPr="00AA2617" w:rsidRDefault="003B1514" w:rsidP="00AA2617">
      <w:pPr>
        <w:spacing w:before="120"/>
        <w:rPr>
          <w:rFonts w:cs="Times New Roman"/>
          <w:b/>
          <w:bCs/>
          <w:sz w:val="22"/>
          <w:lang w:val="en-GB"/>
        </w:rPr>
      </w:pPr>
      <w:r w:rsidRPr="00AA2617">
        <w:rPr>
          <w:rFonts w:cs="Times New Roman"/>
          <w:b/>
          <w:bCs/>
          <w:sz w:val="22"/>
          <w:lang w:val="en-GB"/>
        </w:rPr>
        <w:t xml:space="preserve">Reports and Recommendations </w:t>
      </w:r>
    </w:p>
    <w:p w14:paraId="79C156F2" w14:textId="77777777" w:rsidR="003B1514" w:rsidRPr="00AA2617" w:rsidRDefault="003B1514" w:rsidP="00AA2617">
      <w:pPr>
        <w:rPr>
          <w:rFonts w:cs="Times New Roman"/>
          <w:sz w:val="22"/>
          <w:lang w:val="en-GB"/>
        </w:rPr>
      </w:pPr>
      <w:r w:rsidRPr="00AA2617">
        <w:rPr>
          <w:rFonts w:cs="Times New Roman"/>
          <w:sz w:val="22"/>
          <w:lang w:val="en-GB"/>
        </w:rPr>
        <w:t xml:space="preserve">At each meeting, the PSC shall agree with the report text that embodies its views, recommendations, and decisions, including a statement of minority views upon request from those members. </w:t>
      </w:r>
    </w:p>
    <w:p w14:paraId="09317E13" w14:textId="77777777" w:rsidR="003B1514" w:rsidRPr="00AA2617" w:rsidRDefault="003B1514" w:rsidP="00AA2617">
      <w:pPr>
        <w:rPr>
          <w:rFonts w:cs="Times New Roman"/>
          <w:sz w:val="22"/>
          <w:lang w:val="en-GB"/>
        </w:rPr>
      </w:pPr>
    </w:p>
    <w:p w14:paraId="4ABE51A1" w14:textId="77777777" w:rsidR="003B1514" w:rsidRPr="00AA2617" w:rsidRDefault="003B1514" w:rsidP="00AA2617">
      <w:pPr>
        <w:rPr>
          <w:rFonts w:cs="Times New Roman"/>
          <w:sz w:val="22"/>
          <w:lang w:val="en-GB"/>
        </w:rPr>
      </w:pPr>
      <w:r w:rsidRPr="00AA2617">
        <w:rPr>
          <w:rFonts w:cs="Times New Roman"/>
          <w:sz w:val="22"/>
          <w:lang w:val="en-GB"/>
        </w:rPr>
        <w:lastRenderedPageBreak/>
        <w:t xml:space="preserve">The secretariat will circulate a drafted PSC meeting report to the PSC’s members as soon as possible after the meeting for comments.  Comments shall be accepted over a period of 7 calendar days.  Following the chairperson approval, the final meeting report will be distributed to the PSC’s members and archived. </w:t>
      </w:r>
    </w:p>
    <w:p w14:paraId="024E6635" w14:textId="77777777" w:rsidR="003B1514" w:rsidRPr="00AA2617" w:rsidRDefault="003B1514" w:rsidP="00AA2617">
      <w:pPr>
        <w:spacing w:before="120"/>
        <w:rPr>
          <w:rFonts w:cs="Times New Roman"/>
          <w:b/>
          <w:bCs/>
          <w:sz w:val="22"/>
          <w:lang w:val="en-GB"/>
        </w:rPr>
      </w:pPr>
      <w:r w:rsidRPr="00AA2617">
        <w:rPr>
          <w:rFonts w:cs="Times New Roman"/>
          <w:b/>
          <w:bCs/>
          <w:sz w:val="22"/>
          <w:lang w:val="en-GB"/>
        </w:rPr>
        <w:t xml:space="preserve">Official Language </w:t>
      </w:r>
    </w:p>
    <w:p w14:paraId="14B3B521" w14:textId="77777777" w:rsidR="003B1514" w:rsidRPr="00AA2617" w:rsidRDefault="003B1514" w:rsidP="00AA2617">
      <w:pPr>
        <w:rPr>
          <w:rFonts w:cs="Times New Roman"/>
          <w:sz w:val="22"/>
          <w:lang w:val="en-GB"/>
        </w:rPr>
      </w:pPr>
      <w:r w:rsidRPr="00AA2617">
        <w:rPr>
          <w:rFonts w:cs="Times New Roman"/>
          <w:sz w:val="22"/>
          <w:u w:val="single"/>
          <w:lang w:val="en-GB"/>
        </w:rPr>
        <w:t>Spoken</w:t>
      </w:r>
      <w:r w:rsidRPr="00AA2617">
        <w:rPr>
          <w:rFonts w:cs="Times New Roman"/>
          <w:sz w:val="22"/>
          <w:lang w:val="en-GB"/>
        </w:rPr>
        <w:t>:  The primary spoken language for discussions in the PSC meetings is English, however it will be decided in the first meeting whether to include Sinhala and Tamil also the language to be used for discussion. In case of agreement to use the local languages for the meeting, the PMU, as PSC Secretariat, shall arrange for simultaneous translation services as needed.</w:t>
      </w:r>
    </w:p>
    <w:p w14:paraId="4D387D78" w14:textId="77777777" w:rsidR="003B1514" w:rsidRPr="00AA2617" w:rsidRDefault="003B1514" w:rsidP="00AA2617">
      <w:pPr>
        <w:ind w:left="567"/>
        <w:rPr>
          <w:rFonts w:cs="Times New Roman"/>
          <w:sz w:val="22"/>
          <w:lang w:val="en-GB"/>
        </w:rPr>
      </w:pPr>
    </w:p>
    <w:p w14:paraId="0B324435" w14:textId="77777777" w:rsidR="003B1514" w:rsidRPr="00AA2617" w:rsidRDefault="003B1514" w:rsidP="00AA2617">
      <w:pPr>
        <w:rPr>
          <w:rFonts w:cs="Times New Roman"/>
          <w:b/>
          <w:bCs/>
          <w:sz w:val="22"/>
          <w:lang w:val="en-GB"/>
        </w:rPr>
      </w:pPr>
      <w:r w:rsidRPr="00AA2617">
        <w:rPr>
          <w:rFonts w:cs="Times New Roman"/>
          <w:sz w:val="22"/>
          <w:u w:val="single"/>
          <w:lang w:val="en-GB"/>
        </w:rPr>
        <w:t>Written</w:t>
      </w:r>
      <w:r w:rsidRPr="00AA2617">
        <w:rPr>
          <w:rFonts w:cs="Times New Roman"/>
          <w:sz w:val="22"/>
          <w:lang w:val="en-GB"/>
        </w:rPr>
        <w:t>:  Because all official versions of the project’s documents are in English, the official written language for PSC documentation shall be English.  The PMU, as PSC Secretariat, shall arrange for translation services for written documents upon request.</w:t>
      </w:r>
      <w:r w:rsidRPr="00AA2617">
        <w:rPr>
          <w:rFonts w:cs="Times New Roman"/>
          <w:b/>
          <w:bCs/>
          <w:sz w:val="22"/>
          <w:lang w:val="en-GB"/>
        </w:rPr>
        <w:br w:type="page"/>
      </w:r>
    </w:p>
    <w:p w14:paraId="226F500A" w14:textId="77777777" w:rsidR="003B1514" w:rsidRPr="00AA2617" w:rsidRDefault="003B1514" w:rsidP="00AA2617">
      <w:pPr>
        <w:keepNext/>
        <w:spacing w:before="120"/>
        <w:rPr>
          <w:rFonts w:cs="Times New Roman"/>
          <w:b/>
          <w:sz w:val="22"/>
          <w:lang w:val="en-GB"/>
        </w:rPr>
      </w:pPr>
    </w:p>
    <w:p w14:paraId="235E5E9C" w14:textId="77777777" w:rsidR="003B1514" w:rsidRPr="00AA2617" w:rsidRDefault="003B1514" w:rsidP="00AA2617">
      <w:pPr>
        <w:outlineLvl w:val="0"/>
        <w:rPr>
          <w:rFonts w:cs="Times New Roman"/>
          <w:b/>
          <w:sz w:val="22"/>
          <w:lang w:val="en-GB"/>
        </w:rPr>
      </w:pPr>
      <w:bookmarkStart w:id="316" w:name="_Toc5366454"/>
      <w:bookmarkStart w:id="317" w:name="_Toc9249232"/>
      <w:r w:rsidRPr="00AA2617">
        <w:rPr>
          <w:rFonts w:cs="Times New Roman"/>
          <w:b/>
          <w:sz w:val="22"/>
          <w:lang w:val="en-GB"/>
        </w:rPr>
        <w:t>Appendix 5.  Technical Working Group’s Terms of Reference and Proposed Membership</w:t>
      </w:r>
      <w:bookmarkEnd w:id="316"/>
      <w:bookmarkEnd w:id="317"/>
    </w:p>
    <w:p w14:paraId="76604B61"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Purpose and Duties</w:t>
      </w:r>
    </w:p>
    <w:p w14:paraId="6738B7BB" w14:textId="77777777" w:rsidR="003B1514" w:rsidRPr="00AA2617" w:rsidRDefault="003B1514" w:rsidP="00AA2617">
      <w:pPr>
        <w:rPr>
          <w:rFonts w:cs="Times New Roman"/>
          <w:sz w:val="22"/>
          <w:lang w:val="en-GB"/>
        </w:rPr>
      </w:pPr>
      <w:r w:rsidRPr="00AA2617">
        <w:rPr>
          <w:rFonts w:cs="Times New Roman"/>
          <w:sz w:val="22"/>
          <w:lang w:val="en-GB"/>
        </w:rPr>
        <w:t xml:space="preserve">The purpose of the Technical Working Group (TWG) is to facilitate national initiatives to fulfill Sriu Lanka’s AFOLU-related commitments under (i) the Enhanced Transparency Framework (ETF) of the Paris Agreement and (ii) Sri Lanka’s Nationally Determined Contribution.  The TWG provides a basis for technical and operational coordination between stakeholders for climate-related measurement, reporting, and verification in the AFOLU sector.  The main duties of the TWG are described in the project document and include, </w:t>
      </w:r>
      <w:r w:rsidRPr="00AA2617">
        <w:rPr>
          <w:rFonts w:cs="Times New Roman"/>
          <w:i/>
          <w:sz w:val="22"/>
          <w:lang w:val="en-GB"/>
        </w:rPr>
        <w:t>inter alia</w:t>
      </w:r>
      <w:r w:rsidRPr="00AA2617">
        <w:rPr>
          <w:rFonts w:cs="Times New Roman"/>
          <w:sz w:val="22"/>
          <w:lang w:val="en-GB"/>
        </w:rPr>
        <w:t>:</w:t>
      </w:r>
    </w:p>
    <w:p w14:paraId="05ED6591" w14:textId="77777777" w:rsidR="003B1514" w:rsidRPr="00AA2617" w:rsidRDefault="003B1514" w:rsidP="00AA2617">
      <w:pPr>
        <w:rPr>
          <w:rFonts w:cs="Times New Roman"/>
          <w:sz w:val="22"/>
          <w:lang w:val="en-GB"/>
        </w:rPr>
      </w:pPr>
    </w:p>
    <w:p w14:paraId="7F5E1CFA"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Draft the National Climate-change Monitoring Framework;</w:t>
      </w:r>
    </w:p>
    <w:p w14:paraId="588A9097"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Draft metadata parameters for measurement of phenomena and conditions associated with climate-change mitigation and adaptation;</w:t>
      </w:r>
    </w:p>
    <w:p w14:paraId="56D9CEBD"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Draft related Quality Control (QC) guidelines;</w:t>
      </w:r>
    </w:p>
    <w:p w14:paraId="7CDD1959"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Estimate technical and budgetary requirements;</w:t>
      </w:r>
    </w:p>
    <w:p w14:paraId="492272BA"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Advise on piloting of QC protocols and remediation of operational and technical difficulties;</w:t>
      </w:r>
    </w:p>
    <w:p w14:paraId="49982C1A"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Upon request of the PMU, review technical materials related to the project, such as training materials;</w:t>
      </w:r>
    </w:p>
    <w:p w14:paraId="6DE0B5D0"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Advise the Project Management Unit (PMU) and Project Steering Committee (PSC) on technical matters related to climate change in the agricultural and land-use sub-sectors;</w:t>
      </w:r>
    </w:p>
    <w:p w14:paraId="60ABDAA1"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Anticipate technical and operational challenges during and after the project, and propose options to (i) improve the project’s efficient achievement of its objective and (ii) ensure post-project sustainability; and</w:t>
      </w:r>
    </w:p>
    <w:p w14:paraId="3BEF4C3F" w14:textId="77777777" w:rsidR="003B1514" w:rsidRPr="00AA2617" w:rsidRDefault="003B1514" w:rsidP="00AA2617">
      <w:pPr>
        <w:pStyle w:val="ListParagraph"/>
        <w:numPr>
          <w:ilvl w:val="0"/>
          <w:numId w:val="9"/>
        </w:numPr>
        <w:jc w:val="left"/>
        <w:rPr>
          <w:rFonts w:eastAsia="MS Mincho" w:cs="Times New Roman"/>
          <w:sz w:val="22"/>
          <w:lang w:val="en-GB" w:eastAsia="en-GB"/>
        </w:rPr>
      </w:pPr>
      <w:r w:rsidRPr="00AA2617">
        <w:rPr>
          <w:rFonts w:eastAsia="MS Mincho" w:cs="Times New Roman"/>
          <w:sz w:val="22"/>
          <w:lang w:val="en-GB" w:eastAsia="en-GB"/>
        </w:rPr>
        <w:t>Communicate the TWG’s decisions and recommendations within members’ respective organizations.</w:t>
      </w:r>
    </w:p>
    <w:p w14:paraId="664CED18" w14:textId="77777777" w:rsidR="003B1514" w:rsidRPr="00AA2617" w:rsidRDefault="003B1514" w:rsidP="00AA2617">
      <w:pPr>
        <w:rPr>
          <w:rFonts w:cs="Times New Roman"/>
          <w:sz w:val="22"/>
          <w:lang w:val="en-GB"/>
        </w:rPr>
      </w:pPr>
    </w:p>
    <w:p w14:paraId="30309440" w14:textId="77777777" w:rsidR="003B1514" w:rsidRPr="00AA2617" w:rsidRDefault="003B1514" w:rsidP="00AA2617">
      <w:pPr>
        <w:rPr>
          <w:rFonts w:cs="Times New Roman"/>
          <w:sz w:val="22"/>
          <w:lang w:val="en-GB"/>
        </w:rPr>
      </w:pPr>
      <w:r w:rsidRPr="00AA2617">
        <w:rPr>
          <w:rFonts w:cs="Times New Roman"/>
          <w:sz w:val="22"/>
          <w:lang w:val="en-GB"/>
        </w:rPr>
        <w:t>At the discretion of the PSC, the TWG may be constituted independently or may expand the functionality of an existing technical coordination group.</w:t>
      </w:r>
    </w:p>
    <w:p w14:paraId="52B42F9E"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Membership</w:t>
      </w:r>
    </w:p>
    <w:p w14:paraId="6593AE77" w14:textId="77777777" w:rsidR="003B1514" w:rsidRPr="00AA2617" w:rsidRDefault="003B1514" w:rsidP="00AA2617">
      <w:pPr>
        <w:rPr>
          <w:rFonts w:cs="Times New Roman"/>
          <w:sz w:val="22"/>
          <w:lang w:val="en-GB"/>
        </w:rPr>
      </w:pPr>
      <w:r w:rsidRPr="00AA2617">
        <w:rPr>
          <w:rFonts w:cs="Times New Roman"/>
          <w:sz w:val="22"/>
          <w:lang w:val="en-GB"/>
        </w:rPr>
        <w:t xml:space="preserve">The membership of the TWG comprises technical experts representing diverse fields and stakeholders relevant to climate change in Sri Llanka’s agricultural and land-use subsectors.  Members are nominated and serve in an </w:t>
      </w:r>
      <w:r w:rsidRPr="00AA2617">
        <w:rPr>
          <w:rFonts w:cs="Times New Roman"/>
          <w:i/>
          <w:sz w:val="22"/>
          <w:lang w:val="en-GB"/>
        </w:rPr>
        <w:t>ex-officio</w:t>
      </w:r>
      <w:r w:rsidRPr="00AA2617">
        <w:rPr>
          <w:rFonts w:cs="Times New Roman"/>
          <w:sz w:val="22"/>
          <w:lang w:val="en-GB"/>
        </w:rPr>
        <w:t xml:space="preserve"> capacity, representing their official positions, agencies, and constituents rather than their personal interests or views.  Membership in the TWG is completely voluntary and does not affect or prejudice decisions regarding awards of contracts or LOAs to members’ respective organizations.</w:t>
      </w:r>
    </w:p>
    <w:p w14:paraId="6D9904E9" w14:textId="77777777" w:rsidR="003B1514" w:rsidRPr="00AA2617" w:rsidRDefault="003B1514" w:rsidP="00AA2617">
      <w:pPr>
        <w:rPr>
          <w:rFonts w:cs="Times New Roman"/>
          <w:sz w:val="22"/>
          <w:lang w:val="en-GB"/>
        </w:rPr>
      </w:pPr>
    </w:p>
    <w:p w14:paraId="225E5E40" w14:textId="77777777" w:rsidR="003B1514" w:rsidRPr="00AA2617" w:rsidRDefault="003B1514" w:rsidP="00AA2617">
      <w:pPr>
        <w:rPr>
          <w:rFonts w:cs="Times New Roman"/>
          <w:sz w:val="22"/>
          <w:lang w:val="en-GB"/>
        </w:rPr>
      </w:pPr>
      <w:r w:rsidRPr="00AA2617">
        <w:rPr>
          <w:rFonts w:cs="Times New Roman"/>
          <w:sz w:val="22"/>
          <w:lang w:val="en-GB"/>
        </w:rPr>
        <w:t>The chairperson of the TWG will be nominated by the PSC.  The initial nominees for membership in the TWG will be approved by the PSC.  Subsequently, the chair of the TWG may add members to the TWG with concurrence of the PMU.  Decisions of the PSC supersede those of the chair of the TWG.</w:t>
      </w:r>
    </w:p>
    <w:p w14:paraId="19527D9E" w14:textId="77777777" w:rsidR="003B1514" w:rsidRPr="00AA2617" w:rsidRDefault="003B1514" w:rsidP="00AA2617">
      <w:pPr>
        <w:rPr>
          <w:rFonts w:cs="Times New Roman"/>
          <w:sz w:val="22"/>
          <w:lang w:val="en-GB"/>
        </w:rPr>
      </w:pPr>
      <w:r w:rsidRPr="00AA2617">
        <w:rPr>
          <w:rFonts w:cs="Times New Roman"/>
          <w:sz w:val="22"/>
          <w:lang w:val="en-GB"/>
        </w:rPr>
        <w:br/>
        <w:t>The proposed initial membership of the TWG, to be considered in the PSC’s first meeting, is presented at the end of these terms of reference.</w:t>
      </w:r>
    </w:p>
    <w:p w14:paraId="0CA9CB00"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Duties of the Chairperson</w:t>
      </w:r>
    </w:p>
    <w:p w14:paraId="68DD861B" w14:textId="77777777" w:rsidR="003B1514" w:rsidRPr="00AA2617" w:rsidRDefault="003B1514" w:rsidP="00AA2617">
      <w:pPr>
        <w:rPr>
          <w:rFonts w:cs="Times New Roman"/>
          <w:sz w:val="22"/>
          <w:lang w:val="en-GB"/>
        </w:rPr>
      </w:pPr>
      <w:r w:rsidRPr="00AA2617">
        <w:rPr>
          <w:rFonts w:cs="Times New Roman"/>
          <w:sz w:val="22"/>
          <w:lang w:val="en-GB"/>
        </w:rPr>
        <w:t>The chairperson shall exercise the functions conferred on him/ her as indicated in this document, and in particular shall:</w:t>
      </w:r>
    </w:p>
    <w:p w14:paraId="156EA21D" w14:textId="77777777" w:rsidR="003B1514" w:rsidRPr="00AA2617" w:rsidRDefault="003B1514" w:rsidP="00AA2617">
      <w:pPr>
        <w:rPr>
          <w:rFonts w:cs="Times New Roman"/>
          <w:sz w:val="22"/>
          <w:lang w:val="en-GB"/>
        </w:rPr>
      </w:pPr>
    </w:p>
    <w:p w14:paraId="504DE004"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Declare the opening and closing of each TWG meeting;</w:t>
      </w:r>
    </w:p>
    <w:p w14:paraId="5697DD1B"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lastRenderedPageBreak/>
        <w:t xml:space="preserve">Direct the discussions at such meetings and ensure observance of these rules, equitably accord the privilege to speak, put questions to the members, and announce decisions; </w:t>
      </w:r>
    </w:p>
    <w:p w14:paraId="1B0A44FB"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Rule on points of order;</w:t>
      </w:r>
    </w:p>
    <w:p w14:paraId="7405016F"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Control the proceedings of the TWG in accord with these rules;</w:t>
      </w:r>
    </w:p>
    <w:p w14:paraId="7F14FEA0"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Ensure that the TWG’s membership continues to represent relevant technical areas;</w:t>
      </w:r>
    </w:p>
    <w:p w14:paraId="63793157"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Appoint and direct committees or sub-committees as appropriate or as the PMU or PSC may direct;</w:t>
      </w:r>
    </w:p>
    <w:p w14:paraId="3B66C221"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At his/ her discretion, direct the establishment of a roster or rosters of technical experts upon whom the TWG, PMU, or PSC may wish to call;</w:t>
      </w:r>
    </w:p>
    <w:p w14:paraId="70323890"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Ensure circulation of all relevant documents by the secretariat to TWG members;</w:t>
      </w:r>
    </w:p>
    <w:p w14:paraId="51B0DE94"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Review and endorse all publications of the TWG or recommendations to the PMU and PSC;</w:t>
      </w:r>
    </w:p>
    <w:p w14:paraId="0957ADC2"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Enforce recusal for the purposes of discussion or voting for any members with a potential conflict of interest on a matter before the TWG for which the member(s) have not recused him-/ herself/ themselves;</w:t>
      </w:r>
    </w:p>
    <w:p w14:paraId="03B1A4BA"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Present to or advise the PMU and PSC on relevant technical matters;</w:t>
      </w:r>
    </w:p>
    <w:p w14:paraId="51091E5B"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At his/ her discretion and with at least 3 business days’ advance notice to the PSC’s secretariat and members, invite relevant observers or advisors to attend PSC meetings in a non-voting capacity; and</w:t>
      </w:r>
    </w:p>
    <w:p w14:paraId="65DE5808" w14:textId="77777777" w:rsidR="003B1514" w:rsidRPr="00AA2617" w:rsidRDefault="003B1514" w:rsidP="00AA2617">
      <w:pPr>
        <w:pStyle w:val="ListParagraph"/>
        <w:numPr>
          <w:ilvl w:val="0"/>
          <w:numId w:val="24"/>
        </w:numPr>
        <w:ind w:left="720"/>
        <w:rPr>
          <w:rFonts w:cs="Times New Roman"/>
          <w:sz w:val="22"/>
          <w:lang w:val="en-GB"/>
        </w:rPr>
      </w:pPr>
      <w:r w:rsidRPr="00AA2617">
        <w:rPr>
          <w:rFonts w:cs="Times New Roman"/>
          <w:sz w:val="22"/>
          <w:lang w:val="en-GB"/>
        </w:rPr>
        <w:t>In consultation with the PSC’s secretariat (PMU), determine the date, location, and agenda of the PSC meetings, the chairing of such meetings as well as nomination of Chairperson and members for PSC and TWG.</w:t>
      </w:r>
    </w:p>
    <w:p w14:paraId="1DE415FB"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Secretariat</w:t>
      </w:r>
    </w:p>
    <w:p w14:paraId="522C0750" w14:textId="77777777" w:rsidR="003B1514" w:rsidRPr="00AA2617" w:rsidRDefault="003B1514" w:rsidP="00AA2617">
      <w:pPr>
        <w:rPr>
          <w:rFonts w:cs="Times New Roman"/>
          <w:sz w:val="22"/>
          <w:lang w:val="en-GB"/>
        </w:rPr>
      </w:pPr>
      <w:r w:rsidRPr="00AA2617">
        <w:rPr>
          <w:rFonts w:cs="Times New Roman"/>
          <w:sz w:val="22"/>
          <w:lang w:val="en-GB"/>
        </w:rPr>
        <w:t>The PMU will act as secretariat to the TWG and be responsible for providing TWG members with all required documents in advance of TWG meetings, including agendas and any documents to be discussed during the meeting.  The secretariat will ensure timely and appropriate logistical arrangements for meetings, including translation services as requested.  The secretariat will prepare a written report summarizing the main points of discussion, guidance, and decisions of the TWG, as well as any issues directed to the PMU or PSC.   The secretariat will circulate minutes to the TWG members for review and clarification prior to finalization, and will archive the TWG’s minutes.  The secretariat will ensure that all matters necessary for the efficient operational conduct of the project and required administrative processes are raised to the TWG.  The secretariat will facilitate the relevant inter-sessional collaboration of TWG members.  The PMU provides financial support to the TWG in accordance with the project’s approved work-plan and budget.</w:t>
      </w:r>
    </w:p>
    <w:p w14:paraId="7E216CB0"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Meetings of the TWG</w:t>
      </w:r>
    </w:p>
    <w:p w14:paraId="635399F7" w14:textId="77777777" w:rsidR="003B1514" w:rsidRPr="00AA2617" w:rsidRDefault="003B1514" w:rsidP="00AA2617">
      <w:pPr>
        <w:rPr>
          <w:rFonts w:cs="Times New Roman"/>
          <w:sz w:val="22"/>
          <w:lang w:val="en-GB"/>
        </w:rPr>
      </w:pPr>
      <w:r w:rsidRPr="00AA2617">
        <w:rPr>
          <w:rFonts w:cs="Times New Roman"/>
          <w:sz w:val="22"/>
          <w:lang w:val="en-GB"/>
        </w:rPr>
        <w:t xml:space="preserve">The TWG will meet quarterly (four times per year) and on an </w:t>
      </w:r>
      <w:r w:rsidRPr="00AA2617">
        <w:rPr>
          <w:rFonts w:cs="Times New Roman"/>
          <w:i/>
          <w:sz w:val="22"/>
          <w:lang w:val="en-GB"/>
        </w:rPr>
        <w:t>ad-hoc</w:t>
      </w:r>
      <w:r w:rsidRPr="00AA2617">
        <w:rPr>
          <w:rFonts w:cs="Times New Roman"/>
          <w:sz w:val="22"/>
          <w:lang w:val="en-GB"/>
        </w:rPr>
        <w:t xml:space="preserve"> basis as needed.  TWG members may attend meetings virtually (e.g., video-conference) at the discretion of the chair and with adequate advance notice to the secretariat for making such arrangements.</w:t>
      </w:r>
    </w:p>
    <w:p w14:paraId="194686A7" w14:textId="77777777" w:rsidR="003B1514" w:rsidRPr="00AA2617" w:rsidRDefault="003B1514" w:rsidP="00AA2617">
      <w:pPr>
        <w:rPr>
          <w:rFonts w:cs="Times New Roman"/>
          <w:sz w:val="22"/>
          <w:lang w:val="en-GB"/>
        </w:rPr>
      </w:pPr>
    </w:p>
    <w:p w14:paraId="41A87A0D" w14:textId="77777777" w:rsidR="003B1514" w:rsidRPr="00AA2617" w:rsidRDefault="003B1514" w:rsidP="00AA2617">
      <w:pPr>
        <w:rPr>
          <w:rFonts w:cs="Times New Roman"/>
          <w:sz w:val="22"/>
          <w:lang w:val="en-GB"/>
        </w:rPr>
      </w:pPr>
      <w:r w:rsidRPr="00AA2617">
        <w:rPr>
          <w:rFonts w:cs="Times New Roman"/>
          <w:sz w:val="22"/>
          <w:lang w:val="en-GB"/>
        </w:rPr>
        <w:t xml:space="preserve">Invitations to regular TWG meetings shall be issued at least 20 calendar days before the meeting.  Invitations to special or </w:t>
      </w:r>
      <w:r w:rsidRPr="00AA2617">
        <w:rPr>
          <w:rFonts w:cs="Times New Roman"/>
          <w:i/>
          <w:sz w:val="22"/>
          <w:lang w:val="en-GB"/>
        </w:rPr>
        <w:t>ad-hoc</w:t>
      </w:r>
      <w:r w:rsidRPr="00AA2617">
        <w:rPr>
          <w:rFonts w:cs="Times New Roman"/>
          <w:sz w:val="22"/>
          <w:lang w:val="en-GB"/>
        </w:rPr>
        <w:t xml:space="preserve"> meetings shall be issued at least 14 calendar days before the meeting.  TWG members shall update their contact information with TWG secretariat if it changes.</w:t>
      </w:r>
    </w:p>
    <w:p w14:paraId="775F2634" w14:textId="77777777" w:rsidR="003B1514" w:rsidRPr="00AA2617" w:rsidRDefault="003B1514" w:rsidP="00AA2617">
      <w:pPr>
        <w:rPr>
          <w:rFonts w:cs="Times New Roman"/>
          <w:sz w:val="22"/>
          <w:lang w:val="en-GB"/>
        </w:rPr>
      </w:pPr>
    </w:p>
    <w:p w14:paraId="18497ECC" w14:textId="77777777" w:rsidR="003B1514" w:rsidRPr="00AA2617" w:rsidRDefault="003B1514" w:rsidP="00AA2617">
      <w:pPr>
        <w:rPr>
          <w:rFonts w:cs="Times New Roman"/>
          <w:sz w:val="22"/>
          <w:lang w:val="en-GB"/>
        </w:rPr>
      </w:pPr>
      <w:r w:rsidRPr="00AA2617">
        <w:rPr>
          <w:rFonts w:cs="Times New Roman"/>
          <w:sz w:val="22"/>
          <w:lang w:val="en-GB"/>
        </w:rPr>
        <w:t>The TWG will convene its first meeting as soon as practicable after approval of the PSC.  Among other agenda items the TWG might address in its first meeting, the TWG will:</w:t>
      </w:r>
    </w:p>
    <w:p w14:paraId="56920CC8" w14:textId="77777777" w:rsidR="003B1514" w:rsidRPr="00AA2617" w:rsidRDefault="003B1514" w:rsidP="00AA2617">
      <w:pPr>
        <w:rPr>
          <w:rFonts w:cs="Times New Roman"/>
          <w:sz w:val="22"/>
          <w:lang w:val="en-GB"/>
        </w:rPr>
      </w:pPr>
    </w:p>
    <w:p w14:paraId="3C014918"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Suggest any changes in the membership and roles of the TWG for consideration by the chair, the PMU, and the PSC;</w:t>
      </w:r>
    </w:p>
    <w:p w14:paraId="185E01E7"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Endorse the TWG’s rules and terms of reference or propose amendments for the PSC’s consideration;</w:t>
      </w:r>
    </w:p>
    <w:p w14:paraId="697BA8C6"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t>Determine the primary language for the TWG’s oral discussions (as noted below); and</w:t>
      </w:r>
    </w:p>
    <w:p w14:paraId="48069410" w14:textId="77777777" w:rsidR="003B1514" w:rsidRPr="00AA2617" w:rsidRDefault="003B1514" w:rsidP="00AA2617">
      <w:pPr>
        <w:pStyle w:val="ListParagraph"/>
        <w:numPr>
          <w:ilvl w:val="0"/>
          <w:numId w:val="9"/>
        </w:numPr>
        <w:rPr>
          <w:rFonts w:cs="Times New Roman"/>
          <w:sz w:val="22"/>
          <w:lang w:val="en-GB"/>
        </w:rPr>
      </w:pPr>
      <w:r w:rsidRPr="00AA2617">
        <w:rPr>
          <w:rFonts w:cs="Times New Roman"/>
          <w:sz w:val="22"/>
          <w:lang w:val="en-GB"/>
        </w:rPr>
        <w:lastRenderedPageBreak/>
        <w:t>Set an approximate date and location for the next TWG meeting.</w:t>
      </w:r>
    </w:p>
    <w:p w14:paraId="3F6B0560"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Agenda</w:t>
      </w:r>
    </w:p>
    <w:p w14:paraId="07BA0C5E" w14:textId="77777777" w:rsidR="003B1514" w:rsidRPr="00AA2617" w:rsidRDefault="003B1514" w:rsidP="00AA2617">
      <w:pPr>
        <w:rPr>
          <w:rFonts w:cs="Times New Roman"/>
          <w:sz w:val="22"/>
          <w:lang w:val="en-GB"/>
        </w:rPr>
      </w:pPr>
      <w:r w:rsidRPr="00AA2617">
        <w:rPr>
          <w:rFonts w:cs="Times New Roman"/>
          <w:sz w:val="22"/>
          <w:lang w:val="en-GB"/>
        </w:rPr>
        <w:t xml:space="preserve">The secretariat will solicit requested agenda items from TWG members at least 30 days prior to regularly scheduled meetings, and as early as possible for </w:t>
      </w:r>
      <w:r w:rsidRPr="00AA2617">
        <w:rPr>
          <w:rFonts w:cs="Times New Roman"/>
          <w:i/>
          <w:sz w:val="22"/>
          <w:lang w:val="en-GB"/>
        </w:rPr>
        <w:t>ad-hoc</w:t>
      </w:r>
      <w:r w:rsidRPr="00AA2617">
        <w:rPr>
          <w:rFonts w:cs="Times New Roman"/>
          <w:sz w:val="22"/>
          <w:lang w:val="en-GB"/>
        </w:rPr>
        <w:t xml:space="preserve"> meetings.  The secretariat will draft agendas and submit them for the chairperson’s review and approval.  The secretariat will send agendas to PSC members and scheduled observers at least 10 calendar days prior to regularly scheduled meetings and as early as possible for </w:t>
      </w:r>
      <w:r w:rsidRPr="00AA2617">
        <w:rPr>
          <w:rFonts w:cs="Times New Roman"/>
          <w:i/>
          <w:sz w:val="22"/>
          <w:lang w:val="en-GB"/>
        </w:rPr>
        <w:t>ad-hoc</w:t>
      </w:r>
      <w:r w:rsidRPr="00AA2617">
        <w:rPr>
          <w:rFonts w:cs="Times New Roman"/>
          <w:sz w:val="22"/>
          <w:lang w:val="en-GB"/>
        </w:rPr>
        <w:t xml:space="preserve"> meetings.</w:t>
      </w:r>
    </w:p>
    <w:p w14:paraId="0779397C" w14:textId="77777777" w:rsidR="003B1514" w:rsidRPr="00AA2617" w:rsidRDefault="003B1514" w:rsidP="00AA2617">
      <w:pPr>
        <w:rPr>
          <w:rFonts w:cs="Times New Roman"/>
          <w:sz w:val="22"/>
          <w:lang w:val="en-GB"/>
        </w:rPr>
      </w:pPr>
      <w:r w:rsidRPr="00AA2617">
        <w:rPr>
          <w:rFonts w:cs="Times New Roman"/>
          <w:sz w:val="22"/>
          <w:lang w:val="en-GB"/>
        </w:rPr>
        <w:t xml:space="preserve"> </w:t>
      </w:r>
    </w:p>
    <w:p w14:paraId="509EFA86" w14:textId="77777777" w:rsidR="003B1514" w:rsidRPr="00AA2617" w:rsidRDefault="003B1514" w:rsidP="00AA2617">
      <w:pPr>
        <w:rPr>
          <w:rFonts w:cs="Times New Roman"/>
          <w:sz w:val="22"/>
          <w:lang w:val="en-GB"/>
        </w:rPr>
      </w:pPr>
      <w:r w:rsidRPr="00AA2617">
        <w:rPr>
          <w:rFonts w:cs="Times New Roman"/>
          <w:sz w:val="22"/>
          <w:lang w:val="en-GB"/>
        </w:rPr>
        <w:t>The agenda of each regular meeting shall include:</w:t>
      </w:r>
    </w:p>
    <w:p w14:paraId="7DFDD485" w14:textId="77777777" w:rsidR="003B1514" w:rsidRPr="00AA2617" w:rsidRDefault="003B1514" w:rsidP="00AA2617">
      <w:pPr>
        <w:rPr>
          <w:rFonts w:cs="Times New Roman"/>
          <w:sz w:val="22"/>
          <w:lang w:val="en-GB"/>
        </w:rPr>
      </w:pPr>
    </w:p>
    <w:p w14:paraId="0DCEFD76" w14:textId="77777777" w:rsidR="003B1514" w:rsidRPr="00AA2617" w:rsidRDefault="003B1514" w:rsidP="00AA2617">
      <w:pPr>
        <w:pStyle w:val="ListParagraph"/>
        <w:numPr>
          <w:ilvl w:val="0"/>
          <w:numId w:val="25"/>
        </w:numPr>
        <w:rPr>
          <w:rFonts w:cs="Times New Roman"/>
          <w:sz w:val="22"/>
          <w:lang w:val="en-GB"/>
        </w:rPr>
      </w:pPr>
      <w:r w:rsidRPr="00AA2617">
        <w:rPr>
          <w:rFonts w:cs="Times New Roman"/>
          <w:sz w:val="22"/>
          <w:lang w:val="en-GB"/>
        </w:rPr>
        <w:t>Adoption of the agenda;</w:t>
      </w:r>
    </w:p>
    <w:p w14:paraId="58DE572E" w14:textId="77777777" w:rsidR="003B1514" w:rsidRPr="00AA2617" w:rsidRDefault="003B1514" w:rsidP="00AA2617">
      <w:pPr>
        <w:pStyle w:val="ListParagraph"/>
        <w:numPr>
          <w:ilvl w:val="0"/>
          <w:numId w:val="25"/>
        </w:numPr>
        <w:rPr>
          <w:rFonts w:cs="Times New Roman"/>
          <w:sz w:val="22"/>
          <w:lang w:val="en-GB"/>
        </w:rPr>
      </w:pPr>
      <w:r w:rsidRPr="00AA2617">
        <w:rPr>
          <w:rFonts w:cs="Times New Roman"/>
          <w:sz w:val="22"/>
          <w:lang w:val="en-GB"/>
        </w:rPr>
        <w:t>Resolution of any outstanding issues from the prior meeting;</w:t>
      </w:r>
    </w:p>
    <w:p w14:paraId="64C36C35" w14:textId="77777777" w:rsidR="003B1514" w:rsidRPr="00AA2617" w:rsidRDefault="003B1514" w:rsidP="00AA2617">
      <w:pPr>
        <w:pStyle w:val="ListParagraph"/>
        <w:numPr>
          <w:ilvl w:val="0"/>
          <w:numId w:val="25"/>
        </w:numPr>
        <w:rPr>
          <w:rFonts w:cs="Times New Roman"/>
          <w:sz w:val="22"/>
          <w:lang w:val="en-GB"/>
        </w:rPr>
      </w:pPr>
      <w:r w:rsidRPr="00AA2617">
        <w:rPr>
          <w:rFonts w:cs="Times New Roman"/>
          <w:sz w:val="22"/>
          <w:lang w:val="en-GB"/>
        </w:rPr>
        <w:t>A report from the PMU on progress toward deadlines relevant to the TWG;</w:t>
      </w:r>
    </w:p>
    <w:p w14:paraId="381B07B1" w14:textId="77777777" w:rsidR="003B1514" w:rsidRPr="00AA2617" w:rsidRDefault="003B1514" w:rsidP="00AA2617">
      <w:pPr>
        <w:pStyle w:val="ListParagraph"/>
        <w:numPr>
          <w:ilvl w:val="0"/>
          <w:numId w:val="25"/>
        </w:numPr>
        <w:rPr>
          <w:rFonts w:cs="Times New Roman"/>
          <w:sz w:val="22"/>
          <w:lang w:val="en-GB"/>
        </w:rPr>
      </w:pPr>
      <w:r w:rsidRPr="00AA2617">
        <w:rPr>
          <w:rFonts w:cs="Times New Roman"/>
          <w:sz w:val="22"/>
          <w:lang w:val="en-GB"/>
        </w:rPr>
        <w:t>Documents that require TWG consideration;</w:t>
      </w:r>
    </w:p>
    <w:p w14:paraId="0002F45C" w14:textId="77777777" w:rsidR="003B1514" w:rsidRPr="00AA2617" w:rsidRDefault="003B1514" w:rsidP="00AA2617">
      <w:pPr>
        <w:pStyle w:val="ListParagraph"/>
        <w:numPr>
          <w:ilvl w:val="0"/>
          <w:numId w:val="25"/>
        </w:numPr>
        <w:rPr>
          <w:rFonts w:cs="Times New Roman"/>
          <w:sz w:val="22"/>
          <w:lang w:val="en-GB"/>
        </w:rPr>
      </w:pPr>
      <w:r w:rsidRPr="00AA2617">
        <w:rPr>
          <w:rFonts w:cs="Times New Roman"/>
          <w:sz w:val="22"/>
          <w:lang w:val="en-GB"/>
        </w:rPr>
        <w:t>Matters to be resolved before the next meeting;</w:t>
      </w:r>
    </w:p>
    <w:p w14:paraId="0C6525D9" w14:textId="77777777" w:rsidR="003B1514" w:rsidRPr="00AA2617" w:rsidRDefault="003B1514" w:rsidP="00AA2617">
      <w:pPr>
        <w:pStyle w:val="ListParagraph"/>
        <w:numPr>
          <w:ilvl w:val="0"/>
          <w:numId w:val="25"/>
        </w:numPr>
        <w:rPr>
          <w:rFonts w:cs="Times New Roman"/>
          <w:sz w:val="22"/>
          <w:lang w:val="en-GB"/>
        </w:rPr>
      </w:pPr>
      <w:r w:rsidRPr="00AA2617">
        <w:rPr>
          <w:rFonts w:cs="Times New Roman"/>
          <w:sz w:val="22"/>
          <w:lang w:val="en-GB"/>
        </w:rPr>
        <w:t xml:space="preserve">Consideration of the time and location of the next meeting; </w:t>
      </w:r>
    </w:p>
    <w:p w14:paraId="1F69A0B2" w14:textId="77777777" w:rsidR="003B1514" w:rsidRPr="00AA2617" w:rsidRDefault="003B1514" w:rsidP="00AA2617">
      <w:pPr>
        <w:pStyle w:val="ListParagraph"/>
        <w:numPr>
          <w:ilvl w:val="0"/>
          <w:numId w:val="25"/>
        </w:numPr>
        <w:rPr>
          <w:rFonts w:cs="Times New Roman"/>
          <w:sz w:val="22"/>
          <w:lang w:val="en-GB"/>
        </w:rPr>
      </w:pPr>
      <w:r w:rsidRPr="00AA2617">
        <w:rPr>
          <w:rFonts w:cs="Times New Roman"/>
          <w:sz w:val="22"/>
          <w:lang w:val="en-GB"/>
        </w:rPr>
        <w:t>Any other matters approved by the chairperson.</w:t>
      </w:r>
    </w:p>
    <w:p w14:paraId="32468A14" w14:textId="77777777" w:rsidR="003B1514" w:rsidRPr="00AA2617" w:rsidRDefault="003B1514" w:rsidP="00AA2617">
      <w:pPr>
        <w:rPr>
          <w:rFonts w:cs="Times New Roman"/>
          <w:sz w:val="22"/>
          <w:lang w:val="en-GB"/>
        </w:rPr>
      </w:pPr>
      <w:r w:rsidRPr="00AA2617">
        <w:rPr>
          <w:rFonts w:cs="Times New Roman"/>
          <w:sz w:val="22"/>
          <w:lang w:val="en-GB"/>
        </w:rPr>
        <w:t xml:space="preserve">The agenda of a special or </w:t>
      </w:r>
      <w:r w:rsidRPr="00AA2617">
        <w:rPr>
          <w:rFonts w:cs="Times New Roman"/>
          <w:i/>
          <w:sz w:val="22"/>
          <w:lang w:val="en-GB"/>
        </w:rPr>
        <w:t>ad-hoc</w:t>
      </w:r>
      <w:r w:rsidRPr="00AA2617">
        <w:rPr>
          <w:rFonts w:cs="Times New Roman"/>
          <w:sz w:val="22"/>
          <w:lang w:val="en-GB"/>
        </w:rPr>
        <w:t xml:space="preserve"> meeting shall consist only of items relating to the purpose for which the meeting was called, unless otherwise directed by the chairperson.</w:t>
      </w:r>
    </w:p>
    <w:p w14:paraId="572BF196"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Quorum</w:t>
      </w:r>
    </w:p>
    <w:p w14:paraId="4BDFFCE8" w14:textId="77777777" w:rsidR="003B1514" w:rsidRPr="00AA2617" w:rsidRDefault="003B1514" w:rsidP="00AA2617">
      <w:pPr>
        <w:rPr>
          <w:rFonts w:cs="Times New Roman"/>
          <w:sz w:val="22"/>
          <w:lang w:val="en-GB"/>
        </w:rPr>
      </w:pPr>
      <w:r w:rsidRPr="00AA2617">
        <w:rPr>
          <w:rFonts w:cs="Times New Roman"/>
          <w:sz w:val="22"/>
          <w:lang w:val="en-GB"/>
        </w:rPr>
        <w:t>A quorum comprises at least half (50%) of members who have not explicitly abstained (including recusal) and must include the chair or his/ her designated representative.  Members who are unable to attend may appoint a representative on their behalf.  If at least 30% of members are in attendance, a quorum may also be met at the chair’s discretion if the requisite proportion of members (50%) concurs at a later date with the minutes and decisions of a meeting.</w:t>
      </w:r>
    </w:p>
    <w:p w14:paraId="6AF61BF5"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Decision-making</w:t>
      </w:r>
    </w:p>
    <w:p w14:paraId="7E9B715F" w14:textId="77777777" w:rsidR="003B1514" w:rsidRPr="00AA2617" w:rsidRDefault="003B1514" w:rsidP="00AA2617">
      <w:pPr>
        <w:rPr>
          <w:rFonts w:cs="Times New Roman"/>
          <w:sz w:val="22"/>
          <w:lang w:val="en-GB"/>
        </w:rPr>
      </w:pPr>
      <w:r w:rsidRPr="00AA2617">
        <w:rPr>
          <w:rFonts w:cs="Times New Roman"/>
          <w:i/>
          <w:sz w:val="22"/>
          <w:lang w:val="en-GB"/>
        </w:rPr>
        <w:t>Plenary decisions.</w:t>
      </w:r>
      <w:r w:rsidRPr="00AA2617">
        <w:rPr>
          <w:rFonts w:cs="Times New Roman"/>
          <w:sz w:val="22"/>
          <w:lang w:val="en-GB"/>
        </w:rPr>
        <w:t xml:space="preserve">  The PSC will endeavor to achieve consensus in all plenary decisions.  When consensus is not possible or practicable, approval requires at least 80% support, including the support of the chair and the FAO Representative (in his/ her capacity as representative of the implementing agency</w:t>
      </w:r>
      <w:r w:rsidRPr="00AA2617">
        <w:rPr>
          <w:rStyle w:val="FootnoteReference"/>
          <w:rFonts w:cs="Times New Roman"/>
          <w:sz w:val="22"/>
          <w:lang w:val="en-GB"/>
        </w:rPr>
        <w:footnoteReference w:id="47"/>
      </w:r>
      <w:r w:rsidRPr="00AA2617">
        <w:rPr>
          <w:rFonts w:cs="Times New Roman"/>
          <w:sz w:val="22"/>
          <w:lang w:val="en-GB"/>
        </w:rPr>
        <w:t>).</w:t>
      </w:r>
    </w:p>
    <w:p w14:paraId="2C5954F4" w14:textId="77777777" w:rsidR="003B1514" w:rsidRPr="00AA2617" w:rsidRDefault="003B1514" w:rsidP="00AA2617">
      <w:pPr>
        <w:rPr>
          <w:rFonts w:cs="Times New Roman"/>
          <w:sz w:val="22"/>
          <w:lang w:val="en-GB"/>
        </w:rPr>
      </w:pPr>
    </w:p>
    <w:p w14:paraId="7A1CEFD3" w14:textId="77777777" w:rsidR="003B1514" w:rsidRPr="00AA2617" w:rsidRDefault="003B1514" w:rsidP="00AA2617">
      <w:pPr>
        <w:rPr>
          <w:rFonts w:cs="Times New Roman"/>
          <w:sz w:val="22"/>
          <w:lang w:val="en-GB"/>
        </w:rPr>
      </w:pPr>
      <w:r w:rsidRPr="00AA2617">
        <w:rPr>
          <w:rFonts w:cs="Times New Roman"/>
          <w:i/>
          <w:sz w:val="22"/>
          <w:lang w:val="en-GB"/>
        </w:rPr>
        <w:t>Specialized decisions.</w:t>
      </w:r>
      <w:r w:rsidRPr="00AA2617">
        <w:rPr>
          <w:rFonts w:cs="Times New Roman"/>
          <w:sz w:val="22"/>
          <w:lang w:val="en-GB"/>
        </w:rPr>
        <w:t xml:space="preserve">  The chairperson may designate a subset of relevant members to make decisions regarding a specialized technical area.  In such cases, chair will establish the threshold for decision-making.</w:t>
      </w:r>
    </w:p>
    <w:p w14:paraId="43297407" w14:textId="77777777" w:rsidR="003B1514" w:rsidRPr="00AA2617" w:rsidRDefault="003B1514" w:rsidP="00AA2617">
      <w:pPr>
        <w:keepNext/>
        <w:spacing w:before="120"/>
        <w:rPr>
          <w:rFonts w:cs="Times New Roman"/>
          <w:b/>
          <w:bCs/>
          <w:sz w:val="22"/>
          <w:lang w:val="en-GB"/>
        </w:rPr>
      </w:pPr>
      <w:r w:rsidRPr="00AA2617">
        <w:rPr>
          <w:rFonts w:cs="Times New Roman"/>
          <w:b/>
          <w:bCs/>
          <w:sz w:val="22"/>
          <w:lang w:val="en-GB"/>
        </w:rPr>
        <w:t>Official Language</w:t>
      </w:r>
    </w:p>
    <w:p w14:paraId="28550C7B" w14:textId="77777777" w:rsidR="003B1514" w:rsidRPr="00AA2617" w:rsidRDefault="003B1514" w:rsidP="00AA2617">
      <w:pPr>
        <w:rPr>
          <w:rFonts w:cs="Times New Roman"/>
          <w:sz w:val="22"/>
          <w:lang w:val="en-GB"/>
        </w:rPr>
      </w:pPr>
      <w:r w:rsidRPr="00AA2617">
        <w:rPr>
          <w:rFonts w:cs="Times New Roman"/>
          <w:sz w:val="22"/>
          <w:u w:val="single"/>
          <w:lang w:val="en-GB"/>
        </w:rPr>
        <w:t>Spoken</w:t>
      </w:r>
      <w:r w:rsidRPr="00AA2617">
        <w:rPr>
          <w:rFonts w:cs="Times New Roman"/>
          <w:sz w:val="22"/>
          <w:lang w:val="en-GB"/>
        </w:rPr>
        <w:t>:  The primary spoken language for discussions in the PSC meetings is English, however it will be decided in the first meeting whether to include Sinhala and Tamil also the language to be used for discussion. In case of agreement to use the local languages for the meeting, the PMU, as PSC Secretariat, shall arrange for simultaneous translation services as needed.</w:t>
      </w:r>
    </w:p>
    <w:p w14:paraId="61CC9FA7" w14:textId="77777777" w:rsidR="003B1514" w:rsidRPr="00AA2617" w:rsidRDefault="003B1514" w:rsidP="00AA2617">
      <w:pPr>
        <w:ind w:left="567"/>
        <w:rPr>
          <w:rFonts w:cs="Times New Roman"/>
          <w:sz w:val="22"/>
          <w:lang w:val="en-GB"/>
        </w:rPr>
      </w:pPr>
    </w:p>
    <w:p w14:paraId="0215A2C3" w14:textId="77777777" w:rsidR="003B1514" w:rsidRPr="00AA2617" w:rsidRDefault="003B1514" w:rsidP="00AA2617">
      <w:pPr>
        <w:rPr>
          <w:rFonts w:cs="Times New Roman"/>
          <w:sz w:val="22"/>
          <w:lang w:val="en-GB"/>
        </w:rPr>
      </w:pPr>
      <w:r w:rsidRPr="00AA2617">
        <w:rPr>
          <w:rFonts w:cs="Times New Roman"/>
          <w:sz w:val="22"/>
          <w:u w:val="single"/>
          <w:lang w:val="en-GB"/>
        </w:rPr>
        <w:t>Written</w:t>
      </w:r>
      <w:r w:rsidRPr="00AA2617">
        <w:rPr>
          <w:rFonts w:cs="Times New Roman"/>
          <w:sz w:val="22"/>
          <w:lang w:val="en-GB"/>
        </w:rPr>
        <w:t>:  At the discretion of the chair, publications of the TWG may be drafted and adopted in (a) English (b) Sinhala and (c) Tamil.  The PMU, as TWG Secretariat, shall arrange for translation services for written documents.  The TWG will ensure the accuracy/ fidelity of any translations.</w:t>
      </w:r>
    </w:p>
    <w:p w14:paraId="1311C532" w14:textId="77777777" w:rsidR="003B1514" w:rsidRPr="00AA2617" w:rsidRDefault="003B1514" w:rsidP="00AA2617"/>
    <w:p w14:paraId="2BC6C50B" w14:textId="77777777" w:rsidR="003B1514" w:rsidRPr="00AA2617" w:rsidRDefault="003B1514" w:rsidP="00AA2617">
      <w:pPr>
        <w:outlineLvl w:val="0"/>
        <w:rPr>
          <w:rFonts w:cs="Times New Roman"/>
          <w:b/>
          <w:sz w:val="22"/>
          <w:lang w:val="en-GB"/>
        </w:rPr>
      </w:pPr>
      <w:bookmarkStart w:id="318" w:name="_Toc5366455"/>
      <w:bookmarkStart w:id="319" w:name="_Toc9249233"/>
      <w:r w:rsidRPr="00AA2617">
        <w:rPr>
          <w:rFonts w:cs="Times New Roman"/>
          <w:b/>
          <w:sz w:val="22"/>
          <w:lang w:val="en-GB"/>
        </w:rPr>
        <w:t>Appendix 6.  Abbreviated Terms of Reference for Members of the Project Staff</w:t>
      </w:r>
      <w:bookmarkEnd w:id="318"/>
      <w:bookmarkEnd w:id="319"/>
    </w:p>
    <w:p w14:paraId="0381F21E" w14:textId="77777777" w:rsidR="003B1514" w:rsidRPr="00AA2617" w:rsidRDefault="003B1514" w:rsidP="00AA2617">
      <w:pPr>
        <w:rPr>
          <w:rFonts w:cs="Times New Roman"/>
          <w:b/>
          <w:bCs/>
          <w:sz w:val="22"/>
          <w:u w:val="single"/>
          <w:lang w:val="en-GB"/>
        </w:rPr>
      </w:pPr>
      <w:bookmarkStart w:id="320" w:name="_Toc483836013"/>
      <w:bookmarkStart w:id="321" w:name="_Toc483836213"/>
      <w:r w:rsidRPr="00AA2617">
        <w:rPr>
          <w:rFonts w:cs="Times New Roman"/>
          <w:b/>
          <w:bCs/>
          <w:sz w:val="22"/>
          <w:u w:val="single"/>
          <w:lang w:val="en-GB"/>
        </w:rPr>
        <w:t>National Project Manager</w:t>
      </w:r>
    </w:p>
    <w:p w14:paraId="2B322870" w14:textId="77777777" w:rsidR="003B1514" w:rsidRPr="00AA2617" w:rsidRDefault="003B1514" w:rsidP="00AA2617">
      <w:pPr>
        <w:rPr>
          <w:rFonts w:eastAsia="SimSun"/>
          <w:sz w:val="22"/>
          <w:lang w:val="en-GB"/>
        </w:rPr>
      </w:pPr>
      <w:r w:rsidRPr="00AA2617">
        <w:rPr>
          <w:rFonts w:eastAsia="SimSun"/>
          <w:sz w:val="22"/>
          <w:lang w:val="en-GB"/>
        </w:rPr>
        <w:t xml:space="preserve">The National Project Manager (NPM) will be stationed primarily in </w:t>
      </w:r>
      <w:r w:rsidRPr="00AA2617">
        <w:rPr>
          <w:sz w:val="22"/>
          <w:lang w:val="en-GB"/>
        </w:rPr>
        <w:t>PMU which will be co-located with Climate Unit of Climate Change Secretariat (CCS) under the Ministry of Mahaweli Development and Environment</w:t>
      </w:r>
      <w:r w:rsidRPr="00AA2617">
        <w:rPr>
          <w:rFonts w:eastAsia="SimSun"/>
          <w:sz w:val="22"/>
          <w:lang w:val="en-GB"/>
        </w:rPr>
        <w:t xml:space="preserve"> and will be responsible for coordinating the project’s execution and daily operations.  The NPM reports to the Budget Holder (BH; in his/ her role as the in-country representative of the executing agency) and works in close cooperation with the National Project Director (NPD).</w:t>
      </w:r>
    </w:p>
    <w:p w14:paraId="3E462BBA" w14:textId="77777777" w:rsidR="003B1514" w:rsidRPr="00AA2617" w:rsidRDefault="003B1514" w:rsidP="00AA2617">
      <w:pPr>
        <w:rPr>
          <w:rFonts w:eastAsia="SimSun"/>
          <w:sz w:val="22"/>
          <w:lang w:val="en-GB"/>
        </w:rPr>
      </w:pPr>
    </w:p>
    <w:p w14:paraId="25084CA6" w14:textId="77777777" w:rsidR="003B1514" w:rsidRPr="00AA2617" w:rsidRDefault="003B1514" w:rsidP="00AA2617">
      <w:pPr>
        <w:rPr>
          <w:rFonts w:eastAsia="SimSun"/>
          <w:sz w:val="22"/>
          <w:lang w:val="en-GB"/>
        </w:rPr>
      </w:pPr>
      <w:r w:rsidRPr="00AA2617">
        <w:rPr>
          <w:rFonts w:eastAsia="SimSun"/>
          <w:i/>
          <w:sz w:val="22"/>
          <w:lang w:val="en-GB"/>
        </w:rPr>
        <w:t>Inter alia</w:t>
      </w:r>
      <w:r w:rsidRPr="00AA2617">
        <w:rPr>
          <w:rFonts w:eastAsia="SimSun"/>
          <w:sz w:val="22"/>
          <w:lang w:val="en-GB"/>
        </w:rPr>
        <w:t xml:space="preserve">, the NPM will: </w:t>
      </w:r>
    </w:p>
    <w:p w14:paraId="4A713A1F"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rPr>
        <w:t>Coordinate technical inputs into the project;</w:t>
      </w:r>
    </w:p>
    <w:p w14:paraId="74CF8B7A"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rPr>
        <w:t xml:space="preserve">Coordinate and deliver the project’s activities in accordance with the project document and approved annual work-plan and budget; </w:t>
      </w:r>
    </w:p>
    <w:p w14:paraId="5926CDD1"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rPr>
        <w:t xml:space="preserve">Work closely with LTO and timely obtain technical clearances for field activities as envisaged. </w:t>
      </w:r>
    </w:p>
    <w:p w14:paraId="40B2A690"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rPr>
        <w:t>Manage the project’s daily operations;</w:t>
      </w:r>
    </w:p>
    <w:p w14:paraId="20ACC1C6"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rPr>
        <w:t>Monitor project fund use and conduct financial control</w:t>
      </w:r>
    </w:p>
    <w:p w14:paraId="1E928C25"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rPr>
        <w:t xml:space="preserve">Propose budget revision as per the actual field needs and the approved work plan. </w:t>
      </w:r>
    </w:p>
    <w:p w14:paraId="7717184B"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rPr>
        <w:t xml:space="preserve">Draft project procurement and submit it to FAO for technical clearance and PSC for endorsement. </w:t>
      </w:r>
    </w:p>
    <w:p w14:paraId="4C0BDF92"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rPr>
        <w:t xml:space="preserve">Coordinate with stakeholders and related initiatives; </w:t>
      </w:r>
    </w:p>
    <w:p w14:paraId="7E8CB449"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rPr>
        <w:t>Ensure collaboration between the participating institutions and organizations;</w:t>
      </w:r>
    </w:p>
    <w:p w14:paraId="76ED42F6"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rPr>
        <w:t>Ensure fulfillment of the PMU’s obligations as secretariat for the PSC and TWG;</w:t>
      </w:r>
    </w:p>
    <w:p w14:paraId="072ECDAF" w14:textId="77777777" w:rsidR="003B1514" w:rsidRPr="00AA2617" w:rsidRDefault="003B1514" w:rsidP="00AA2617">
      <w:pPr>
        <w:pStyle w:val="ListParagraph"/>
        <w:numPr>
          <w:ilvl w:val="0"/>
          <w:numId w:val="28"/>
        </w:numPr>
        <w:contextualSpacing w:val="0"/>
        <w:jc w:val="left"/>
        <w:rPr>
          <w:rFonts w:eastAsia="SimSun"/>
          <w:sz w:val="22"/>
          <w:lang w:val="en-GB" w:eastAsia="zh-CN"/>
        </w:rPr>
      </w:pPr>
      <w:r w:rsidRPr="00AA2617">
        <w:rPr>
          <w:rFonts w:eastAsia="SimSun"/>
          <w:sz w:val="22"/>
          <w:lang w:val="en-GB"/>
        </w:rPr>
        <w:t>Implement and manage the project’s monitoring and evaluation (M&amp;E) plan</w:t>
      </w:r>
      <w:r w:rsidRPr="00AA2617">
        <w:rPr>
          <w:rFonts w:eastAsia="SimSun"/>
          <w:sz w:val="22"/>
          <w:lang w:val="en-GB" w:eastAsia="zh-CN"/>
        </w:rPr>
        <w:t xml:space="preserve"> and its communication plan;</w:t>
      </w:r>
    </w:p>
    <w:p w14:paraId="29955EDC" w14:textId="77777777" w:rsidR="003B1514" w:rsidRPr="00AA2617" w:rsidRDefault="003B1514" w:rsidP="00AA2617">
      <w:pPr>
        <w:pStyle w:val="ListParagraph"/>
        <w:numPr>
          <w:ilvl w:val="0"/>
          <w:numId w:val="28"/>
        </w:numPr>
        <w:contextualSpacing w:val="0"/>
        <w:jc w:val="left"/>
        <w:rPr>
          <w:rFonts w:eastAsia="SimSun"/>
          <w:sz w:val="22"/>
          <w:lang w:val="en-GB" w:eastAsia="zh-CN"/>
        </w:rPr>
      </w:pPr>
      <w:r w:rsidRPr="00AA2617">
        <w:rPr>
          <w:rFonts w:eastAsia="SimSun"/>
          <w:sz w:val="22"/>
          <w:lang w:val="en-GB" w:eastAsia="zh-CN"/>
        </w:rPr>
        <w:t>Collect data of co-financing from various project stakeholders</w:t>
      </w:r>
    </w:p>
    <w:p w14:paraId="6264DECF" w14:textId="77777777" w:rsidR="003B1514" w:rsidRPr="00AA2617" w:rsidRDefault="003B1514" w:rsidP="00AA2617">
      <w:pPr>
        <w:pStyle w:val="ListParagraph"/>
        <w:numPr>
          <w:ilvl w:val="0"/>
          <w:numId w:val="28"/>
        </w:numPr>
        <w:contextualSpacing w:val="0"/>
        <w:jc w:val="left"/>
        <w:rPr>
          <w:rFonts w:eastAsia="SimSun"/>
          <w:sz w:val="22"/>
          <w:lang w:val="en-GB" w:eastAsia="zh-CN"/>
        </w:rPr>
      </w:pPr>
      <w:r w:rsidRPr="00AA2617">
        <w:rPr>
          <w:rFonts w:eastAsia="SimSun"/>
          <w:sz w:val="22"/>
          <w:lang w:val="en-GB" w:eastAsia="zh-CN"/>
        </w:rPr>
        <w:t>Prepare the PPRs;</w:t>
      </w:r>
    </w:p>
    <w:p w14:paraId="52C49094" w14:textId="77777777" w:rsidR="003B1514" w:rsidRPr="00AA2617" w:rsidRDefault="003B1514" w:rsidP="00AA2617">
      <w:pPr>
        <w:pStyle w:val="ListParagraph"/>
        <w:numPr>
          <w:ilvl w:val="0"/>
          <w:numId w:val="28"/>
        </w:numPr>
        <w:contextualSpacing w:val="0"/>
        <w:jc w:val="left"/>
        <w:rPr>
          <w:rFonts w:eastAsia="SimSun"/>
          <w:sz w:val="22"/>
          <w:lang w:val="en-GB" w:eastAsia="zh-CN"/>
        </w:rPr>
      </w:pPr>
      <w:r w:rsidRPr="00AA2617">
        <w:rPr>
          <w:rFonts w:eastAsia="SimSun"/>
          <w:sz w:val="22"/>
          <w:lang w:val="en-GB" w:eastAsia="zh-CN"/>
        </w:rPr>
        <w:t xml:space="preserve">Organize annual project workshops and meetings to monitor project progress and prepare the AWP/B; </w:t>
      </w:r>
    </w:p>
    <w:p w14:paraId="59EB4E63" w14:textId="77777777" w:rsidR="003B1514" w:rsidRPr="00AA2617" w:rsidRDefault="003B1514" w:rsidP="00AA2617">
      <w:pPr>
        <w:pStyle w:val="ListParagraph"/>
        <w:numPr>
          <w:ilvl w:val="0"/>
          <w:numId w:val="28"/>
        </w:numPr>
        <w:contextualSpacing w:val="0"/>
        <w:jc w:val="left"/>
        <w:rPr>
          <w:rFonts w:eastAsia="SimSun"/>
          <w:sz w:val="22"/>
          <w:lang w:val="en-GB" w:eastAsia="zh-CN"/>
        </w:rPr>
      </w:pPr>
      <w:r w:rsidRPr="00AA2617">
        <w:rPr>
          <w:rFonts w:eastAsia="SimSun"/>
          <w:sz w:val="22"/>
          <w:lang w:val="en-GB" w:eastAsia="zh-CN"/>
        </w:rPr>
        <w:t xml:space="preserve">Submit PPRs and AWP/B to PSC and FAO for approval; and </w:t>
      </w:r>
    </w:p>
    <w:p w14:paraId="332B16E3" w14:textId="77777777" w:rsidR="003B1514" w:rsidRPr="00AA2617" w:rsidRDefault="003B1514" w:rsidP="00AA2617">
      <w:pPr>
        <w:pStyle w:val="ListParagraph"/>
        <w:numPr>
          <w:ilvl w:val="0"/>
          <w:numId w:val="28"/>
        </w:numPr>
        <w:contextualSpacing w:val="0"/>
        <w:jc w:val="left"/>
        <w:rPr>
          <w:rFonts w:eastAsia="SimSun"/>
          <w:sz w:val="22"/>
          <w:lang w:val="en-GB"/>
        </w:rPr>
      </w:pPr>
      <w:r w:rsidRPr="00AA2617">
        <w:rPr>
          <w:rFonts w:eastAsia="SimSun"/>
          <w:sz w:val="22"/>
          <w:lang w:val="en-GB" w:eastAsia="zh-CN"/>
        </w:rPr>
        <w:t>Support the preparation of PIRs, joint supervision missions, and final evaluation.</w:t>
      </w:r>
    </w:p>
    <w:bookmarkEnd w:id="313"/>
    <w:bookmarkEnd w:id="320"/>
    <w:bookmarkEnd w:id="321"/>
    <w:p w14:paraId="1719E406" w14:textId="77777777" w:rsidR="003B1514" w:rsidRPr="00AA2617" w:rsidRDefault="003B1514" w:rsidP="00AA2617">
      <w:pPr>
        <w:rPr>
          <w:rFonts w:cs="Times New Roman"/>
          <w:bCs/>
          <w:i/>
          <w:iCs/>
          <w:lang w:val="en-GB"/>
        </w:rPr>
      </w:pPr>
      <w:r w:rsidRPr="00AA2617">
        <w:rPr>
          <w:rFonts w:cs="Times New Roman"/>
          <w:bCs/>
          <w:i/>
          <w:iCs/>
          <w:lang w:val="en-GB"/>
        </w:rPr>
        <w:t>Roles and Responsibilities</w:t>
      </w:r>
    </w:p>
    <w:p w14:paraId="574D80B0" w14:textId="77777777" w:rsidR="003B1514" w:rsidRPr="00AA2617" w:rsidRDefault="003B1514" w:rsidP="00AA2617">
      <w:pPr>
        <w:numPr>
          <w:ilvl w:val="0"/>
          <w:numId w:val="30"/>
        </w:numPr>
        <w:rPr>
          <w:rFonts w:cs="Times New Roman"/>
          <w:lang w:val="en-GB"/>
        </w:rPr>
      </w:pPr>
      <w:r w:rsidRPr="00AA2617">
        <w:rPr>
          <w:rFonts w:cs="Times New Roman"/>
          <w:lang w:val="en-GB"/>
        </w:rPr>
        <w:t>Support the day-to-day operation of the Project activities;</w:t>
      </w:r>
    </w:p>
    <w:p w14:paraId="534EB6DA" w14:textId="77777777" w:rsidR="003B1514" w:rsidRPr="00AA2617" w:rsidRDefault="003B1514" w:rsidP="00AA2617">
      <w:pPr>
        <w:numPr>
          <w:ilvl w:val="0"/>
          <w:numId w:val="30"/>
        </w:numPr>
        <w:rPr>
          <w:rFonts w:cs="Times New Roman"/>
          <w:lang w:val="en-GB"/>
        </w:rPr>
      </w:pPr>
      <w:r w:rsidRPr="00AA2617">
        <w:rPr>
          <w:rFonts w:cs="Times New Roman"/>
          <w:lang w:val="en-GB"/>
        </w:rPr>
        <w:t>Establish and organize project task forces and ensure timely provision of suitable inputs (personnel, training, equipment and supplies) including preparing initial and regular budget revisions and providing overall administrative and operational support to the Project;</w:t>
      </w:r>
    </w:p>
    <w:p w14:paraId="0DC9BE03" w14:textId="77777777" w:rsidR="003B1514" w:rsidRPr="00AA2617" w:rsidRDefault="003B1514" w:rsidP="00AA2617">
      <w:pPr>
        <w:numPr>
          <w:ilvl w:val="0"/>
          <w:numId w:val="30"/>
        </w:numPr>
        <w:rPr>
          <w:rFonts w:cs="Times New Roman"/>
          <w:lang w:val="en-GB"/>
        </w:rPr>
      </w:pPr>
      <w:r w:rsidRPr="00AA2617">
        <w:rPr>
          <w:rFonts w:cs="Times New Roman"/>
          <w:lang w:val="en-GB"/>
        </w:rPr>
        <w:t>Liaise with donors and government authorities as required;</w:t>
      </w:r>
    </w:p>
    <w:p w14:paraId="0F8B3363" w14:textId="77777777" w:rsidR="003B1514" w:rsidRPr="00AA2617" w:rsidRDefault="003B1514" w:rsidP="00AA2617">
      <w:pPr>
        <w:numPr>
          <w:ilvl w:val="0"/>
          <w:numId w:val="30"/>
        </w:numPr>
        <w:rPr>
          <w:rFonts w:cs="Times New Roman"/>
          <w:lang w:val="en-GB"/>
        </w:rPr>
      </w:pPr>
      <w:r w:rsidRPr="00AA2617">
        <w:rPr>
          <w:rFonts w:cs="Times New Roman"/>
          <w:lang w:val="en-GB"/>
        </w:rPr>
        <w:t>Ensure timely submission of regular project progress and implementation reports including identification of project follow up requirements and project closure including reporting;</w:t>
      </w:r>
    </w:p>
    <w:p w14:paraId="6A3F1C94" w14:textId="77777777" w:rsidR="003B1514" w:rsidRPr="00AA2617" w:rsidRDefault="003B1514" w:rsidP="00AA2617">
      <w:pPr>
        <w:numPr>
          <w:ilvl w:val="0"/>
          <w:numId w:val="30"/>
        </w:numPr>
        <w:rPr>
          <w:rFonts w:cs="Times New Roman"/>
          <w:lang w:val="en-GB"/>
        </w:rPr>
      </w:pPr>
      <w:r w:rsidRPr="00AA2617">
        <w:rPr>
          <w:rFonts w:cs="Times New Roman"/>
          <w:lang w:val="en-GB"/>
        </w:rPr>
        <w:t>Ensure timely and complete information data entry into the field programme management information system (FPMIS) throughout the whole project cycle;</w:t>
      </w:r>
    </w:p>
    <w:p w14:paraId="12383BC6" w14:textId="77777777" w:rsidR="003B1514" w:rsidRPr="00AA2617" w:rsidRDefault="003B1514" w:rsidP="00AA2617">
      <w:pPr>
        <w:numPr>
          <w:ilvl w:val="0"/>
          <w:numId w:val="30"/>
        </w:numPr>
        <w:rPr>
          <w:rFonts w:cs="Times New Roman"/>
          <w:lang w:val="en-GB"/>
        </w:rPr>
      </w:pPr>
      <w:r w:rsidRPr="00AA2617">
        <w:rPr>
          <w:rFonts w:cs="Times New Roman"/>
          <w:lang w:val="en-GB"/>
        </w:rPr>
        <w:t>Monitor the Project in close collaboration with other units at headquarters and at country level;</w:t>
      </w:r>
    </w:p>
    <w:p w14:paraId="1259E4E3" w14:textId="77777777" w:rsidR="003B1514" w:rsidRPr="00AA2617" w:rsidRDefault="003B1514" w:rsidP="00AA2617">
      <w:pPr>
        <w:numPr>
          <w:ilvl w:val="0"/>
          <w:numId w:val="30"/>
        </w:numPr>
        <w:rPr>
          <w:rFonts w:cs="Times New Roman"/>
          <w:lang w:val="en-GB"/>
        </w:rPr>
      </w:pPr>
      <w:r w:rsidRPr="00AA2617">
        <w:rPr>
          <w:rFonts w:cs="Times New Roman"/>
          <w:lang w:val="en-GB"/>
        </w:rPr>
        <w:lastRenderedPageBreak/>
        <w:t>Monitor delivery estimates and contribute to regular reports at the request of the budget holder and NPC;</w:t>
      </w:r>
    </w:p>
    <w:p w14:paraId="1DAE96A8" w14:textId="77777777" w:rsidR="003B1514" w:rsidRPr="00AA2617" w:rsidRDefault="003B1514" w:rsidP="00AA2617">
      <w:pPr>
        <w:numPr>
          <w:ilvl w:val="0"/>
          <w:numId w:val="30"/>
        </w:numPr>
        <w:rPr>
          <w:rFonts w:cs="Times New Roman"/>
          <w:lang w:val="en-GB"/>
        </w:rPr>
      </w:pPr>
      <w:r w:rsidRPr="00AA2617">
        <w:rPr>
          <w:rFonts w:cs="Times New Roman"/>
          <w:lang w:val="en-GB"/>
        </w:rPr>
        <w:t>Carry out financial management and supervision of Project budgets on behalf of the budget holder;</w:t>
      </w:r>
    </w:p>
    <w:p w14:paraId="4DD67BBA" w14:textId="77777777" w:rsidR="003B1514" w:rsidRPr="00AA2617" w:rsidRDefault="003B1514" w:rsidP="00AA2617">
      <w:pPr>
        <w:numPr>
          <w:ilvl w:val="0"/>
          <w:numId w:val="30"/>
        </w:numPr>
        <w:rPr>
          <w:rFonts w:cs="Times New Roman"/>
          <w:lang w:val="en-GB"/>
        </w:rPr>
      </w:pPr>
      <w:r w:rsidRPr="00AA2617">
        <w:rPr>
          <w:rFonts w:cs="Times New Roman"/>
          <w:lang w:val="en-GB"/>
        </w:rPr>
        <w:t>Lead, in collaboration with the NPM, the preparation of the preparation of annual work plans and budget;</w:t>
      </w:r>
    </w:p>
    <w:p w14:paraId="38558076" w14:textId="77777777" w:rsidR="003B1514" w:rsidRPr="00AA2617" w:rsidRDefault="003B1514" w:rsidP="00AA2617">
      <w:pPr>
        <w:numPr>
          <w:ilvl w:val="0"/>
          <w:numId w:val="30"/>
        </w:numPr>
        <w:rPr>
          <w:rFonts w:cs="Times New Roman"/>
          <w:lang w:val="en-GB"/>
        </w:rPr>
      </w:pPr>
      <w:r w:rsidRPr="00AA2617">
        <w:rPr>
          <w:rFonts w:cs="Times New Roman"/>
          <w:lang w:val="en-GB"/>
        </w:rPr>
        <w:t>Appraisal and operational clearance of Project documents, preparation of budgets and active participation in project discussions;</w:t>
      </w:r>
    </w:p>
    <w:p w14:paraId="432E0C4E" w14:textId="77777777" w:rsidR="003B1514" w:rsidRPr="00AA2617" w:rsidRDefault="003B1514" w:rsidP="00AA2617">
      <w:pPr>
        <w:numPr>
          <w:ilvl w:val="0"/>
          <w:numId w:val="30"/>
        </w:numPr>
        <w:rPr>
          <w:rFonts w:cs="Times New Roman"/>
          <w:lang w:val="en-GB"/>
        </w:rPr>
      </w:pPr>
      <w:r w:rsidRPr="00AA2617">
        <w:rPr>
          <w:rFonts w:cs="Times New Roman"/>
          <w:lang w:val="en-GB"/>
        </w:rPr>
        <w:t>Prepare detailed budgets for cash transfer requests based on the annual work plans and budgets and Project account cash balance;</w:t>
      </w:r>
    </w:p>
    <w:p w14:paraId="589AD338" w14:textId="77777777" w:rsidR="003B1514" w:rsidRPr="00AA2617" w:rsidRDefault="003B1514" w:rsidP="00AA2617">
      <w:pPr>
        <w:numPr>
          <w:ilvl w:val="0"/>
          <w:numId w:val="30"/>
        </w:numPr>
        <w:rPr>
          <w:rFonts w:cs="Times New Roman"/>
          <w:lang w:val="en-GB"/>
        </w:rPr>
      </w:pPr>
      <w:r w:rsidRPr="00AA2617">
        <w:rPr>
          <w:rFonts w:cs="Times New Roman"/>
          <w:lang w:val="en-GB"/>
        </w:rPr>
        <w:t>Maintain the Project’s disbursement ledger and journal;</w:t>
      </w:r>
    </w:p>
    <w:p w14:paraId="46A5DEBD" w14:textId="77777777" w:rsidR="003B1514" w:rsidRPr="00AA2617" w:rsidRDefault="003B1514" w:rsidP="00AA2617">
      <w:pPr>
        <w:numPr>
          <w:ilvl w:val="0"/>
          <w:numId w:val="30"/>
        </w:numPr>
        <w:rPr>
          <w:rFonts w:cs="Times New Roman"/>
          <w:lang w:val="en-GB"/>
        </w:rPr>
      </w:pPr>
      <w:r w:rsidRPr="00AA2617">
        <w:rPr>
          <w:rFonts w:cs="Times New Roman"/>
          <w:lang w:val="en-GB"/>
        </w:rPr>
        <w:t>Keep the financial records and regular review of the Project account;</w:t>
      </w:r>
    </w:p>
    <w:p w14:paraId="645ED8DE" w14:textId="77777777" w:rsidR="003B1514" w:rsidRPr="00AA2617" w:rsidRDefault="003B1514" w:rsidP="00AA2617">
      <w:pPr>
        <w:numPr>
          <w:ilvl w:val="0"/>
          <w:numId w:val="30"/>
        </w:numPr>
        <w:rPr>
          <w:rFonts w:cs="Times New Roman"/>
          <w:lang w:val="en-GB"/>
        </w:rPr>
      </w:pPr>
      <w:r w:rsidRPr="00AA2617">
        <w:rPr>
          <w:rFonts w:cs="Times New Roman"/>
          <w:lang w:val="en-GB"/>
        </w:rPr>
        <w:t>Review the receipts and financial reports submitted by service providers;</w:t>
      </w:r>
    </w:p>
    <w:p w14:paraId="25B29F2E" w14:textId="77777777" w:rsidR="003B1514" w:rsidRPr="00AA2617" w:rsidRDefault="003B1514" w:rsidP="00AA2617">
      <w:pPr>
        <w:numPr>
          <w:ilvl w:val="0"/>
          <w:numId w:val="30"/>
        </w:numPr>
        <w:rPr>
          <w:rFonts w:cs="Times New Roman"/>
          <w:lang w:val="en-GB"/>
        </w:rPr>
      </w:pPr>
      <w:r w:rsidRPr="00AA2617">
        <w:rPr>
          <w:rFonts w:cs="Times New Roman"/>
          <w:lang w:val="en-GB"/>
        </w:rPr>
        <w:t>Prepare six-monthly financial statement of expenditures and other project financial reports as required;</w:t>
      </w:r>
    </w:p>
    <w:p w14:paraId="50917C14" w14:textId="77777777" w:rsidR="003B1514" w:rsidRPr="00AA2617" w:rsidRDefault="003B1514" w:rsidP="00AA2617">
      <w:pPr>
        <w:numPr>
          <w:ilvl w:val="0"/>
          <w:numId w:val="30"/>
        </w:numPr>
        <w:rPr>
          <w:rFonts w:cs="Times New Roman"/>
          <w:lang w:val="en-GB"/>
        </w:rPr>
      </w:pPr>
      <w:r w:rsidRPr="00AA2617">
        <w:rPr>
          <w:rFonts w:cs="Times New Roman"/>
          <w:lang w:val="en-GB"/>
        </w:rPr>
        <w:t>Prepare relevant documents for internal and external financial audits.</w:t>
      </w:r>
    </w:p>
    <w:p w14:paraId="7851F955" w14:textId="77777777" w:rsidR="003B1514" w:rsidRPr="00AA2617" w:rsidRDefault="003B1514" w:rsidP="00AA2617">
      <w:pPr>
        <w:rPr>
          <w:rFonts w:cs="Times New Roman"/>
          <w:sz w:val="22"/>
          <w:u w:val="single"/>
          <w:lang w:val="en-GB"/>
        </w:rPr>
      </w:pPr>
    </w:p>
    <w:p w14:paraId="7BD72B8F" w14:textId="6244D60B" w:rsidR="003B1514" w:rsidRPr="00AA2617" w:rsidRDefault="003B1514" w:rsidP="00AA2617">
      <w:pPr>
        <w:rPr>
          <w:rFonts w:cs="Times New Roman"/>
          <w:b/>
          <w:bCs/>
          <w:sz w:val="22"/>
          <w:u w:val="single"/>
          <w:lang w:val="en-GB"/>
        </w:rPr>
      </w:pPr>
      <w:r w:rsidRPr="00AA2617">
        <w:rPr>
          <w:b/>
          <w:bCs/>
          <w:sz w:val="22"/>
          <w:u w:val="single"/>
          <w:lang w:val="en-GB"/>
        </w:rPr>
        <w:t xml:space="preserve">Administration </w:t>
      </w:r>
      <w:r w:rsidR="00F41126" w:rsidRPr="00AA2617">
        <w:rPr>
          <w:b/>
          <w:bCs/>
          <w:sz w:val="22"/>
          <w:u w:val="single"/>
          <w:lang w:val="en-GB"/>
        </w:rPr>
        <w:t>Associate</w:t>
      </w:r>
    </w:p>
    <w:p w14:paraId="08AF0C8E" w14:textId="77777777" w:rsidR="003B1514" w:rsidRPr="00AA2617" w:rsidRDefault="003B1514" w:rsidP="00AA2617">
      <w:pPr>
        <w:rPr>
          <w:rFonts w:cs="Times New Roman"/>
          <w:sz w:val="22"/>
          <w:u w:val="single"/>
          <w:lang w:val="en-GB"/>
        </w:rPr>
      </w:pPr>
    </w:p>
    <w:p w14:paraId="3E8163F3" w14:textId="77777777" w:rsidR="003B1514" w:rsidRPr="00AA2617" w:rsidRDefault="003B1514" w:rsidP="00AA2617">
      <w:pPr>
        <w:rPr>
          <w:rFonts w:cs="Times New Roman"/>
          <w:bCs/>
          <w:i/>
          <w:iCs/>
          <w:lang w:val="en-GB"/>
        </w:rPr>
      </w:pPr>
      <w:r w:rsidRPr="00AA2617">
        <w:rPr>
          <w:rFonts w:cs="Times New Roman"/>
          <w:bCs/>
          <w:i/>
          <w:iCs/>
          <w:lang w:val="en-GB"/>
        </w:rPr>
        <w:t>Roles and Responsibilities</w:t>
      </w:r>
    </w:p>
    <w:p w14:paraId="04E43C3F" w14:textId="77777777" w:rsidR="003B1514" w:rsidRPr="00AA2617" w:rsidRDefault="003B1514" w:rsidP="00AA2617">
      <w:pPr>
        <w:numPr>
          <w:ilvl w:val="0"/>
          <w:numId w:val="30"/>
        </w:numPr>
        <w:rPr>
          <w:rFonts w:cs="Times New Roman"/>
          <w:lang w:val="en-GB"/>
        </w:rPr>
      </w:pPr>
      <w:r w:rsidRPr="00AA2617">
        <w:rPr>
          <w:rFonts w:cs="Times New Roman"/>
          <w:lang w:val="en-GB"/>
        </w:rPr>
        <w:t>Support the day-to-day operation of the Project activities;</w:t>
      </w:r>
    </w:p>
    <w:p w14:paraId="42E7DDA1" w14:textId="77777777" w:rsidR="003B1514" w:rsidRPr="00AA2617" w:rsidRDefault="003B1514" w:rsidP="00AA2617">
      <w:pPr>
        <w:numPr>
          <w:ilvl w:val="0"/>
          <w:numId w:val="30"/>
        </w:numPr>
        <w:rPr>
          <w:rFonts w:cs="Times New Roman"/>
          <w:lang w:val="en-GB"/>
        </w:rPr>
      </w:pPr>
      <w:r w:rsidRPr="00AA2617">
        <w:rPr>
          <w:rFonts w:cs="Times New Roman"/>
          <w:lang w:val="en-GB"/>
        </w:rPr>
        <w:t>Establish and organize project task forces and ensure timely provision of suitable inputs (personnel, training, equipment and supplies) including preparing initial and regular budget revisions and providing overall administrative and operational support to the Project;</w:t>
      </w:r>
    </w:p>
    <w:p w14:paraId="542E51CA" w14:textId="77777777" w:rsidR="003B1514" w:rsidRPr="00AA2617" w:rsidRDefault="003B1514" w:rsidP="00AA2617">
      <w:pPr>
        <w:numPr>
          <w:ilvl w:val="0"/>
          <w:numId w:val="30"/>
        </w:numPr>
        <w:rPr>
          <w:rFonts w:cs="Times New Roman"/>
          <w:lang w:val="en-GB"/>
        </w:rPr>
      </w:pPr>
      <w:r w:rsidRPr="00AA2617">
        <w:rPr>
          <w:rFonts w:cs="Times New Roman"/>
          <w:lang w:val="en-GB"/>
        </w:rPr>
        <w:t>Liaise with donors and government authorities as required;</w:t>
      </w:r>
    </w:p>
    <w:p w14:paraId="1004863B" w14:textId="77777777" w:rsidR="003B1514" w:rsidRPr="00AA2617" w:rsidRDefault="003B1514" w:rsidP="00AA2617">
      <w:pPr>
        <w:numPr>
          <w:ilvl w:val="0"/>
          <w:numId w:val="30"/>
        </w:numPr>
        <w:rPr>
          <w:rFonts w:cs="Times New Roman"/>
          <w:lang w:val="en-GB"/>
        </w:rPr>
      </w:pPr>
      <w:r w:rsidRPr="00AA2617">
        <w:rPr>
          <w:rFonts w:cs="Times New Roman"/>
          <w:lang w:val="en-GB"/>
        </w:rPr>
        <w:t>Monitor the Project in close collaboration with other units at headquarters and at country level;</w:t>
      </w:r>
    </w:p>
    <w:p w14:paraId="189E42BA" w14:textId="77777777" w:rsidR="003B1514" w:rsidRPr="00AA2617" w:rsidRDefault="003B1514" w:rsidP="00AA2617">
      <w:pPr>
        <w:numPr>
          <w:ilvl w:val="0"/>
          <w:numId w:val="30"/>
        </w:numPr>
        <w:rPr>
          <w:rFonts w:cs="Times New Roman"/>
          <w:lang w:val="en-GB"/>
        </w:rPr>
      </w:pPr>
      <w:r w:rsidRPr="00AA2617">
        <w:rPr>
          <w:rFonts w:cs="Times New Roman"/>
          <w:lang w:val="en-GB"/>
        </w:rPr>
        <w:t>Monitor delivery estimates and contribute to regular reports at the request of the budget holder and NPC;</w:t>
      </w:r>
    </w:p>
    <w:p w14:paraId="0A72A361" w14:textId="77777777" w:rsidR="003B1514" w:rsidRPr="00AA2617" w:rsidRDefault="003B1514" w:rsidP="00AA2617">
      <w:pPr>
        <w:numPr>
          <w:ilvl w:val="0"/>
          <w:numId w:val="30"/>
        </w:numPr>
        <w:rPr>
          <w:rFonts w:cs="Times New Roman"/>
          <w:lang w:val="en-GB"/>
        </w:rPr>
      </w:pPr>
      <w:r w:rsidRPr="00AA2617">
        <w:rPr>
          <w:rFonts w:cs="Times New Roman"/>
          <w:lang w:val="en-GB"/>
        </w:rPr>
        <w:t>Carry out financial management and supervision of Project budgets on behalf of the budget holder;</w:t>
      </w:r>
    </w:p>
    <w:p w14:paraId="6AF2707D" w14:textId="77777777" w:rsidR="003B1514" w:rsidRPr="00AA2617" w:rsidRDefault="003B1514" w:rsidP="00AA2617">
      <w:pPr>
        <w:numPr>
          <w:ilvl w:val="0"/>
          <w:numId w:val="30"/>
        </w:numPr>
        <w:rPr>
          <w:rFonts w:cs="Times New Roman"/>
          <w:lang w:val="en-GB"/>
        </w:rPr>
      </w:pPr>
      <w:r w:rsidRPr="00AA2617">
        <w:rPr>
          <w:rFonts w:cs="Times New Roman"/>
          <w:lang w:val="en-GB"/>
        </w:rPr>
        <w:t>Lead, in collaboration with the NPM, the preparation of the preparation of budget;</w:t>
      </w:r>
    </w:p>
    <w:p w14:paraId="71D26AB6" w14:textId="77777777" w:rsidR="003B1514" w:rsidRPr="00AA2617" w:rsidRDefault="003B1514" w:rsidP="00AA2617">
      <w:pPr>
        <w:numPr>
          <w:ilvl w:val="0"/>
          <w:numId w:val="30"/>
        </w:numPr>
        <w:rPr>
          <w:rFonts w:cs="Times New Roman"/>
          <w:lang w:val="en-GB"/>
        </w:rPr>
      </w:pPr>
      <w:r w:rsidRPr="00AA2617">
        <w:rPr>
          <w:rFonts w:cs="Times New Roman"/>
          <w:lang w:val="en-GB"/>
        </w:rPr>
        <w:t>Appraisal and operational clearance of Project documents, preparation of budgets and active participation in project discussions;</w:t>
      </w:r>
    </w:p>
    <w:p w14:paraId="3054B956" w14:textId="77777777" w:rsidR="003B1514" w:rsidRPr="00AA2617" w:rsidRDefault="003B1514" w:rsidP="00AA2617">
      <w:pPr>
        <w:numPr>
          <w:ilvl w:val="0"/>
          <w:numId w:val="30"/>
        </w:numPr>
        <w:rPr>
          <w:rFonts w:cs="Times New Roman"/>
          <w:lang w:val="en-GB"/>
        </w:rPr>
      </w:pPr>
      <w:r w:rsidRPr="00AA2617">
        <w:rPr>
          <w:rFonts w:cs="Times New Roman"/>
          <w:lang w:val="en-GB"/>
        </w:rPr>
        <w:t>Prepare detailed budgets for cash transfer requests based on the annual work plans and budgets and Project account cash balance;</w:t>
      </w:r>
    </w:p>
    <w:p w14:paraId="3D56DD67" w14:textId="77777777" w:rsidR="003B1514" w:rsidRPr="00AA2617" w:rsidRDefault="003B1514" w:rsidP="00AA2617">
      <w:pPr>
        <w:numPr>
          <w:ilvl w:val="0"/>
          <w:numId w:val="30"/>
        </w:numPr>
        <w:rPr>
          <w:rFonts w:cs="Times New Roman"/>
          <w:lang w:val="en-GB"/>
        </w:rPr>
      </w:pPr>
      <w:r w:rsidRPr="00AA2617">
        <w:rPr>
          <w:rFonts w:cs="Times New Roman"/>
          <w:lang w:val="en-GB"/>
        </w:rPr>
        <w:t>Maintain the Project’s disbursement ledger and journal;</w:t>
      </w:r>
    </w:p>
    <w:p w14:paraId="487884FF" w14:textId="77777777" w:rsidR="003B1514" w:rsidRPr="00AA2617" w:rsidRDefault="003B1514" w:rsidP="00AA2617">
      <w:pPr>
        <w:numPr>
          <w:ilvl w:val="0"/>
          <w:numId w:val="30"/>
        </w:numPr>
        <w:rPr>
          <w:rFonts w:cs="Times New Roman"/>
          <w:lang w:val="en-GB"/>
        </w:rPr>
      </w:pPr>
      <w:r w:rsidRPr="00AA2617">
        <w:rPr>
          <w:rFonts w:cs="Times New Roman"/>
          <w:lang w:val="en-GB"/>
        </w:rPr>
        <w:t>Keep the financial records and regular review of the Project account;</w:t>
      </w:r>
    </w:p>
    <w:p w14:paraId="5292F68A" w14:textId="77777777" w:rsidR="003B1514" w:rsidRPr="00AA2617" w:rsidRDefault="003B1514" w:rsidP="00AA2617">
      <w:pPr>
        <w:numPr>
          <w:ilvl w:val="0"/>
          <w:numId w:val="30"/>
        </w:numPr>
        <w:rPr>
          <w:rFonts w:cs="Times New Roman"/>
          <w:lang w:val="en-GB"/>
        </w:rPr>
      </w:pPr>
      <w:r w:rsidRPr="00AA2617">
        <w:rPr>
          <w:rFonts w:cs="Times New Roman"/>
          <w:lang w:val="en-GB"/>
        </w:rPr>
        <w:t>Review the receipts and financial reports submitted by service providers;</w:t>
      </w:r>
    </w:p>
    <w:p w14:paraId="6B08E60B" w14:textId="77777777" w:rsidR="003B1514" w:rsidRPr="00AA2617" w:rsidRDefault="003B1514" w:rsidP="00AA2617">
      <w:pPr>
        <w:numPr>
          <w:ilvl w:val="0"/>
          <w:numId w:val="30"/>
        </w:numPr>
        <w:rPr>
          <w:rFonts w:cs="Times New Roman"/>
          <w:lang w:val="en-GB"/>
        </w:rPr>
      </w:pPr>
      <w:r w:rsidRPr="00AA2617">
        <w:rPr>
          <w:rFonts w:cs="Times New Roman"/>
          <w:lang w:val="en-GB"/>
        </w:rPr>
        <w:t>Prepare six-monthly financial statement of expenditures and other project financial reports as required;</w:t>
      </w:r>
    </w:p>
    <w:p w14:paraId="4F6E3300" w14:textId="77777777" w:rsidR="003B1514" w:rsidRPr="00AA2617" w:rsidRDefault="003B1514" w:rsidP="00AA2617">
      <w:pPr>
        <w:numPr>
          <w:ilvl w:val="0"/>
          <w:numId w:val="30"/>
        </w:numPr>
        <w:rPr>
          <w:rFonts w:cs="Times New Roman"/>
          <w:lang w:val="en-GB"/>
        </w:rPr>
      </w:pPr>
      <w:r w:rsidRPr="00AA2617">
        <w:rPr>
          <w:rFonts w:cs="Times New Roman"/>
          <w:lang w:val="en-GB"/>
        </w:rPr>
        <w:t>Prepare relevant documents for internal and external financial audits.</w:t>
      </w:r>
    </w:p>
    <w:p w14:paraId="51A75C58" w14:textId="77777777" w:rsidR="003B1514" w:rsidRPr="00AA2617" w:rsidRDefault="003B1514" w:rsidP="00AA2617">
      <w:pPr>
        <w:rPr>
          <w:rFonts w:cs="Times New Roman"/>
          <w:bCs/>
          <w:i/>
          <w:iCs/>
          <w:lang w:val="en-GB"/>
        </w:rPr>
      </w:pPr>
    </w:p>
    <w:p w14:paraId="1C8E718A" w14:textId="77777777" w:rsidR="003B1514" w:rsidRPr="00AA2617" w:rsidRDefault="003B1514" w:rsidP="00AA2617">
      <w:pPr>
        <w:rPr>
          <w:rFonts w:cs="Times New Roman"/>
          <w:bCs/>
          <w:i/>
          <w:iCs/>
          <w:lang w:val="en-GB"/>
        </w:rPr>
      </w:pPr>
      <w:r w:rsidRPr="00AA2617">
        <w:rPr>
          <w:rFonts w:cs="Times New Roman"/>
          <w:bCs/>
          <w:i/>
          <w:iCs/>
          <w:lang w:val="en-GB"/>
        </w:rPr>
        <w:t>Background/qualifications</w:t>
      </w:r>
    </w:p>
    <w:p w14:paraId="1FA67F3F" w14:textId="77777777" w:rsidR="003B1514" w:rsidRPr="00AA2617" w:rsidRDefault="003B1514" w:rsidP="00AA2617">
      <w:pPr>
        <w:numPr>
          <w:ilvl w:val="0"/>
          <w:numId w:val="30"/>
        </w:numPr>
        <w:rPr>
          <w:rFonts w:cs="Times New Roman"/>
          <w:lang w:val="en-GB"/>
        </w:rPr>
      </w:pPr>
      <w:r w:rsidRPr="00AA2617">
        <w:rPr>
          <w:rFonts w:cs="Times New Roman"/>
          <w:lang w:val="en-GB"/>
        </w:rPr>
        <w:t xml:space="preserve">University degree in </w:t>
      </w:r>
      <w:r w:rsidRPr="00AA2617">
        <w:rPr>
          <w:color w:val="222222"/>
          <w:szCs w:val="24"/>
          <w:lang w:val="en-GB"/>
        </w:rPr>
        <w:t>finance, business administration</w:t>
      </w:r>
      <w:r w:rsidRPr="00AA2617">
        <w:rPr>
          <w:rFonts w:cs="Times New Roman"/>
          <w:lang w:val="en-GB"/>
        </w:rPr>
        <w:t xml:space="preserve"> or a related field</w:t>
      </w:r>
    </w:p>
    <w:p w14:paraId="516C4BA2" w14:textId="77777777" w:rsidR="003B1514" w:rsidRPr="00AA2617" w:rsidRDefault="003B1514" w:rsidP="00AA2617">
      <w:pPr>
        <w:numPr>
          <w:ilvl w:val="0"/>
          <w:numId w:val="30"/>
        </w:numPr>
        <w:rPr>
          <w:rFonts w:cs="Times New Roman"/>
          <w:lang w:val="en-GB"/>
        </w:rPr>
      </w:pPr>
      <w:r w:rsidRPr="00AA2617">
        <w:rPr>
          <w:rFonts w:cs="Times New Roman"/>
          <w:lang w:val="en-GB"/>
        </w:rPr>
        <w:t>A minimum of 5 years’ experience working in one of the above fields</w:t>
      </w:r>
    </w:p>
    <w:p w14:paraId="429E6516" w14:textId="77777777" w:rsidR="003B1514" w:rsidRPr="00AA2617" w:rsidRDefault="003B1514" w:rsidP="00AA2617">
      <w:pPr>
        <w:numPr>
          <w:ilvl w:val="0"/>
          <w:numId w:val="30"/>
        </w:numPr>
        <w:rPr>
          <w:rFonts w:cs="Times New Roman"/>
          <w:lang w:val="en-GB"/>
        </w:rPr>
      </w:pPr>
      <w:r w:rsidRPr="00AA2617">
        <w:rPr>
          <w:rFonts w:cs="Times New Roman"/>
          <w:lang w:val="en-GB"/>
        </w:rPr>
        <w:t>Experience managing the administration and finances of large projects</w:t>
      </w:r>
    </w:p>
    <w:p w14:paraId="5198D1A9" w14:textId="77777777" w:rsidR="003B1514" w:rsidRPr="00AA2617" w:rsidRDefault="003B1514" w:rsidP="00AA2617">
      <w:pPr>
        <w:numPr>
          <w:ilvl w:val="0"/>
          <w:numId w:val="30"/>
        </w:numPr>
        <w:rPr>
          <w:rFonts w:cs="Times New Roman"/>
          <w:lang w:val="en-GB"/>
        </w:rPr>
      </w:pPr>
      <w:r w:rsidRPr="00AA2617">
        <w:rPr>
          <w:rFonts w:cs="Times New Roman"/>
          <w:lang w:val="en-GB"/>
        </w:rPr>
        <w:lastRenderedPageBreak/>
        <w:t>Excellent communication skills</w:t>
      </w:r>
    </w:p>
    <w:p w14:paraId="6EB023F9" w14:textId="77777777" w:rsidR="003B1514" w:rsidRPr="00AA2617" w:rsidRDefault="003B1514" w:rsidP="00AA2617">
      <w:pPr>
        <w:numPr>
          <w:ilvl w:val="0"/>
          <w:numId w:val="30"/>
        </w:numPr>
        <w:rPr>
          <w:rFonts w:cs="Times New Roman"/>
          <w:lang w:val="en-GB"/>
        </w:rPr>
      </w:pPr>
      <w:r w:rsidRPr="00AA2617">
        <w:rPr>
          <w:rFonts w:cs="Times New Roman"/>
          <w:lang w:val="en-GB"/>
        </w:rPr>
        <w:t>Excellent planning and organizing skills, accurate with attention to detail</w:t>
      </w:r>
    </w:p>
    <w:p w14:paraId="7660F0A7" w14:textId="77777777" w:rsidR="003B1514" w:rsidRPr="00AA2617" w:rsidRDefault="003B1514" w:rsidP="00AA2617">
      <w:pPr>
        <w:numPr>
          <w:ilvl w:val="0"/>
          <w:numId w:val="30"/>
        </w:numPr>
        <w:rPr>
          <w:rFonts w:cs="Times New Roman"/>
          <w:lang w:val="en-GB"/>
        </w:rPr>
      </w:pPr>
      <w:r w:rsidRPr="00AA2617">
        <w:rPr>
          <w:rFonts w:cs="Times New Roman"/>
          <w:lang w:val="en-GB"/>
        </w:rPr>
        <w:t>Able to work as part of a multi-national team</w:t>
      </w:r>
    </w:p>
    <w:p w14:paraId="7FFD37C4" w14:textId="77777777" w:rsidR="003B1514" w:rsidRPr="00AA2617" w:rsidRDefault="003B1514" w:rsidP="00AA2617">
      <w:pPr>
        <w:numPr>
          <w:ilvl w:val="0"/>
          <w:numId w:val="30"/>
        </w:numPr>
        <w:rPr>
          <w:rFonts w:cs="Times New Roman"/>
          <w:lang w:val="en-GB"/>
        </w:rPr>
      </w:pPr>
      <w:r w:rsidRPr="00AA2617">
        <w:rPr>
          <w:rFonts w:cs="Times New Roman"/>
          <w:lang w:val="en-GB"/>
        </w:rPr>
        <w:t>Working knowledge of English and local languages</w:t>
      </w:r>
    </w:p>
    <w:p w14:paraId="30515935" w14:textId="77777777" w:rsidR="003B1514" w:rsidRPr="00AA2617" w:rsidRDefault="003B1514" w:rsidP="00AA2617">
      <w:pPr>
        <w:numPr>
          <w:ilvl w:val="0"/>
          <w:numId w:val="30"/>
        </w:numPr>
        <w:rPr>
          <w:rFonts w:cs="Times New Roman"/>
          <w:lang w:val="en-GB"/>
        </w:rPr>
      </w:pPr>
      <w:r w:rsidRPr="00AA2617">
        <w:rPr>
          <w:rFonts w:cs="Times New Roman"/>
          <w:lang w:val="en-GB"/>
        </w:rPr>
        <w:t>Experience in the UN system is an asset</w:t>
      </w:r>
    </w:p>
    <w:p w14:paraId="3BD81B99" w14:textId="77777777" w:rsidR="003B1514" w:rsidRPr="00AA2617" w:rsidRDefault="003B1514" w:rsidP="00AA2617">
      <w:pPr>
        <w:rPr>
          <w:sz w:val="22"/>
          <w:u w:val="single"/>
          <w:lang w:val="en-GB"/>
        </w:rPr>
      </w:pPr>
    </w:p>
    <w:p w14:paraId="6CA79226" w14:textId="3423B380" w:rsidR="003B1514" w:rsidRPr="00AA2617" w:rsidRDefault="00F41126" w:rsidP="00AA2617">
      <w:pPr>
        <w:rPr>
          <w:b/>
          <w:bCs/>
          <w:sz w:val="22"/>
          <w:u w:val="single"/>
          <w:lang w:val="en-GB"/>
        </w:rPr>
      </w:pPr>
      <w:r w:rsidRPr="00AA2617">
        <w:rPr>
          <w:b/>
          <w:bCs/>
          <w:sz w:val="22"/>
          <w:u w:val="single"/>
          <w:lang w:val="en-GB"/>
        </w:rPr>
        <w:t xml:space="preserve">Finance / </w:t>
      </w:r>
      <w:r w:rsidR="003B1514" w:rsidRPr="00AA2617">
        <w:rPr>
          <w:b/>
          <w:bCs/>
          <w:sz w:val="22"/>
          <w:u w:val="single"/>
          <w:lang w:val="en-GB"/>
        </w:rPr>
        <w:t xml:space="preserve">Procurement </w:t>
      </w:r>
      <w:r w:rsidRPr="00AA2617">
        <w:rPr>
          <w:b/>
          <w:bCs/>
          <w:sz w:val="22"/>
          <w:u w:val="single"/>
          <w:lang w:val="en-GB"/>
        </w:rPr>
        <w:t>Associate</w:t>
      </w:r>
    </w:p>
    <w:p w14:paraId="739EA646" w14:textId="77777777" w:rsidR="003B1514" w:rsidRPr="00AA2617" w:rsidRDefault="003B1514" w:rsidP="00AA2617">
      <w:pPr>
        <w:rPr>
          <w:rFonts w:cs="Times New Roman"/>
          <w:bCs/>
          <w:i/>
          <w:iCs/>
          <w:lang w:val="en-GB"/>
        </w:rPr>
      </w:pPr>
    </w:p>
    <w:p w14:paraId="285DCFFB" w14:textId="77777777" w:rsidR="003B1514" w:rsidRPr="00AA2617" w:rsidRDefault="003B1514" w:rsidP="00AA2617">
      <w:pPr>
        <w:rPr>
          <w:rFonts w:cs="Times New Roman"/>
          <w:bCs/>
          <w:i/>
          <w:iCs/>
          <w:lang w:val="en-GB"/>
        </w:rPr>
      </w:pPr>
      <w:r w:rsidRPr="00AA2617">
        <w:rPr>
          <w:rFonts w:cs="Times New Roman"/>
          <w:bCs/>
          <w:i/>
          <w:iCs/>
          <w:lang w:val="en-GB"/>
        </w:rPr>
        <w:t>Roles and Responsibilities</w:t>
      </w:r>
    </w:p>
    <w:p w14:paraId="32009019" w14:textId="77777777" w:rsidR="003B1514" w:rsidRPr="00AA2617" w:rsidRDefault="003B1514" w:rsidP="00AA2617">
      <w:pPr>
        <w:pStyle w:val="ListParagraph"/>
        <w:numPr>
          <w:ilvl w:val="6"/>
          <w:numId w:val="31"/>
        </w:numPr>
        <w:ind w:left="284" w:hanging="284"/>
        <w:textAlignment w:val="top"/>
        <w:rPr>
          <w:rFonts w:eastAsia="Times New Roman" w:cs="Arial"/>
          <w:color w:val="222222"/>
          <w:szCs w:val="24"/>
          <w:lang w:val="en-GB"/>
        </w:rPr>
      </w:pPr>
      <w:r w:rsidRPr="00AA2617">
        <w:rPr>
          <w:color w:val="222222"/>
          <w:szCs w:val="24"/>
          <w:lang w:val="en-GB"/>
        </w:rPr>
        <w:t xml:space="preserve">Implementing all procurement management processes in an appropriate manner and in accordance with FAO rules, liaising with national counterparts about procurement issues and customs formalities including all procedures for importing goods into </w:t>
      </w:r>
      <w:r w:rsidRPr="00AA2617">
        <w:rPr>
          <w:rFonts w:cs="Times New Roman"/>
          <w:szCs w:val="21"/>
          <w:lang w:val="en-GB"/>
        </w:rPr>
        <w:t xml:space="preserve">Cambodia </w:t>
      </w:r>
      <w:r w:rsidRPr="00AA2617">
        <w:rPr>
          <w:color w:val="222222"/>
          <w:szCs w:val="24"/>
          <w:lang w:val="en-GB"/>
        </w:rPr>
        <w:t>and coordination with project partner companies involved with procurement management;</w:t>
      </w:r>
    </w:p>
    <w:p w14:paraId="5AA4E699" w14:textId="77777777" w:rsidR="003B1514" w:rsidRPr="00AA2617" w:rsidRDefault="003B1514" w:rsidP="00AA2617">
      <w:pPr>
        <w:pStyle w:val="ListParagraph"/>
        <w:numPr>
          <w:ilvl w:val="6"/>
          <w:numId w:val="31"/>
        </w:numPr>
        <w:ind w:left="284" w:hanging="284"/>
        <w:textAlignment w:val="top"/>
        <w:rPr>
          <w:rFonts w:eastAsia="Times New Roman" w:cs="Arial"/>
          <w:color w:val="222222"/>
          <w:szCs w:val="24"/>
          <w:lang w:val="en-GB"/>
        </w:rPr>
      </w:pPr>
      <w:r w:rsidRPr="00AA2617">
        <w:rPr>
          <w:color w:val="222222"/>
          <w:szCs w:val="24"/>
          <w:lang w:val="en-GB"/>
        </w:rPr>
        <w:t>Monitoring cash availability and alignment with purchases made under project procurement plans;</w:t>
      </w:r>
    </w:p>
    <w:p w14:paraId="032F5B6B" w14:textId="77777777" w:rsidR="003B1514" w:rsidRPr="00AA2617" w:rsidRDefault="003B1514" w:rsidP="00AA2617">
      <w:pPr>
        <w:pStyle w:val="ListParagraph"/>
        <w:numPr>
          <w:ilvl w:val="6"/>
          <w:numId w:val="31"/>
        </w:numPr>
        <w:ind w:left="284" w:hanging="284"/>
        <w:textAlignment w:val="top"/>
        <w:rPr>
          <w:rFonts w:eastAsia="Times New Roman" w:cs="Arial"/>
          <w:color w:val="222222"/>
          <w:szCs w:val="24"/>
          <w:lang w:val="en-GB"/>
        </w:rPr>
      </w:pPr>
      <w:r w:rsidRPr="00AA2617">
        <w:rPr>
          <w:color w:val="222222"/>
          <w:szCs w:val="24"/>
          <w:lang w:val="en-GB"/>
        </w:rPr>
        <w:t>Ensuring accurate records of all relevant data for operational and financial supervision of all project-related purchases;</w:t>
      </w:r>
    </w:p>
    <w:p w14:paraId="4AD2D78F" w14:textId="77777777" w:rsidR="003B1514" w:rsidRPr="00AA2617" w:rsidRDefault="003B1514" w:rsidP="00AA2617">
      <w:pPr>
        <w:pStyle w:val="ListParagraph"/>
        <w:numPr>
          <w:ilvl w:val="6"/>
          <w:numId w:val="31"/>
        </w:numPr>
        <w:ind w:left="284" w:hanging="284"/>
        <w:textAlignment w:val="top"/>
        <w:rPr>
          <w:rFonts w:eastAsia="Times New Roman" w:cs="Arial"/>
          <w:color w:val="222222"/>
          <w:szCs w:val="24"/>
          <w:lang w:val="en-GB"/>
        </w:rPr>
      </w:pPr>
      <w:r w:rsidRPr="00AA2617">
        <w:rPr>
          <w:color w:val="222222"/>
          <w:szCs w:val="24"/>
          <w:lang w:val="en-GB"/>
        </w:rPr>
        <w:t>Ensuring that relevant reports relating to purchase-related expenditure, forecasts and progress regarding project plans and closure are prepared and submitted in accordance with FAO and GEF procedures and according to the given formats, submission schedules and notifying reports, as necessary;</w:t>
      </w:r>
    </w:p>
    <w:p w14:paraId="15A471EE" w14:textId="77777777" w:rsidR="003B1514" w:rsidRPr="00AA2617" w:rsidRDefault="003B1514" w:rsidP="00AA2617">
      <w:pPr>
        <w:pStyle w:val="ListParagraph"/>
        <w:numPr>
          <w:ilvl w:val="6"/>
          <w:numId w:val="31"/>
        </w:numPr>
        <w:ind w:left="284" w:hanging="284"/>
        <w:textAlignment w:val="top"/>
        <w:rPr>
          <w:rFonts w:eastAsia="Times New Roman" w:cs="Arial"/>
          <w:color w:val="222222"/>
          <w:szCs w:val="24"/>
          <w:lang w:val="en-GB"/>
        </w:rPr>
      </w:pPr>
      <w:r w:rsidRPr="00AA2617">
        <w:rPr>
          <w:color w:val="222222"/>
          <w:szCs w:val="24"/>
          <w:lang w:val="en-GB"/>
        </w:rPr>
        <w:t>Implementing specific and timely actions regarding all operational requirements associated with the procurement process, including equipment, material and disbursements in the field;</w:t>
      </w:r>
    </w:p>
    <w:p w14:paraId="60B36DEF" w14:textId="77777777" w:rsidR="003B1514" w:rsidRPr="00AA2617" w:rsidRDefault="003B1514" w:rsidP="00AA2617">
      <w:pPr>
        <w:pStyle w:val="ListParagraph"/>
        <w:numPr>
          <w:ilvl w:val="6"/>
          <w:numId w:val="31"/>
        </w:numPr>
        <w:ind w:left="284" w:hanging="284"/>
        <w:textAlignment w:val="top"/>
        <w:rPr>
          <w:rFonts w:eastAsia="Times New Roman" w:cs="Arial"/>
          <w:color w:val="222222"/>
          <w:szCs w:val="24"/>
          <w:lang w:val="en-GB"/>
        </w:rPr>
      </w:pPr>
      <w:r w:rsidRPr="00AA2617">
        <w:rPr>
          <w:color w:val="222222"/>
          <w:szCs w:val="24"/>
          <w:lang w:val="en-GB"/>
        </w:rPr>
        <w:t>Participating in partnership meetings with project partners and the Steering Committee, as necessary;</w:t>
      </w:r>
    </w:p>
    <w:p w14:paraId="5E8D45AF" w14:textId="77777777" w:rsidR="003B1514" w:rsidRPr="00AA2617" w:rsidRDefault="003B1514" w:rsidP="00AA2617">
      <w:pPr>
        <w:pStyle w:val="ListParagraph"/>
        <w:numPr>
          <w:ilvl w:val="6"/>
          <w:numId w:val="31"/>
        </w:numPr>
        <w:ind w:left="284" w:hanging="284"/>
        <w:textAlignment w:val="top"/>
        <w:rPr>
          <w:rFonts w:eastAsia="Times New Roman" w:cs="Arial"/>
          <w:color w:val="222222"/>
          <w:szCs w:val="24"/>
          <w:lang w:val="en-GB"/>
        </w:rPr>
      </w:pPr>
      <w:r w:rsidRPr="00AA2617">
        <w:rPr>
          <w:color w:val="222222"/>
          <w:szCs w:val="24"/>
          <w:lang w:val="en-GB"/>
        </w:rPr>
        <w:t>Undertaking oversight missions to monitor the results-based budget and resolve outstanding operational issues relating to procurement, as appropriate.</w:t>
      </w:r>
    </w:p>
    <w:p w14:paraId="6CB73EEF" w14:textId="77777777" w:rsidR="003B1514" w:rsidRPr="00AA2617" w:rsidRDefault="003B1514" w:rsidP="00AA2617">
      <w:pPr>
        <w:rPr>
          <w:rFonts w:cs="Times New Roman"/>
          <w:bCs/>
          <w:i/>
          <w:iCs/>
          <w:lang w:val="en-GB"/>
        </w:rPr>
      </w:pPr>
      <w:r w:rsidRPr="00AA2617">
        <w:rPr>
          <w:color w:val="222222"/>
          <w:szCs w:val="24"/>
          <w:lang w:val="en-GB"/>
        </w:rPr>
        <w:br/>
      </w:r>
      <w:r w:rsidRPr="00AA2617">
        <w:rPr>
          <w:rFonts w:cs="Times New Roman"/>
          <w:bCs/>
          <w:i/>
          <w:iCs/>
          <w:lang w:val="en-GB"/>
        </w:rPr>
        <w:t>Background/qualifications</w:t>
      </w:r>
    </w:p>
    <w:p w14:paraId="4CF65A66" w14:textId="77777777" w:rsidR="003B1514" w:rsidRPr="00AA2617" w:rsidRDefault="003B1514" w:rsidP="00AA2617">
      <w:pPr>
        <w:numPr>
          <w:ilvl w:val="0"/>
          <w:numId w:val="30"/>
        </w:numPr>
        <w:rPr>
          <w:rFonts w:cs="Times New Roman"/>
          <w:lang w:val="en-GB"/>
        </w:rPr>
      </w:pPr>
      <w:r w:rsidRPr="00AA2617">
        <w:rPr>
          <w:rFonts w:cs="Times New Roman"/>
          <w:lang w:val="en-GB"/>
        </w:rPr>
        <w:t xml:space="preserve">University degree in </w:t>
      </w:r>
      <w:r w:rsidRPr="00AA2617">
        <w:rPr>
          <w:color w:val="222222"/>
          <w:szCs w:val="24"/>
          <w:lang w:val="en-GB"/>
        </w:rPr>
        <w:t>economics, finance, business administration</w:t>
      </w:r>
      <w:r w:rsidRPr="00AA2617">
        <w:rPr>
          <w:rFonts w:cs="Times New Roman"/>
          <w:lang w:val="en-GB"/>
        </w:rPr>
        <w:t xml:space="preserve"> or a related field</w:t>
      </w:r>
    </w:p>
    <w:p w14:paraId="21F6D366" w14:textId="77777777" w:rsidR="003B1514" w:rsidRPr="00AA2617" w:rsidRDefault="003B1514" w:rsidP="00AA2617">
      <w:pPr>
        <w:numPr>
          <w:ilvl w:val="0"/>
          <w:numId w:val="30"/>
        </w:numPr>
        <w:rPr>
          <w:rFonts w:cs="Times New Roman"/>
          <w:lang w:val="en-GB"/>
        </w:rPr>
      </w:pPr>
      <w:r w:rsidRPr="00AA2617">
        <w:rPr>
          <w:rFonts w:cs="Times New Roman"/>
          <w:lang w:val="en-GB"/>
        </w:rPr>
        <w:t>A minimum of 5 years’ experience working in one of the above fields</w:t>
      </w:r>
    </w:p>
    <w:p w14:paraId="1518A974" w14:textId="77777777" w:rsidR="003B1514" w:rsidRPr="00AA2617" w:rsidRDefault="003B1514" w:rsidP="00AA2617">
      <w:pPr>
        <w:numPr>
          <w:ilvl w:val="0"/>
          <w:numId w:val="30"/>
        </w:numPr>
        <w:rPr>
          <w:rFonts w:cs="Times New Roman"/>
          <w:lang w:val="en-GB"/>
        </w:rPr>
      </w:pPr>
      <w:r w:rsidRPr="00AA2617">
        <w:rPr>
          <w:rFonts w:cs="Times New Roman"/>
          <w:lang w:val="en-GB"/>
        </w:rPr>
        <w:t>Experience managing the procurement of large projects</w:t>
      </w:r>
    </w:p>
    <w:p w14:paraId="6E297FDC" w14:textId="77777777" w:rsidR="003B1514" w:rsidRPr="00AA2617" w:rsidRDefault="003B1514" w:rsidP="00AA2617">
      <w:pPr>
        <w:numPr>
          <w:ilvl w:val="0"/>
          <w:numId w:val="30"/>
        </w:numPr>
        <w:rPr>
          <w:rFonts w:cs="Times New Roman"/>
          <w:lang w:val="en-GB"/>
        </w:rPr>
      </w:pPr>
      <w:r w:rsidRPr="00AA2617">
        <w:rPr>
          <w:rFonts w:cs="Times New Roman"/>
          <w:lang w:val="en-GB"/>
        </w:rPr>
        <w:t>Excellent communication skills</w:t>
      </w:r>
    </w:p>
    <w:p w14:paraId="491B0804" w14:textId="77777777" w:rsidR="003B1514" w:rsidRPr="00AA2617" w:rsidRDefault="003B1514" w:rsidP="00AA2617">
      <w:pPr>
        <w:numPr>
          <w:ilvl w:val="0"/>
          <w:numId w:val="30"/>
        </w:numPr>
        <w:rPr>
          <w:rFonts w:cs="Times New Roman"/>
          <w:lang w:val="en-GB"/>
        </w:rPr>
      </w:pPr>
      <w:r w:rsidRPr="00AA2617">
        <w:rPr>
          <w:rFonts w:cs="Times New Roman"/>
          <w:lang w:val="en-GB"/>
        </w:rPr>
        <w:t>Excellent planning and organising skills, accurate with attention to detail</w:t>
      </w:r>
    </w:p>
    <w:p w14:paraId="2D0F6D47" w14:textId="77777777" w:rsidR="003B1514" w:rsidRPr="00AA2617" w:rsidRDefault="003B1514" w:rsidP="00AA2617">
      <w:pPr>
        <w:numPr>
          <w:ilvl w:val="0"/>
          <w:numId w:val="30"/>
        </w:numPr>
        <w:rPr>
          <w:rFonts w:cs="Times New Roman"/>
          <w:lang w:val="en-GB"/>
        </w:rPr>
      </w:pPr>
      <w:r w:rsidRPr="00AA2617">
        <w:rPr>
          <w:rFonts w:cs="Times New Roman"/>
          <w:lang w:val="en-GB"/>
        </w:rPr>
        <w:t>Able to work as part of a multi-national team</w:t>
      </w:r>
    </w:p>
    <w:p w14:paraId="43DFFEE1" w14:textId="77777777" w:rsidR="003B1514" w:rsidRPr="00AA2617" w:rsidRDefault="003B1514" w:rsidP="00AA2617">
      <w:pPr>
        <w:numPr>
          <w:ilvl w:val="0"/>
          <w:numId w:val="30"/>
        </w:numPr>
        <w:rPr>
          <w:rFonts w:cs="Times New Roman"/>
          <w:lang w:val="en-GB"/>
        </w:rPr>
      </w:pPr>
      <w:r w:rsidRPr="00AA2617">
        <w:rPr>
          <w:rFonts w:cs="Times New Roman"/>
          <w:lang w:val="en-GB"/>
        </w:rPr>
        <w:t>Working knowledge of English and local languages</w:t>
      </w:r>
    </w:p>
    <w:p w14:paraId="0341DF86" w14:textId="77777777" w:rsidR="003B1514" w:rsidRPr="00AA2617" w:rsidRDefault="003B1514" w:rsidP="00AA2617">
      <w:pPr>
        <w:numPr>
          <w:ilvl w:val="0"/>
          <w:numId w:val="30"/>
        </w:numPr>
        <w:rPr>
          <w:rFonts w:cs="Times New Roman"/>
          <w:lang w:val="en-GB"/>
        </w:rPr>
      </w:pPr>
      <w:r w:rsidRPr="00AA2617">
        <w:rPr>
          <w:rFonts w:cs="Times New Roman"/>
          <w:lang w:val="en-GB"/>
        </w:rPr>
        <w:t>Experience in the UN system is an asset</w:t>
      </w:r>
    </w:p>
    <w:p w14:paraId="1128CCBB" w14:textId="77777777" w:rsidR="003B1514" w:rsidRPr="00AA2617" w:rsidRDefault="003B1514" w:rsidP="00AA2617">
      <w:pPr>
        <w:rPr>
          <w:sz w:val="22"/>
          <w:u w:val="single"/>
          <w:lang w:val="en-GB"/>
        </w:rPr>
      </w:pPr>
    </w:p>
    <w:p w14:paraId="0BE25366" w14:textId="4BCE7606" w:rsidR="00F41126" w:rsidRPr="00AA2617" w:rsidRDefault="00F41126" w:rsidP="00AA2617">
      <w:pPr>
        <w:rPr>
          <w:sz w:val="22"/>
          <w:u w:val="single"/>
          <w:lang w:val="en-GB"/>
        </w:rPr>
      </w:pPr>
      <w:r w:rsidRPr="00AA2617">
        <w:rPr>
          <w:sz w:val="22"/>
          <w:u w:val="single"/>
          <w:lang w:val="en-GB"/>
        </w:rPr>
        <w:t>Technical Assistant</w:t>
      </w:r>
    </w:p>
    <w:p w14:paraId="16731D2E" w14:textId="4A1FC777" w:rsidR="00B104A0" w:rsidRPr="00AA2617" w:rsidRDefault="001B1BE9" w:rsidP="00AA2617">
      <w:pPr>
        <w:rPr>
          <w:rFonts w:eastAsia="SimSun"/>
          <w:sz w:val="22"/>
          <w:lang w:val="en-GB"/>
        </w:rPr>
      </w:pPr>
      <w:r w:rsidRPr="00AA2617">
        <w:rPr>
          <w:sz w:val="22"/>
          <w:lang w:val="en-GB"/>
        </w:rPr>
        <w:t>The Technical Assistant will be stationed with the PMU.  The Technical Assistant will report to the National Programme Manager</w:t>
      </w:r>
      <w:r w:rsidR="00B104A0" w:rsidRPr="00AA2617">
        <w:rPr>
          <w:sz w:val="22"/>
          <w:lang w:val="en-GB"/>
        </w:rPr>
        <w:t xml:space="preserve"> (NPM)</w:t>
      </w:r>
      <w:r w:rsidRPr="00AA2617">
        <w:rPr>
          <w:sz w:val="22"/>
          <w:lang w:val="en-GB"/>
        </w:rPr>
        <w:t xml:space="preserve"> and </w:t>
      </w:r>
      <w:r w:rsidR="00B104A0" w:rsidRPr="00AA2617">
        <w:rPr>
          <w:sz w:val="22"/>
          <w:lang w:val="en-GB"/>
        </w:rPr>
        <w:t xml:space="preserve">will </w:t>
      </w:r>
      <w:r w:rsidR="00B104A0" w:rsidRPr="00AA2617">
        <w:rPr>
          <w:rFonts w:eastAsia="SimSun"/>
          <w:sz w:val="22"/>
          <w:lang w:val="en-GB"/>
        </w:rPr>
        <w:t>support the NPM in coordinating the project’s execution and daily operations. The Technical Assistant works in close cooperation with other PMU staff.</w:t>
      </w:r>
    </w:p>
    <w:p w14:paraId="1961E20D" w14:textId="77777777" w:rsidR="00B104A0" w:rsidRPr="00AA2617" w:rsidRDefault="00B104A0" w:rsidP="00AA2617">
      <w:pPr>
        <w:rPr>
          <w:rFonts w:eastAsia="SimSun"/>
          <w:sz w:val="22"/>
          <w:lang w:val="en-GB"/>
        </w:rPr>
      </w:pPr>
      <w:r w:rsidRPr="00AA2617">
        <w:rPr>
          <w:rFonts w:eastAsia="SimSun"/>
          <w:i/>
          <w:sz w:val="22"/>
          <w:lang w:val="en-GB"/>
        </w:rPr>
        <w:t>Inter alia</w:t>
      </w:r>
      <w:r w:rsidRPr="00AA2617">
        <w:rPr>
          <w:rFonts w:eastAsia="SimSun"/>
          <w:sz w:val="22"/>
          <w:lang w:val="en-GB"/>
        </w:rPr>
        <w:t xml:space="preserve">, the Technical Assistant will support: </w:t>
      </w:r>
    </w:p>
    <w:p w14:paraId="5B29D733" w14:textId="77777777" w:rsidR="00B104A0" w:rsidRPr="00AA2617" w:rsidRDefault="00B104A0" w:rsidP="00AA2617">
      <w:pPr>
        <w:pStyle w:val="ListParagraph"/>
        <w:numPr>
          <w:ilvl w:val="0"/>
          <w:numId w:val="28"/>
        </w:numPr>
        <w:spacing w:after="0"/>
        <w:contextualSpacing w:val="0"/>
        <w:jc w:val="left"/>
        <w:rPr>
          <w:rFonts w:eastAsia="SimSun"/>
          <w:sz w:val="22"/>
          <w:lang w:val="en-GB"/>
        </w:rPr>
      </w:pPr>
      <w:r w:rsidRPr="00AA2617">
        <w:rPr>
          <w:rFonts w:eastAsia="SimSun"/>
          <w:sz w:val="22"/>
          <w:lang w:val="en-GB"/>
        </w:rPr>
        <w:t>The coordination of technical inputs into the project;</w:t>
      </w:r>
    </w:p>
    <w:p w14:paraId="6F31AE7E" w14:textId="77777777" w:rsidR="00B104A0" w:rsidRPr="00AA2617" w:rsidRDefault="00B104A0" w:rsidP="00AA2617">
      <w:pPr>
        <w:pStyle w:val="ListParagraph"/>
        <w:numPr>
          <w:ilvl w:val="0"/>
          <w:numId w:val="28"/>
        </w:numPr>
        <w:spacing w:after="0"/>
        <w:contextualSpacing w:val="0"/>
        <w:jc w:val="left"/>
        <w:rPr>
          <w:rFonts w:eastAsia="SimSun"/>
          <w:sz w:val="22"/>
          <w:lang w:val="en-GB"/>
        </w:rPr>
      </w:pPr>
      <w:r w:rsidRPr="00AA2617">
        <w:rPr>
          <w:rFonts w:eastAsia="SimSun"/>
          <w:sz w:val="22"/>
          <w:lang w:val="en-GB"/>
        </w:rPr>
        <w:t xml:space="preserve">The monitoring of the project’s activities in accordance with the project document and approved annual work-plan and budget; </w:t>
      </w:r>
    </w:p>
    <w:p w14:paraId="60001859" w14:textId="77777777" w:rsidR="00B104A0" w:rsidRPr="00AA2617" w:rsidRDefault="00B104A0" w:rsidP="00AA2617">
      <w:pPr>
        <w:pStyle w:val="ListParagraph"/>
        <w:numPr>
          <w:ilvl w:val="0"/>
          <w:numId w:val="28"/>
        </w:numPr>
        <w:spacing w:after="0"/>
        <w:contextualSpacing w:val="0"/>
        <w:jc w:val="left"/>
        <w:rPr>
          <w:rFonts w:eastAsia="SimSun"/>
          <w:sz w:val="22"/>
          <w:lang w:val="en-GB"/>
        </w:rPr>
      </w:pPr>
      <w:r w:rsidRPr="00AA2617">
        <w:rPr>
          <w:rFonts w:eastAsia="SimSun"/>
          <w:sz w:val="22"/>
          <w:lang w:val="en-GB"/>
        </w:rPr>
        <w:t>The project’s daily operations;</w:t>
      </w:r>
    </w:p>
    <w:p w14:paraId="7EB302D8" w14:textId="77777777" w:rsidR="00B104A0" w:rsidRPr="00AA2617" w:rsidRDefault="00B104A0" w:rsidP="00AA2617">
      <w:pPr>
        <w:pStyle w:val="ListParagraph"/>
        <w:numPr>
          <w:ilvl w:val="0"/>
          <w:numId w:val="28"/>
        </w:numPr>
        <w:spacing w:after="0"/>
        <w:contextualSpacing w:val="0"/>
        <w:jc w:val="left"/>
        <w:rPr>
          <w:rFonts w:eastAsia="SimSun"/>
          <w:sz w:val="22"/>
          <w:lang w:val="en-GB"/>
        </w:rPr>
      </w:pPr>
      <w:r w:rsidRPr="00AA2617">
        <w:rPr>
          <w:rFonts w:eastAsia="SimSun"/>
          <w:sz w:val="22"/>
          <w:lang w:val="en-GB"/>
        </w:rPr>
        <w:lastRenderedPageBreak/>
        <w:t xml:space="preserve">The coordination with stakeholders and related initiatives; </w:t>
      </w:r>
    </w:p>
    <w:p w14:paraId="3481039E" w14:textId="77777777" w:rsidR="00B104A0" w:rsidRPr="00AA2617" w:rsidRDefault="00B104A0" w:rsidP="00AA2617">
      <w:pPr>
        <w:pStyle w:val="ListParagraph"/>
        <w:numPr>
          <w:ilvl w:val="0"/>
          <w:numId w:val="28"/>
        </w:numPr>
        <w:spacing w:after="0"/>
        <w:contextualSpacing w:val="0"/>
        <w:jc w:val="left"/>
        <w:rPr>
          <w:rFonts w:eastAsia="SimSun"/>
          <w:sz w:val="22"/>
          <w:lang w:val="en-GB"/>
        </w:rPr>
      </w:pPr>
      <w:r w:rsidRPr="00AA2617">
        <w:rPr>
          <w:rFonts w:eastAsia="SimSun"/>
          <w:sz w:val="22"/>
          <w:lang w:val="en-GB"/>
        </w:rPr>
        <w:t>Communication between the participating institutions and organizations;</w:t>
      </w:r>
    </w:p>
    <w:p w14:paraId="547494A5" w14:textId="77777777" w:rsidR="00B104A0" w:rsidRPr="00AA2617" w:rsidRDefault="00B104A0" w:rsidP="00AA2617">
      <w:pPr>
        <w:pStyle w:val="ListParagraph"/>
        <w:numPr>
          <w:ilvl w:val="0"/>
          <w:numId w:val="28"/>
        </w:numPr>
        <w:spacing w:after="0"/>
        <w:contextualSpacing w:val="0"/>
        <w:jc w:val="left"/>
        <w:rPr>
          <w:rFonts w:eastAsia="SimSun"/>
          <w:sz w:val="22"/>
          <w:lang w:val="en-GB"/>
        </w:rPr>
      </w:pPr>
      <w:r w:rsidRPr="00AA2617">
        <w:rPr>
          <w:rFonts w:eastAsia="SimSun"/>
          <w:sz w:val="22"/>
          <w:lang w:val="en-GB"/>
        </w:rPr>
        <w:t>Fulfilment of the PMU’s obligations as secretariat for the PSC and TWG;</w:t>
      </w:r>
    </w:p>
    <w:p w14:paraId="17776C63" w14:textId="77777777" w:rsidR="00B104A0" w:rsidRPr="00AA2617" w:rsidRDefault="00B104A0" w:rsidP="00AA2617">
      <w:pPr>
        <w:pStyle w:val="ListParagraph"/>
        <w:numPr>
          <w:ilvl w:val="0"/>
          <w:numId w:val="28"/>
        </w:numPr>
        <w:spacing w:after="0"/>
        <w:contextualSpacing w:val="0"/>
        <w:jc w:val="left"/>
        <w:rPr>
          <w:rFonts w:eastAsia="SimSun"/>
          <w:sz w:val="22"/>
          <w:lang w:val="en-GB" w:eastAsia="zh-CN"/>
        </w:rPr>
      </w:pPr>
      <w:r w:rsidRPr="00AA2617">
        <w:rPr>
          <w:rFonts w:eastAsia="SimSun"/>
          <w:sz w:val="22"/>
          <w:lang w:val="en-GB"/>
        </w:rPr>
        <w:t>Implementation of the project’s monitoring and evaluation (M&amp;E) plan</w:t>
      </w:r>
      <w:r w:rsidRPr="00AA2617">
        <w:rPr>
          <w:rFonts w:eastAsia="SimSun"/>
          <w:sz w:val="22"/>
          <w:lang w:val="en-GB" w:eastAsia="zh-CN"/>
        </w:rPr>
        <w:t xml:space="preserve"> and its communication plan;</w:t>
      </w:r>
    </w:p>
    <w:p w14:paraId="5B85E1C3" w14:textId="77777777" w:rsidR="00B104A0" w:rsidRPr="00AA2617" w:rsidRDefault="00B104A0" w:rsidP="00AA2617">
      <w:pPr>
        <w:pStyle w:val="ListParagraph"/>
        <w:numPr>
          <w:ilvl w:val="0"/>
          <w:numId w:val="28"/>
        </w:numPr>
        <w:spacing w:after="0"/>
        <w:contextualSpacing w:val="0"/>
        <w:jc w:val="left"/>
        <w:rPr>
          <w:rFonts w:eastAsia="SimSun"/>
          <w:sz w:val="22"/>
          <w:lang w:val="en-GB" w:eastAsia="zh-CN"/>
        </w:rPr>
      </w:pPr>
      <w:r w:rsidRPr="00AA2617">
        <w:rPr>
          <w:rFonts w:eastAsia="SimSun"/>
          <w:sz w:val="22"/>
          <w:lang w:val="en-GB" w:eastAsia="zh-CN"/>
        </w:rPr>
        <w:t xml:space="preserve">The preparation of the PPRs; </w:t>
      </w:r>
    </w:p>
    <w:p w14:paraId="3A32E0D7" w14:textId="77777777" w:rsidR="00B104A0" w:rsidRPr="00AA2617" w:rsidRDefault="00B104A0" w:rsidP="00AA2617">
      <w:pPr>
        <w:pStyle w:val="ListParagraph"/>
        <w:numPr>
          <w:ilvl w:val="0"/>
          <w:numId w:val="28"/>
        </w:numPr>
        <w:spacing w:after="0"/>
        <w:contextualSpacing w:val="0"/>
        <w:jc w:val="left"/>
        <w:rPr>
          <w:rFonts w:eastAsia="SimSun"/>
          <w:sz w:val="22"/>
          <w:lang w:val="en-GB" w:eastAsia="zh-CN"/>
        </w:rPr>
      </w:pPr>
      <w:r w:rsidRPr="00AA2617">
        <w:rPr>
          <w:rFonts w:eastAsia="SimSun"/>
          <w:sz w:val="22"/>
          <w:lang w:val="en-GB" w:eastAsia="zh-CN"/>
        </w:rPr>
        <w:t xml:space="preserve">The organization of annual project workshops and meetings to monitor project progress and prepare the AWP/B; </w:t>
      </w:r>
    </w:p>
    <w:p w14:paraId="4CE85A44" w14:textId="77777777" w:rsidR="00B104A0" w:rsidRPr="00AA2617" w:rsidRDefault="00B104A0" w:rsidP="00AA2617">
      <w:pPr>
        <w:pStyle w:val="ListParagraph"/>
        <w:numPr>
          <w:ilvl w:val="0"/>
          <w:numId w:val="28"/>
        </w:numPr>
        <w:spacing w:after="0"/>
        <w:contextualSpacing w:val="0"/>
        <w:jc w:val="left"/>
        <w:rPr>
          <w:rFonts w:eastAsia="SimSun"/>
          <w:sz w:val="22"/>
          <w:lang w:val="en-GB" w:eastAsia="zh-CN"/>
        </w:rPr>
      </w:pPr>
      <w:r w:rsidRPr="00AA2617">
        <w:rPr>
          <w:rFonts w:eastAsia="SimSun"/>
          <w:sz w:val="22"/>
          <w:lang w:val="en-GB" w:eastAsia="zh-CN"/>
        </w:rPr>
        <w:t xml:space="preserve">The submission of PPRs and AWP/B to PSC and FAO for approval; and </w:t>
      </w:r>
    </w:p>
    <w:p w14:paraId="08DBCB75" w14:textId="77777777" w:rsidR="00B104A0" w:rsidRPr="00AA2617" w:rsidRDefault="00B104A0" w:rsidP="00AA2617">
      <w:pPr>
        <w:pStyle w:val="ListParagraph"/>
        <w:numPr>
          <w:ilvl w:val="0"/>
          <w:numId w:val="28"/>
        </w:numPr>
        <w:spacing w:after="0"/>
        <w:contextualSpacing w:val="0"/>
        <w:jc w:val="left"/>
        <w:rPr>
          <w:rFonts w:eastAsia="SimSun"/>
          <w:sz w:val="22"/>
          <w:lang w:val="en-GB"/>
        </w:rPr>
      </w:pPr>
      <w:r w:rsidRPr="00AA2617">
        <w:rPr>
          <w:rFonts w:eastAsia="SimSun"/>
          <w:sz w:val="22"/>
          <w:lang w:val="en-GB" w:eastAsia="zh-CN"/>
        </w:rPr>
        <w:t>The preparation of PIRs, joint supervision missions, and final evaluation.</w:t>
      </w:r>
    </w:p>
    <w:p w14:paraId="73A2961A" w14:textId="77777777" w:rsidR="00F41126" w:rsidRPr="00AA2617" w:rsidRDefault="00F41126" w:rsidP="00AA2617">
      <w:pPr>
        <w:rPr>
          <w:sz w:val="22"/>
          <w:u w:val="single"/>
          <w:lang w:val="en-GB"/>
        </w:rPr>
      </w:pPr>
    </w:p>
    <w:p w14:paraId="2AA9F05A" w14:textId="04A61C91" w:rsidR="00447A95" w:rsidRPr="00AA2617" w:rsidRDefault="00447A95" w:rsidP="00AA2617">
      <w:pPr>
        <w:rPr>
          <w:sz w:val="22"/>
          <w:u w:val="single"/>
          <w:lang w:val="en-GB"/>
        </w:rPr>
      </w:pPr>
      <w:r w:rsidRPr="00AA2617">
        <w:rPr>
          <w:sz w:val="22"/>
          <w:u w:val="single"/>
          <w:lang w:val="en-GB"/>
        </w:rPr>
        <w:t>Decision-support Specialist</w:t>
      </w:r>
    </w:p>
    <w:p w14:paraId="54767513" w14:textId="77777777" w:rsidR="00447A95" w:rsidRPr="00AA2617" w:rsidRDefault="00447A95" w:rsidP="00AA2617">
      <w:pPr>
        <w:rPr>
          <w:sz w:val="22"/>
          <w:lang w:val="en-GB"/>
        </w:rPr>
      </w:pPr>
    </w:p>
    <w:p w14:paraId="5F764593" w14:textId="4FFB4FCC" w:rsidR="00447A95" w:rsidRPr="00AA2617" w:rsidRDefault="00447A95" w:rsidP="00AA2617">
      <w:pPr>
        <w:rPr>
          <w:sz w:val="22"/>
          <w:lang w:val="en-GB"/>
        </w:rPr>
      </w:pPr>
      <w:r w:rsidRPr="00AA2617">
        <w:rPr>
          <w:sz w:val="22"/>
          <w:lang w:val="en-GB"/>
        </w:rPr>
        <w:t>The Decision-support Specialist will be stationed with the PMU.  The Decision-support Specialist will report to the National Programme Manager and will provide expertise to facilitate a decision-driven approach to the project’s outcomes, including mitigation-related MRV, adaptation-related M&amp;R, and project-related M&amp;E.  The Decision-support Specialist will help to ensure that capacities and systems are developed to produce action-oriented information that efficiently enables stakeholders to achieve national and local climate-related goals, especially those of the NDC.</w:t>
      </w:r>
    </w:p>
    <w:p w14:paraId="5757F2EA" w14:textId="77777777" w:rsidR="00447A95" w:rsidRPr="00AA2617" w:rsidRDefault="00447A95" w:rsidP="00AA2617">
      <w:pPr>
        <w:rPr>
          <w:sz w:val="22"/>
          <w:lang w:val="en-GB"/>
        </w:rPr>
      </w:pPr>
    </w:p>
    <w:p w14:paraId="640EE508" w14:textId="77777777" w:rsidR="00447A95" w:rsidRPr="00AA2617" w:rsidRDefault="00447A95" w:rsidP="00AA2617">
      <w:pPr>
        <w:rPr>
          <w:sz w:val="22"/>
          <w:lang w:val="en-GB"/>
        </w:rPr>
      </w:pPr>
      <w:r w:rsidRPr="00AA2617">
        <w:rPr>
          <w:sz w:val="22"/>
          <w:lang w:val="en-GB"/>
        </w:rPr>
        <w:t>The Decision-support Specialist will contribute directly to:</w:t>
      </w:r>
    </w:p>
    <w:p w14:paraId="2A753E92" w14:textId="1C5433E5" w:rsidR="00447A95" w:rsidRPr="00AA2617" w:rsidRDefault="00447A95" w:rsidP="00AA2617">
      <w:pPr>
        <w:pStyle w:val="ListParagraph"/>
        <w:numPr>
          <w:ilvl w:val="0"/>
          <w:numId w:val="9"/>
        </w:numPr>
        <w:spacing w:after="0"/>
        <w:jc w:val="left"/>
        <w:rPr>
          <w:sz w:val="22"/>
          <w:lang w:val="en-GB"/>
        </w:rPr>
      </w:pPr>
      <w:r w:rsidRPr="00AA2617">
        <w:rPr>
          <w:sz w:val="22"/>
          <w:lang w:val="en-GB"/>
        </w:rPr>
        <w:t>Relevant work of the TWG and associated analyses;</w:t>
      </w:r>
    </w:p>
    <w:p w14:paraId="6EEE38A2" w14:textId="77777777" w:rsidR="00447A95" w:rsidRPr="00AA2617" w:rsidRDefault="00447A95" w:rsidP="00AA2617">
      <w:pPr>
        <w:pStyle w:val="ListParagraph"/>
        <w:numPr>
          <w:ilvl w:val="0"/>
          <w:numId w:val="9"/>
        </w:numPr>
        <w:spacing w:after="0"/>
        <w:jc w:val="left"/>
        <w:rPr>
          <w:sz w:val="22"/>
          <w:lang w:val="en-GB"/>
        </w:rPr>
      </w:pPr>
      <w:r w:rsidRPr="00AA2617">
        <w:rPr>
          <w:sz w:val="22"/>
          <w:lang w:val="en-GB"/>
        </w:rPr>
        <w:t>Identification of pragmatic and cost-efficient options for measurement and data-provision, especially for proxy measures;</w:t>
      </w:r>
    </w:p>
    <w:p w14:paraId="43FF97A3" w14:textId="77777777" w:rsidR="00447A95" w:rsidRPr="00AA2617" w:rsidRDefault="00447A95" w:rsidP="00AA2617">
      <w:pPr>
        <w:pStyle w:val="ListParagraph"/>
        <w:numPr>
          <w:ilvl w:val="0"/>
          <w:numId w:val="9"/>
        </w:numPr>
        <w:spacing w:after="0"/>
        <w:jc w:val="left"/>
        <w:rPr>
          <w:sz w:val="22"/>
          <w:lang w:val="en-GB"/>
        </w:rPr>
      </w:pPr>
      <w:r w:rsidRPr="00AA2617">
        <w:rPr>
          <w:sz w:val="22"/>
          <w:lang w:val="en-GB"/>
        </w:rPr>
        <w:t>Drafting relevant requirements of LOAs and contracts;</w:t>
      </w:r>
    </w:p>
    <w:p w14:paraId="3F691A90" w14:textId="77777777" w:rsidR="00447A95" w:rsidRPr="00AA2617" w:rsidRDefault="00447A95" w:rsidP="00AA2617">
      <w:pPr>
        <w:pStyle w:val="ListParagraph"/>
        <w:numPr>
          <w:ilvl w:val="0"/>
          <w:numId w:val="9"/>
        </w:numPr>
        <w:spacing w:after="0"/>
        <w:jc w:val="left"/>
        <w:rPr>
          <w:sz w:val="22"/>
          <w:lang w:val="en-GB"/>
        </w:rPr>
      </w:pPr>
      <w:r w:rsidRPr="00AA2617">
        <w:rPr>
          <w:sz w:val="22"/>
          <w:lang w:val="en-GB"/>
        </w:rPr>
        <w:t>Structuring the online data-sharing portal;</w:t>
      </w:r>
    </w:p>
    <w:p w14:paraId="3E2CD1B1" w14:textId="77777777" w:rsidR="00447A95" w:rsidRPr="00AA2617" w:rsidRDefault="00447A95" w:rsidP="00AA2617">
      <w:pPr>
        <w:pStyle w:val="ListParagraph"/>
        <w:numPr>
          <w:ilvl w:val="0"/>
          <w:numId w:val="9"/>
        </w:numPr>
        <w:spacing w:after="0"/>
        <w:jc w:val="left"/>
        <w:rPr>
          <w:sz w:val="22"/>
          <w:lang w:val="en-GB"/>
        </w:rPr>
      </w:pPr>
      <w:r w:rsidRPr="00AA2617">
        <w:rPr>
          <w:sz w:val="22"/>
          <w:lang w:val="en-GB"/>
        </w:rPr>
        <w:t>Drafting of technical reports;</w:t>
      </w:r>
    </w:p>
    <w:p w14:paraId="587542CC" w14:textId="77777777" w:rsidR="00447A95" w:rsidRPr="00AA2617" w:rsidRDefault="00447A95" w:rsidP="00AA2617">
      <w:pPr>
        <w:pStyle w:val="ListParagraph"/>
        <w:numPr>
          <w:ilvl w:val="0"/>
          <w:numId w:val="9"/>
        </w:numPr>
        <w:spacing w:after="0"/>
        <w:jc w:val="left"/>
        <w:rPr>
          <w:sz w:val="22"/>
          <w:lang w:val="en-GB"/>
        </w:rPr>
      </w:pPr>
      <w:r w:rsidRPr="00AA2617">
        <w:rPr>
          <w:sz w:val="22"/>
          <w:lang w:val="en-GB"/>
        </w:rPr>
        <w:t>Engaging with stakeholders to understand and define relevant decisions and informational needs, especially related to informational constraints to taking relevant actions;</w:t>
      </w:r>
    </w:p>
    <w:p w14:paraId="25908199" w14:textId="77777777" w:rsidR="00447A95" w:rsidRPr="00AA2617" w:rsidRDefault="00447A95" w:rsidP="00AA2617">
      <w:pPr>
        <w:pStyle w:val="ListParagraph"/>
        <w:numPr>
          <w:ilvl w:val="0"/>
          <w:numId w:val="9"/>
        </w:numPr>
        <w:spacing w:after="0"/>
        <w:jc w:val="left"/>
        <w:rPr>
          <w:sz w:val="22"/>
          <w:lang w:val="en-GB"/>
        </w:rPr>
      </w:pPr>
      <w:r w:rsidRPr="00AA2617">
        <w:rPr>
          <w:sz w:val="22"/>
          <w:lang w:val="en-GB"/>
        </w:rPr>
        <w:t>Proposing options for analyses and data visualizations efficiently tailored to stakeholders’ needs; and</w:t>
      </w:r>
    </w:p>
    <w:p w14:paraId="33C89D3B" w14:textId="77777777" w:rsidR="00447A95" w:rsidRPr="00AA2617" w:rsidRDefault="00447A95" w:rsidP="00AA2617">
      <w:pPr>
        <w:pStyle w:val="ListParagraph"/>
        <w:numPr>
          <w:ilvl w:val="0"/>
          <w:numId w:val="9"/>
        </w:numPr>
        <w:spacing w:after="0"/>
        <w:jc w:val="left"/>
        <w:rPr>
          <w:sz w:val="22"/>
          <w:lang w:val="en-GB"/>
        </w:rPr>
      </w:pPr>
      <w:r w:rsidRPr="00AA2617">
        <w:rPr>
          <w:sz w:val="22"/>
          <w:lang w:val="en-GB"/>
        </w:rPr>
        <w:t>Facilitating the dissemination and broader use of the project’s best practices and lessons learned.</w:t>
      </w:r>
    </w:p>
    <w:p w14:paraId="6542EC7D" w14:textId="77777777" w:rsidR="003B1514" w:rsidRPr="00AA2617" w:rsidRDefault="003B1514" w:rsidP="00AA2617">
      <w:pPr>
        <w:rPr>
          <w:b/>
          <w:color w:val="222222"/>
          <w:szCs w:val="24"/>
          <w:lang w:val="en-GB"/>
        </w:rPr>
      </w:pPr>
    </w:p>
    <w:p w14:paraId="60D114BA" w14:textId="6C9F3399" w:rsidR="00DC3D79" w:rsidRPr="00AA2617" w:rsidRDefault="00DC3D79" w:rsidP="00AA2617">
      <w:pPr>
        <w:rPr>
          <w:sz w:val="22"/>
          <w:u w:val="single"/>
          <w:lang w:val="en-GB"/>
        </w:rPr>
      </w:pPr>
      <w:r w:rsidRPr="00AA2617">
        <w:rPr>
          <w:sz w:val="22"/>
          <w:u w:val="single"/>
          <w:lang w:val="en-GB"/>
        </w:rPr>
        <w:t xml:space="preserve">National Consultant </w:t>
      </w:r>
      <w:r w:rsidR="007037B1" w:rsidRPr="00AA2617">
        <w:rPr>
          <w:sz w:val="22"/>
          <w:u w:val="single"/>
          <w:lang w:val="en-GB"/>
        </w:rPr>
        <w:t>(NC)</w:t>
      </w:r>
      <w:r w:rsidRPr="00AA2617">
        <w:rPr>
          <w:sz w:val="22"/>
          <w:u w:val="single"/>
          <w:lang w:val="en-GB"/>
        </w:rPr>
        <w:t>– Climate Change Mitigation</w:t>
      </w:r>
    </w:p>
    <w:p w14:paraId="5391D10D" w14:textId="5682A3FD" w:rsidR="00DC3D79" w:rsidRPr="00AA2617" w:rsidRDefault="00DC3D79" w:rsidP="00AA2617">
      <w:pPr>
        <w:rPr>
          <w:rFonts w:cs="Times New Roman"/>
          <w:b/>
          <w:sz w:val="22"/>
          <w:lang w:val="en-GB"/>
        </w:rPr>
      </w:pPr>
    </w:p>
    <w:p w14:paraId="5A453E60" w14:textId="77777777" w:rsidR="00921D5E" w:rsidRPr="00AA2617" w:rsidRDefault="00076CF7" w:rsidP="00AA2617">
      <w:pPr>
        <w:rPr>
          <w:color w:val="000000"/>
          <w:sz w:val="20"/>
          <w:szCs w:val="20"/>
        </w:rPr>
      </w:pPr>
      <w:r w:rsidRPr="00AA2617">
        <w:rPr>
          <w:sz w:val="22"/>
          <w:lang w:val="en-GB"/>
        </w:rPr>
        <w:t xml:space="preserve">Under the overall supervision of National Programme Director, Lead Technical Officer of FAO, FAO Representative and National Programme Manager the consultant will closely work on capacity development for MRV activities of emissions and removals from AFOLU sector. </w:t>
      </w:r>
      <w:r w:rsidR="00A87AD6" w:rsidRPr="00AA2617">
        <w:rPr>
          <w:sz w:val="22"/>
          <w:lang w:val="en-GB"/>
        </w:rPr>
        <w:t xml:space="preserve">He or She will also </w:t>
      </w:r>
      <w:r w:rsidR="007037B1" w:rsidRPr="00AA2617">
        <w:rPr>
          <w:sz w:val="22"/>
          <w:lang w:val="en-GB"/>
        </w:rPr>
        <w:t xml:space="preserve">ensure implementation of all climate change mitigation related activities in this project. Apart from implementing regular project activities the NC will also provide extensive support and coordination to </w:t>
      </w:r>
      <w:r w:rsidR="00921D5E" w:rsidRPr="00AA2617">
        <w:rPr>
          <w:sz w:val="22"/>
          <w:lang w:val="en-GB"/>
        </w:rPr>
        <w:t xml:space="preserve">FAO HQ and FAORAP technical experts engaged in providing technical advice for project implementation. </w:t>
      </w:r>
    </w:p>
    <w:p w14:paraId="40ED6E95" w14:textId="77777777" w:rsidR="00921D5E" w:rsidRPr="00AA2617" w:rsidRDefault="00921D5E" w:rsidP="00AA2617">
      <w:pPr>
        <w:rPr>
          <w:sz w:val="22"/>
          <w:lang w:val="en-GB"/>
        </w:rPr>
      </w:pPr>
    </w:p>
    <w:p w14:paraId="26E10599" w14:textId="2D76C843" w:rsidR="00A87AD6" w:rsidRPr="00AA2617" w:rsidRDefault="00A87AD6" w:rsidP="00AA2617">
      <w:pPr>
        <w:rPr>
          <w:sz w:val="22"/>
          <w:lang w:val="en-GB"/>
        </w:rPr>
      </w:pPr>
      <w:r w:rsidRPr="00AA2617">
        <w:rPr>
          <w:sz w:val="22"/>
          <w:lang w:val="en-GB"/>
        </w:rPr>
        <w:t>The Details of activities are given below:</w:t>
      </w:r>
    </w:p>
    <w:p w14:paraId="73AF5BF9" w14:textId="5FA60100" w:rsidR="007B5F28" w:rsidRPr="00AA2617" w:rsidRDefault="007B5F28" w:rsidP="00AA2617">
      <w:pPr>
        <w:numPr>
          <w:ilvl w:val="2"/>
          <w:numId w:val="44"/>
        </w:numPr>
        <w:spacing w:before="120"/>
        <w:ind w:left="1080"/>
      </w:pPr>
      <w:r w:rsidRPr="00AA2617">
        <w:t xml:space="preserve">Support hiring of consultants and technical experts; ensure that consultants are guided and supported to deliver project documents on time; and provide substantive inputs to various drafts – till finalization; and seek timely input from </w:t>
      </w:r>
      <w:r w:rsidR="00760274" w:rsidRPr="00AA2617">
        <w:t>consultants as well as FAO Technical Advisers.</w:t>
      </w:r>
      <w:r w:rsidRPr="00AA2617">
        <w:t xml:space="preserve"> Meet all the deadlines of project cycle.</w:t>
      </w:r>
    </w:p>
    <w:p w14:paraId="2A6EB1FF" w14:textId="7707FE55" w:rsidR="007B5F28" w:rsidRPr="00AA2617" w:rsidRDefault="007B5F28" w:rsidP="00AA2617">
      <w:pPr>
        <w:numPr>
          <w:ilvl w:val="2"/>
          <w:numId w:val="44"/>
        </w:numPr>
        <w:spacing w:before="120"/>
        <w:ind w:left="1080"/>
      </w:pPr>
      <w:r w:rsidRPr="00AA2617">
        <w:lastRenderedPageBreak/>
        <w:t xml:space="preserve">Undertake and manage the necessary due diligence, risk analysis and mitigation in the structuring </w:t>
      </w:r>
      <w:r w:rsidR="00760274" w:rsidRPr="00AA2617">
        <w:t xml:space="preserve">and implementation of project activities. </w:t>
      </w:r>
    </w:p>
    <w:p w14:paraId="2BEAF4CF" w14:textId="505CA244" w:rsidR="007B5F28" w:rsidRPr="00AA2617" w:rsidRDefault="007B5F28" w:rsidP="00AA2617">
      <w:pPr>
        <w:numPr>
          <w:ilvl w:val="2"/>
          <w:numId w:val="44"/>
        </w:numPr>
        <w:spacing w:before="120"/>
        <w:ind w:left="1080"/>
      </w:pPr>
      <w:r w:rsidRPr="00AA2617">
        <w:t>Provide substantial advice to executing agencies on project preparation and processing for implementation of project activities</w:t>
      </w:r>
    </w:p>
    <w:p w14:paraId="0CC9E43F" w14:textId="2A43B625" w:rsidR="007B5F28" w:rsidRPr="00AA2617" w:rsidRDefault="007B5F28" w:rsidP="00AA2617">
      <w:pPr>
        <w:numPr>
          <w:ilvl w:val="2"/>
          <w:numId w:val="44"/>
        </w:numPr>
        <w:spacing w:before="120"/>
        <w:ind w:left="1080"/>
      </w:pPr>
      <w:r w:rsidRPr="00AA2617">
        <w:t>Prepare and Monitor LOAs</w:t>
      </w:r>
      <w:r w:rsidR="00632250" w:rsidRPr="00AA2617">
        <w:t xml:space="preserve"> and contracts</w:t>
      </w:r>
      <w:r w:rsidRPr="00AA2617">
        <w:t xml:space="preserve"> for various project activities </w:t>
      </w:r>
      <w:r w:rsidR="00632250" w:rsidRPr="00AA2617">
        <w:t xml:space="preserve">to be implemented by stakeholder organization and individual consultants. </w:t>
      </w:r>
    </w:p>
    <w:p w14:paraId="1E2A626C" w14:textId="51784360" w:rsidR="00760274" w:rsidRPr="00AA2617" w:rsidRDefault="00760274" w:rsidP="00AA2617">
      <w:pPr>
        <w:numPr>
          <w:ilvl w:val="2"/>
          <w:numId w:val="44"/>
        </w:numPr>
        <w:spacing w:before="120"/>
        <w:ind w:left="1080"/>
      </w:pPr>
      <w:r w:rsidRPr="00AA2617">
        <w:t>Facilitate active relationships all stakeholders including Civil Society Organization, Non-Governmental Organizations and Private sector in the country and beyond.</w:t>
      </w:r>
    </w:p>
    <w:p w14:paraId="5B0E90A4" w14:textId="58E3337A" w:rsidR="00760274" w:rsidRPr="00AA2617" w:rsidRDefault="00760274" w:rsidP="00AA2617">
      <w:pPr>
        <w:numPr>
          <w:ilvl w:val="2"/>
          <w:numId w:val="44"/>
        </w:numPr>
        <w:spacing w:before="120"/>
        <w:ind w:left="1080"/>
      </w:pPr>
      <w:r w:rsidRPr="00AA2617">
        <w:t>Development of partnerships with the other UN Agencies, government institutions, private sector, civil society in the specific thematic areas, country needs and donors’ priorities.</w:t>
      </w:r>
    </w:p>
    <w:p w14:paraId="58CFD864" w14:textId="46A75901" w:rsidR="00760274" w:rsidRPr="00AA2617" w:rsidRDefault="00760274" w:rsidP="00AA2617">
      <w:pPr>
        <w:numPr>
          <w:ilvl w:val="2"/>
          <w:numId w:val="44"/>
        </w:numPr>
        <w:spacing w:before="120"/>
        <w:ind w:left="1080"/>
      </w:pPr>
      <w:r w:rsidRPr="00AA2617">
        <w:t>Analysis and prepare plans for active contribution to the overall office effort in resource mobilization.</w:t>
      </w:r>
    </w:p>
    <w:p w14:paraId="5E50FB61" w14:textId="1B5D0F29" w:rsidR="00760274" w:rsidRPr="00AA2617" w:rsidRDefault="00760274" w:rsidP="00AA2617">
      <w:pPr>
        <w:numPr>
          <w:ilvl w:val="2"/>
          <w:numId w:val="44"/>
        </w:numPr>
        <w:spacing w:before="120"/>
        <w:ind w:left="1080"/>
      </w:pPr>
      <w:r w:rsidRPr="00AA2617">
        <w:t>Maintain and share knowledge on lessons learned from public and private sector operations and emerging best practices in areas of expertise.</w:t>
      </w:r>
    </w:p>
    <w:p w14:paraId="63C8AF73" w14:textId="6B1DB17F" w:rsidR="00760274" w:rsidRPr="00AA2617" w:rsidRDefault="00760274" w:rsidP="00AA2617">
      <w:pPr>
        <w:numPr>
          <w:ilvl w:val="2"/>
          <w:numId w:val="44"/>
        </w:numPr>
        <w:spacing w:before="120"/>
        <w:ind w:left="1080"/>
      </w:pPr>
      <w:r w:rsidRPr="00AA2617">
        <w:t xml:space="preserve">Participate in and contribute to activities for advocacy, dissemination and knowledge building relating to </w:t>
      </w:r>
      <w:r w:rsidR="00241928" w:rsidRPr="00AA2617">
        <w:t>FAO’s relevant</w:t>
      </w:r>
      <w:r w:rsidRPr="00AA2617">
        <w:t xml:space="preserve"> policies and strategies to promote green growth.</w:t>
      </w:r>
    </w:p>
    <w:p w14:paraId="24FFA83E" w14:textId="0B280CC5" w:rsidR="00760274" w:rsidRPr="00AA2617" w:rsidRDefault="00760274" w:rsidP="00AA2617">
      <w:pPr>
        <w:numPr>
          <w:ilvl w:val="2"/>
          <w:numId w:val="44"/>
        </w:numPr>
        <w:spacing w:before="120"/>
        <w:ind w:left="1080"/>
      </w:pPr>
      <w:r w:rsidRPr="00AA2617">
        <w:t>Support or contribute to the planning and implementation of capacity development activities, workshops, meetings and conferences on CBIT for AFOLU sector;</w:t>
      </w:r>
    </w:p>
    <w:p w14:paraId="0218F746" w14:textId="37105680" w:rsidR="00076CF7" w:rsidRPr="00AA2617" w:rsidRDefault="00076CF7" w:rsidP="00AA2617">
      <w:pPr>
        <w:numPr>
          <w:ilvl w:val="2"/>
          <w:numId w:val="44"/>
        </w:numPr>
        <w:spacing w:before="120"/>
        <w:ind w:left="1080"/>
      </w:pPr>
      <w:r w:rsidRPr="00AA2617">
        <w:t>Regular and systematic documentation and archiving process established to ensure accuracy and sustainability of the inventory, including quality assurance and quality control,</w:t>
      </w:r>
      <w:r w:rsidR="00760274" w:rsidRPr="00AA2617">
        <w:t xml:space="preserve"> for all project activities completion</w:t>
      </w:r>
      <w:r w:rsidR="006E2325" w:rsidRPr="00AA2617">
        <w:t xml:space="preserve">. </w:t>
      </w:r>
    </w:p>
    <w:p w14:paraId="12D2F87F" w14:textId="2CDD7FEE" w:rsidR="00076CF7" w:rsidRPr="00AA2617" w:rsidRDefault="00076CF7" w:rsidP="00AA2617">
      <w:pPr>
        <w:numPr>
          <w:ilvl w:val="2"/>
          <w:numId w:val="44"/>
        </w:numPr>
        <w:spacing w:before="120"/>
        <w:ind w:left="1080"/>
      </w:pPr>
      <w:r w:rsidRPr="00AA2617">
        <w:t>GHG Information Management System (IMS) and infrastructure for agriculture and land-use sectors upgraded</w:t>
      </w:r>
    </w:p>
    <w:p w14:paraId="4293DF3B" w14:textId="16FBB775" w:rsidR="00076CF7" w:rsidRPr="00AA2617" w:rsidRDefault="00076CF7" w:rsidP="00AA2617">
      <w:pPr>
        <w:numPr>
          <w:ilvl w:val="2"/>
          <w:numId w:val="44"/>
        </w:numPr>
        <w:spacing w:before="120"/>
        <w:ind w:left="1080"/>
      </w:pPr>
      <w:r w:rsidRPr="00AA2617">
        <w:t>Capacity and system hardware developed for relevant institutions at different levels to adopt and mainstream latest tools and methodologies to develop country-specific emission factors (EFs), improve activity data (AD) and better quantify the impact of mitigation policy measures in the agriculture and land-use sectors</w:t>
      </w:r>
    </w:p>
    <w:p w14:paraId="3DE7A2AA" w14:textId="50535776" w:rsidR="00076CF7" w:rsidRPr="00AA2617" w:rsidRDefault="00076CF7" w:rsidP="00AA2617">
      <w:pPr>
        <w:numPr>
          <w:ilvl w:val="2"/>
          <w:numId w:val="44"/>
        </w:numPr>
        <w:spacing w:before="120"/>
        <w:ind w:left="1080"/>
      </w:pPr>
      <w:r w:rsidRPr="00AA2617">
        <w:t>National/sectoral reports prepared and submitted on inventory of emissions sources and sinks and emissions reduction activities from agriculture and land-use sectors consistent with latest UNFCCC guidance </w:t>
      </w:r>
    </w:p>
    <w:p w14:paraId="438054D8" w14:textId="77777777" w:rsidR="00760274" w:rsidRPr="00AA2617" w:rsidRDefault="00076CF7" w:rsidP="00AA2617">
      <w:pPr>
        <w:spacing w:after="0" w:line="293" w:lineRule="atLeast"/>
        <w:textAlignment w:val="baseline"/>
        <w:rPr>
          <w:sz w:val="22"/>
          <w:lang w:val="en-GB"/>
        </w:rPr>
      </w:pPr>
      <w:r w:rsidRPr="00AA2617">
        <w:rPr>
          <w:sz w:val="22"/>
          <w:lang w:val="en-GB"/>
        </w:rPr>
        <w:t>The Consultant will do the background research; coordinate internal and external stakeholders; build partnership with government and private sector actors; and oversee the technical work of other consultants engaged in development of project documents of the pipeline projects.</w:t>
      </w:r>
      <w:r w:rsidR="00760274" w:rsidRPr="00AA2617">
        <w:rPr>
          <w:sz w:val="22"/>
          <w:lang w:val="en-GB"/>
        </w:rPr>
        <w:t xml:space="preserve"> The consultant will deliver an inception report documenting all planned work, which must be approved by the supervisor.</w:t>
      </w:r>
    </w:p>
    <w:p w14:paraId="7F72C46A" w14:textId="1CA365AD" w:rsidR="007037B1" w:rsidRPr="00AA2617" w:rsidRDefault="007037B1" w:rsidP="00AA2617">
      <w:pPr>
        <w:rPr>
          <w:sz w:val="22"/>
        </w:rPr>
      </w:pPr>
    </w:p>
    <w:p w14:paraId="54B48881" w14:textId="77777777" w:rsidR="00921D5E" w:rsidRPr="00AA2617" w:rsidRDefault="00DC3D79" w:rsidP="00AA2617">
      <w:pPr>
        <w:rPr>
          <w:sz w:val="22"/>
          <w:u w:val="single"/>
          <w:lang w:val="en-GB"/>
        </w:rPr>
      </w:pPr>
      <w:r w:rsidRPr="00AA2617">
        <w:rPr>
          <w:sz w:val="22"/>
          <w:u w:val="single"/>
          <w:lang w:val="en-GB"/>
        </w:rPr>
        <w:t>National Consultant – Climate Change Adaptation</w:t>
      </w:r>
    </w:p>
    <w:p w14:paraId="01B9D071" w14:textId="514FAEC8" w:rsidR="00921D5E" w:rsidRPr="00AA2617" w:rsidRDefault="00921D5E" w:rsidP="00AA2617">
      <w:pPr>
        <w:rPr>
          <w:color w:val="000000"/>
          <w:sz w:val="20"/>
          <w:szCs w:val="20"/>
        </w:rPr>
      </w:pPr>
      <w:r w:rsidRPr="00AA2617">
        <w:rPr>
          <w:sz w:val="22"/>
          <w:lang w:val="en-GB"/>
        </w:rPr>
        <w:t xml:space="preserve">Under the overall supervision of National Programme Director, Lead Technical Officer of FAO, FAO Representative and National Programme Manager the consultant will closely work on capacity development for </w:t>
      </w:r>
      <w:r w:rsidRPr="00AA2617">
        <w:rPr>
          <w:color w:val="000000"/>
          <w:sz w:val="20"/>
          <w:szCs w:val="20"/>
        </w:rPr>
        <w:t xml:space="preserve">to strengthen </w:t>
      </w:r>
      <w:r w:rsidRPr="00AA2617">
        <w:t>capacity to measure climate-change impacts, vulnerabilities, and adaptation-related activities in the agricultural and land-use sectors.</w:t>
      </w:r>
      <w:r w:rsidRPr="00AA2617">
        <w:rPr>
          <w:sz w:val="22"/>
          <w:lang w:val="en-GB"/>
        </w:rPr>
        <w:t xml:space="preserve">He or She will also ensure implementation of all climate change adaptation related activities in this project. Apart from implementing regular project activities the NC will also provide extensive support and coordination to FAO HQ and FAORAP technical experts engaged in providing technical advice for project implementation. </w:t>
      </w:r>
    </w:p>
    <w:p w14:paraId="507E2929" w14:textId="77777777" w:rsidR="00921D5E" w:rsidRPr="00AA2617" w:rsidRDefault="00921D5E" w:rsidP="00AA2617">
      <w:pPr>
        <w:rPr>
          <w:sz w:val="22"/>
          <w:lang w:val="en-GB"/>
        </w:rPr>
      </w:pPr>
      <w:r w:rsidRPr="00AA2617">
        <w:rPr>
          <w:sz w:val="22"/>
          <w:lang w:val="en-GB"/>
        </w:rPr>
        <w:t>The Details of activities are given below:</w:t>
      </w:r>
    </w:p>
    <w:p w14:paraId="12FDE6E3" w14:textId="77777777" w:rsidR="00921D5E" w:rsidRPr="00AA2617" w:rsidRDefault="00921D5E" w:rsidP="00AA2617">
      <w:pPr>
        <w:numPr>
          <w:ilvl w:val="2"/>
          <w:numId w:val="44"/>
        </w:numPr>
        <w:spacing w:before="120"/>
        <w:ind w:left="1080"/>
      </w:pPr>
      <w:r w:rsidRPr="00AA2617">
        <w:t>Support hiring of consultants and technical experts; ensure that consultants are guided and supported to deliver project documents on time; and provide substantive inputs to various drafts – till finalization; and seek timely input from consultants as well as FAO Technical Advisers. Meet all the deadlines of project cycle.</w:t>
      </w:r>
    </w:p>
    <w:p w14:paraId="318F468B" w14:textId="77777777" w:rsidR="00921D5E" w:rsidRPr="00AA2617" w:rsidRDefault="00921D5E" w:rsidP="00AA2617">
      <w:pPr>
        <w:numPr>
          <w:ilvl w:val="2"/>
          <w:numId w:val="44"/>
        </w:numPr>
        <w:spacing w:before="120"/>
        <w:ind w:left="1080"/>
      </w:pPr>
      <w:r w:rsidRPr="00AA2617">
        <w:lastRenderedPageBreak/>
        <w:t xml:space="preserve">Undertake and manage the necessary due diligence, risk analysis and mitigation in the structuring and implementation of project activities. </w:t>
      </w:r>
    </w:p>
    <w:p w14:paraId="6091FF30" w14:textId="77777777" w:rsidR="00921D5E" w:rsidRPr="00AA2617" w:rsidRDefault="00921D5E" w:rsidP="00AA2617">
      <w:pPr>
        <w:numPr>
          <w:ilvl w:val="2"/>
          <w:numId w:val="44"/>
        </w:numPr>
        <w:spacing w:before="120"/>
        <w:ind w:left="1080"/>
      </w:pPr>
      <w:r w:rsidRPr="00AA2617">
        <w:t>Provide substantial advice to executing agencies on project preparation and processing for implementation of project activities</w:t>
      </w:r>
    </w:p>
    <w:p w14:paraId="5BF7B338" w14:textId="77777777" w:rsidR="00921D5E" w:rsidRPr="00AA2617" w:rsidRDefault="00921D5E" w:rsidP="00AA2617">
      <w:pPr>
        <w:numPr>
          <w:ilvl w:val="2"/>
          <w:numId w:val="44"/>
        </w:numPr>
        <w:spacing w:before="120"/>
        <w:ind w:left="1080"/>
      </w:pPr>
      <w:r w:rsidRPr="00AA2617">
        <w:t xml:space="preserve">Prepare and Monitor LOAs and contracts for various project activities to be implemented by stakeholder organization and individual consultants. </w:t>
      </w:r>
    </w:p>
    <w:p w14:paraId="48A362EE" w14:textId="77777777" w:rsidR="00921D5E" w:rsidRPr="00AA2617" w:rsidRDefault="00921D5E" w:rsidP="00AA2617">
      <w:pPr>
        <w:numPr>
          <w:ilvl w:val="2"/>
          <w:numId w:val="44"/>
        </w:numPr>
        <w:spacing w:before="120"/>
        <w:ind w:left="1080"/>
      </w:pPr>
      <w:r w:rsidRPr="00AA2617">
        <w:t>Facilitate active relationships all stakeholders including Civil Society Organization, Non-Governmental Organizations and Private sector in the country and beyond.</w:t>
      </w:r>
    </w:p>
    <w:p w14:paraId="3F171A67" w14:textId="77777777" w:rsidR="00921D5E" w:rsidRPr="00AA2617" w:rsidRDefault="00921D5E" w:rsidP="00AA2617">
      <w:pPr>
        <w:numPr>
          <w:ilvl w:val="2"/>
          <w:numId w:val="44"/>
        </w:numPr>
        <w:spacing w:before="120"/>
        <w:ind w:left="1080"/>
      </w:pPr>
      <w:r w:rsidRPr="00AA2617">
        <w:t>Development of partnerships with the other UN Agencies, government institutions, private sector, civil society in the specific thematic areas, country needs and donors’ priorities.</w:t>
      </w:r>
    </w:p>
    <w:p w14:paraId="745CC85E" w14:textId="77777777" w:rsidR="00921D5E" w:rsidRPr="00AA2617" w:rsidRDefault="00921D5E" w:rsidP="00AA2617">
      <w:pPr>
        <w:numPr>
          <w:ilvl w:val="2"/>
          <w:numId w:val="44"/>
        </w:numPr>
        <w:spacing w:before="120"/>
        <w:ind w:left="1080"/>
      </w:pPr>
      <w:r w:rsidRPr="00AA2617">
        <w:t>Analysis and prepare plans for active contribution to the overall office effort in resource mobilization.</w:t>
      </w:r>
    </w:p>
    <w:p w14:paraId="267FAE05" w14:textId="77777777" w:rsidR="00921D5E" w:rsidRPr="00AA2617" w:rsidRDefault="00921D5E" w:rsidP="00AA2617">
      <w:pPr>
        <w:numPr>
          <w:ilvl w:val="2"/>
          <w:numId w:val="44"/>
        </w:numPr>
        <w:spacing w:before="120"/>
        <w:ind w:left="1080"/>
      </w:pPr>
      <w:r w:rsidRPr="00AA2617">
        <w:t>Maintain and share knowledge on lessons learned from public and private sector operations and emerging best practices in areas of expertise.</w:t>
      </w:r>
    </w:p>
    <w:p w14:paraId="0B43B0A3" w14:textId="4980EA14" w:rsidR="00921D5E" w:rsidRPr="00AA2617" w:rsidRDefault="00921D5E" w:rsidP="00AA2617">
      <w:pPr>
        <w:numPr>
          <w:ilvl w:val="2"/>
          <w:numId w:val="44"/>
        </w:numPr>
        <w:spacing w:before="120"/>
        <w:ind w:left="1080"/>
      </w:pPr>
      <w:r w:rsidRPr="00AA2617">
        <w:t>Participate in and contribute to activities for advocacy, dissemination and knowledge building relating to FAO’s relevant</w:t>
      </w:r>
      <w:r w:rsidR="00643416" w:rsidRPr="00AA2617">
        <w:t xml:space="preserve"> climate change adaptation</w:t>
      </w:r>
      <w:r w:rsidRPr="00AA2617">
        <w:t xml:space="preserve"> policies and strategies to promote green growth.</w:t>
      </w:r>
    </w:p>
    <w:p w14:paraId="3EDC273F" w14:textId="77777777" w:rsidR="00921D5E" w:rsidRPr="00AA2617" w:rsidRDefault="00921D5E" w:rsidP="00AA2617">
      <w:pPr>
        <w:numPr>
          <w:ilvl w:val="2"/>
          <w:numId w:val="44"/>
        </w:numPr>
        <w:spacing w:before="120"/>
        <w:ind w:left="1080"/>
      </w:pPr>
      <w:r w:rsidRPr="00AA2617">
        <w:t>Support or contribute to the planning and implementation of capacity development activities, workshops, meetings and conferences on CBIT for AFOLU sector;</w:t>
      </w:r>
    </w:p>
    <w:p w14:paraId="5D4E1338" w14:textId="71A0E0DF" w:rsidR="00921D5E" w:rsidRPr="00AA2617" w:rsidRDefault="00921D5E" w:rsidP="00AA2617">
      <w:pPr>
        <w:numPr>
          <w:ilvl w:val="2"/>
          <w:numId w:val="44"/>
        </w:numPr>
        <w:spacing w:before="120"/>
        <w:ind w:left="1080"/>
      </w:pPr>
      <w:r w:rsidRPr="00AA2617">
        <w:t>Measurement framework developed for climate-change impacts, vulnerabilities, and adaptation-related activities prioritized in the NDC for the agriculture, forestry and land-use sectors.</w:t>
      </w:r>
    </w:p>
    <w:p w14:paraId="17442B41" w14:textId="03A75266" w:rsidR="00921D5E" w:rsidRPr="00AA2617" w:rsidRDefault="00921D5E" w:rsidP="00AA2617">
      <w:pPr>
        <w:numPr>
          <w:ilvl w:val="2"/>
          <w:numId w:val="44"/>
        </w:numPr>
        <w:spacing w:before="120"/>
        <w:ind w:left="1080"/>
      </w:pPr>
      <w:r w:rsidRPr="00AA2617">
        <w:t>Information technology systems upgraded to integrate and analyze adaptation-related data.</w:t>
      </w:r>
    </w:p>
    <w:p w14:paraId="2D3C2346" w14:textId="56D5D589" w:rsidR="00921D5E" w:rsidRPr="00AA2617" w:rsidRDefault="00921D5E" w:rsidP="00AA2617">
      <w:pPr>
        <w:numPr>
          <w:ilvl w:val="2"/>
          <w:numId w:val="44"/>
        </w:numPr>
        <w:spacing w:before="120"/>
        <w:ind w:left="1080"/>
      </w:pPr>
      <w:r w:rsidRPr="00AA2617">
        <w:t>Capacity and technology upgraded in relevant institutions to strengthen M&amp;R for adaptation priorities identified in the NDC for the agricultural and land-use sectors.</w:t>
      </w:r>
    </w:p>
    <w:p w14:paraId="7721F2EB" w14:textId="5FE4C638" w:rsidR="00921D5E" w:rsidRPr="00AA2617" w:rsidRDefault="00921D5E" w:rsidP="00AA2617">
      <w:pPr>
        <w:numPr>
          <w:ilvl w:val="2"/>
          <w:numId w:val="44"/>
        </w:numPr>
        <w:spacing w:before="120"/>
        <w:ind w:left="1080"/>
      </w:pPr>
      <w:r w:rsidRPr="00AA2617">
        <w:t>Relevant measures validated and piloted for adaptation priorities identified in the NDC for the agricultural and land-use sectors.</w:t>
      </w:r>
    </w:p>
    <w:p w14:paraId="14E40FB6" w14:textId="7D3FD224" w:rsidR="00921D5E" w:rsidRPr="00AA2617" w:rsidRDefault="00921D5E" w:rsidP="00AA2617">
      <w:pPr>
        <w:spacing w:after="0" w:line="293" w:lineRule="atLeast"/>
        <w:textAlignment w:val="baseline"/>
        <w:rPr>
          <w:sz w:val="22"/>
          <w:lang w:val="en-GB"/>
        </w:rPr>
      </w:pPr>
      <w:r w:rsidRPr="00AA2617">
        <w:rPr>
          <w:sz w:val="22"/>
          <w:lang w:val="en-GB"/>
        </w:rPr>
        <w:t xml:space="preserve">The Consultant will do the background research; coordinate internal and external stakeholders; build partnership with government and private sector actors; and oversee the technical work of other consultants engaged in </w:t>
      </w:r>
      <w:r w:rsidR="007B02A5" w:rsidRPr="00AA2617">
        <w:rPr>
          <w:sz w:val="22"/>
          <w:lang w:val="en-GB"/>
        </w:rPr>
        <w:t>project activities implementation</w:t>
      </w:r>
      <w:r w:rsidRPr="00AA2617">
        <w:rPr>
          <w:sz w:val="22"/>
          <w:lang w:val="en-GB"/>
        </w:rPr>
        <w:t>. The consultant will deliver an inception report documenting all planned work, which must be approved by the supervisor.</w:t>
      </w:r>
    </w:p>
    <w:p w14:paraId="53775DFC" w14:textId="2CE5AF94" w:rsidR="003B1514" w:rsidRPr="00AA2617" w:rsidRDefault="003B1514" w:rsidP="00AA2617">
      <w:pPr>
        <w:rPr>
          <w:rFonts w:cs="Times New Roman"/>
          <w:b/>
          <w:sz w:val="22"/>
          <w:lang w:val="en-GB"/>
        </w:rPr>
      </w:pPr>
      <w:r w:rsidRPr="00AA2617">
        <w:rPr>
          <w:rFonts w:cs="Times New Roman"/>
          <w:b/>
          <w:sz w:val="22"/>
          <w:lang w:val="en-GB"/>
        </w:rPr>
        <w:br w:type="page"/>
      </w:r>
    </w:p>
    <w:p w14:paraId="0F01E98A" w14:textId="06660F90" w:rsidR="003B1514" w:rsidRPr="00AA2617" w:rsidRDefault="003B1514" w:rsidP="00AA2617">
      <w:pPr>
        <w:outlineLvl w:val="0"/>
        <w:rPr>
          <w:rFonts w:eastAsiaTheme="majorEastAsia" w:cs="Times New Roman"/>
          <w:noProof/>
          <w:sz w:val="28"/>
          <w:szCs w:val="32"/>
          <w:lang w:eastAsia="ja-JP"/>
        </w:rPr>
      </w:pPr>
      <w:bookmarkStart w:id="322" w:name="_Toc5366456"/>
      <w:bookmarkStart w:id="323" w:name="_Toc9249234"/>
      <w:r w:rsidRPr="00AA2617">
        <w:rPr>
          <w:rFonts w:cs="Times New Roman"/>
          <w:b/>
          <w:sz w:val="22"/>
          <w:lang w:val="en-GB"/>
        </w:rPr>
        <w:lastRenderedPageBreak/>
        <w:t>Appendix 7.  Co-financing Letter</w:t>
      </w:r>
      <w:bookmarkEnd w:id="322"/>
      <w:r w:rsidR="00E05BE7" w:rsidRPr="00AA2617">
        <w:rPr>
          <w:rFonts w:cs="Times New Roman"/>
          <w:b/>
          <w:sz w:val="22"/>
          <w:lang w:val="en-GB"/>
        </w:rPr>
        <w:t xml:space="preserve"> - </w:t>
      </w:r>
      <w:bookmarkStart w:id="324" w:name="_Toc5366457"/>
      <w:r w:rsidRPr="00AA2617">
        <w:rPr>
          <w:rFonts w:eastAsiaTheme="majorEastAsia" w:cs="Times New Roman"/>
          <w:noProof/>
          <w:sz w:val="28"/>
          <w:szCs w:val="32"/>
          <w:lang w:eastAsia="ja-JP"/>
        </w:rPr>
        <w:t>Ministry of Mahaweli Development and Environment</w:t>
      </w:r>
      <w:bookmarkEnd w:id="323"/>
      <w:bookmarkEnd w:id="324"/>
    </w:p>
    <w:p w14:paraId="495E8637" w14:textId="77777777" w:rsidR="000372D4" w:rsidRPr="00AA2617" w:rsidRDefault="000372D4" w:rsidP="00AA2617">
      <w:pPr>
        <w:rPr>
          <w:rFonts w:eastAsiaTheme="majorEastAsia" w:cs="Times New Roman"/>
          <w:noProof/>
          <w:sz w:val="28"/>
          <w:szCs w:val="32"/>
          <w:lang w:eastAsia="ja-JP"/>
        </w:rPr>
      </w:pPr>
      <w:r w:rsidRPr="00AA2617">
        <w:rPr>
          <w:rFonts w:eastAsiaTheme="majorEastAsia" w:cs="Times New Roman"/>
          <w:noProof/>
          <w:sz w:val="28"/>
          <w:szCs w:val="32"/>
          <w:lang w:eastAsia="ja-JP"/>
        </w:rPr>
        <w:br w:type="page"/>
      </w:r>
    </w:p>
    <w:p w14:paraId="14F9AD97" w14:textId="3A36D16C" w:rsidR="000372D4" w:rsidRPr="00AA2617" w:rsidRDefault="00A12AD9" w:rsidP="00AA2617">
      <w:pPr>
        <w:outlineLvl w:val="0"/>
        <w:rPr>
          <w:rFonts w:eastAsiaTheme="majorEastAsia" w:cs="Times New Roman"/>
          <w:b/>
          <w:bCs/>
          <w:noProof/>
          <w:sz w:val="28"/>
          <w:szCs w:val="32"/>
          <w:lang w:eastAsia="ja-JP"/>
        </w:rPr>
      </w:pPr>
      <w:bookmarkStart w:id="325" w:name="_Toc9249235"/>
      <w:r w:rsidRPr="00AA2617">
        <w:rPr>
          <w:rFonts w:cs="Times New Roman"/>
          <w:b/>
          <w:sz w:val="22"/>
          <w:lang w:val="en-GB"/>
        </w:rPr>
        <w:lastRenderedPageBreak/>
        <w:t xml:space="preserve">Appendix 8.  Co-financing Letter - </w:t>
      </w:r>
      <w:r w:rsidR="000372D4" w:rsidRPr="00AA2617">
        <w:rPr>
          <w:rFonts w:eastAsiaTheme="majorEastAsia" w:cs="Times New Roman"/>
          <w:b/>
          <w:bCs/>
          <w:noProof/>
          <w:sz w:val="28"/>
          <w:szCs w:val="32"/>
          <w:lang w:eastAsia="ja-JP"/>
        </w:rPr>
        <w:t>FAO</w:t>
      </w:r>
      <w:bookmarkEnd w:id="325"/>
    </w:p>
    <w:p w14:paraId="51E04032" w14:textId="24B608E2" w:rsidR="000372D4" w:rsidRDefault="000372D4" w:rsidP="00AA2617">
      <w:pPr>
        <w:pStyle w:val="GEFFieldtoFillout"/>
        <w:jc w:val="center"/>
        <w:rPr>
          <w:lang w:val="en-GB"/>
        </w:rPr>
      </w:pPr>
      <w:bookmarkStart w:id="326" w:name="_Toc5366459"/>
      <w:r w:rsidRPr="00AA2617">
        <w:rPr>
          <w:noProof/>
        </w:rPr>
        <w:drawing>
          <wp:inline distT="0" distB="0" distL="0" distR="0" wp14:anchorId="7D83CA86" wp14:editId="0C6E9F2A">
            <wp:extent cx="5964064" cy="76523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2517" r="3009" b="9534"/>
                    <a:stretch/>
                  </pic:blipFill>
                  <pic:spPr bwMode="auto">
                    <a:xfrm rot="10800000">
                      <a:off x="0" y="0"/>
                      <a:ext cx="5964276" cy="7652657"/>
                    </a:xfrm>
                    <a:prstGeom prst="rect">
                      <a:avLst/>
                    </a:prstGeom>
                    <a:noFill/>
                    <a:ln>
                      <a:noFill/>
                    </a:ln>
                    <a:extLst>
                      <a:ext uri="{53640926-AAD7-44D8-BBD7-CCE9431645EC}">
                        <a14:shadowObscured xmlns:a14="http://schemas.microsoft.com/office/drawing/2010/main"/>
                      </a:ext>
                    </a:extLst>
                  </pic:spPr>
                </pic:pic>
              </a:graphicData>
            </a:graphic>
          </wp:inline>
        </w:drawing>
      </w:r>
    </w:p>
    <w:bookmarkEnd w:id="326"/>
    <w:p w14:paraId="4FE59B59" w14:textId="77777777" w:rsidR="003B1514" w:rsidRPr="00A82958" w:rsidRDefault="003B1514" w:rsidP="00AA2617">
      <w:pPr>
        <w:rPr>
          <w:rFonts w:cs="Times New Roman"/>
          <w:b/>
          <w:sz w:val="22"/>
        </w:rPr>
      </w:pPr>
    </w:p>
    <w:p w14:paraId="368591C1" w14:textId="77777777" w:rsidR="003B1514" w:rsidRPr="006D2391" w:rsidRDefault="003B1514" w:rsidP="00AA2617">
      <w:pPr>
        <w:outlineLvl w:val="0"/>
        <w:rPr>
          <w:rFonts w:eastAsiaTheme="majorEastAsia" w:cs="Times New Roman"/>
          <w:sz w:val="28"/>
          <w:szCs w:val="32"/>
          <w:lang w:val="en-GB"/>
        </w:rPr>
      </w:pPr>
    </w:p>
    <w:p w14:paraId="3D356C95" w14:textId="77777777" w:rsidR="003B1514" w:rsidRPr="006D2391" w:rsidRDefault="003B1514" w:rsidP="00AA2617">
      <w:pPr>
        <w:outlineLvl w:val="0"/>
        <w:rPr>
          <w:rFonts w:eastAsiaTheme="majorEastAsia" w:cs="Times New Roman"/>
          <w:sz w:val="28"/>
          <w:szCs w:val="32"/>
          <w:lang w:val="en-GB"/>
        </w:rPr>
      </w:pPr>
    </w:p>
    <w:p w14:paraId="4593774E" w14:textId="77777777" w:rsidR="003B1514" w:rsidRPr="006D2391" w:rsidRDefault="003B1514" w:rsidP="00AA2617">
      <w:pPr>
        <w:outlineLvl w:val="0"/>
        <w:rPr>
          <w:rFonts w:eastAsiaTheme="majorEastAsia" w:cs="Times New Roman"/>
          <w:sz w:val="28"/>
          <w:szCs w:val="32"/>
          <w:lang w:val="en-GB"/>
        </w:rPr>
      </w:pPr>
    </w:p>
    <w:p w14:paraId="53E80A0C" w14:textId="09E51F56" w:rsidR="00845465" w:rsidRPr="006D2391" w:rsidRDefault="00845465" w:rsidP="00AA2617">
      <w:pPr>
        <w:outlineLvl w:val="0"/>
        <w:rPr>
          <w:rFonts w:eastAsiaTheme="majorEastAsia" w:cs="Times New Roman"/>
          <w:sz w:val="28"/>
          <w:szCs w:val="32"/>
          <w:lang w:val="en-GB"/>
        </w:rPr>
      </w:pPr>
    </w:p>
    <w:sectPr w:rsidR="00845465" w:rsidRPr="006D2391" w:rsidSect="0003169B">
      <w:footerReference w:type="even"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E0A963" w14:textId="77777777" w:rsidR="00EB6385" w:rsidRDefault="00EB6385" w:rsidP="00DB113C">
      <w:r>
        <w:separator/>
      </w:r>
    </w:p>
  </w:endnote>
  <w:endnote w:type="continuationSeparator" w:id="0">
    <w:p w14:paraId="29852DB7" w14:textId="77777777" w:rsidR="00EB6385" w:rsidRDefault="00EB6385" w:rsidP="00DB113C">
      <w:r>
        <w:continuationSeparator/>
      </w:r>
    </w:p>
  </w:endnote>
  <w:endnote w:type="continuationNotice" w:id="1">
    <w:p w14:paraId="6DE5B821" w14:textId="77777777" w:rsidR="00EB6385" w:rsidRDefault="00EB63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Bold">
    <w:panose1 w:val="020B0704020202020204"/>
    <w:charset w:val="00"/>
    <w:family w:val="auto"/>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Utopia Std">
    <w:altName w:val="Utopia Std"/>
    <w:panose1 w:val="00000000000000000000"/>
    <w:charset w:val="00"/>
    <w:family w:val="roman"/>
    <w:notTrueType/>
    <w:pitch w:val="default"/>
    <w:sig w:usb0="00000003" w:usb1="00000000" w:usb2="00000000" w:usb3="00000000" w:csb0="00000001" w:csb1="00000000"/>
  </w:font>
  <w:font w:name="Ch Pragmatica">
    <w:altName w:val="Ch Pragmatica"/>
    <w:charset w:val="00"/>
    <w:family w:val="swiss"/>
    <w:pitch w:val="variable"/>
    <w:sig w:usb0="800002AF" w:usb1="40000048"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Mangal">
    <w:panose1 w:val="00000400000000000000"/>
    <w:charset w:val="00"/>
    <w:family w:val="roman"/>
    <w:pitch w:val="variable"/>
    <w:sig w:usb0="00008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rial Unicode MS">
    <w:panose1 w:val="020B0604020202020204"/>
    <w:charset w:val="80"/>
    <w:family w:val="swiss"/>
    <w:pitch w:val="variable"/>
    <w:sig w:usb0="00000000" w:usb1="E9DFFFFF" w:usb2="0000003F" w:usb3="00000000" w:csb0="003F01FF"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2473851"/>
      <w:docPartObj>
        <w:docPartGallery w:val="Page Numbers (Bottom of Page)"/>
        <w:docPartUnique/>
      </w:docPartObj>
    </w:sdtPr>
    <w:sdtEndPr>
      <w:rPr>
        <w:noProof/>
        <w:sz w:val="18"/>
      </w:rPr>
    </w:sdtEndPr>
    <w:sdtContent>
      <w:p w14:paraId="542659D9" w14:textId="7654088A" w:rsidR="0099059D" w:rsidRPr="00DB113C" w:rsidRDefault="0099059D">
        <w:pPr>
          <w:pStyle w:val="Footer"/>
          <w:jc w:val="center"/>
          <w:rPr>
            <w:sz w:val="18"/>
          </w:rPr>
        </w:pPr>
        <w:r w:rsidRPr="00DB113C">
          <w:rPr>
            <w:sz w:val="18"/>
          </w:rPr>
          <w:fldChar w:fldCharType="begin"/>
        </w:r>
        <w:r w:rsidRPr="00DB113C">
          <w:rPr>
            <w:sz w:val="18"/>
          </w:rPr>
          <w:instrText xml:space="preserve"> PAGE   \* MERGEFORMAT </w:instrText>
        </w:r>
        <w:r w:rsidRPr="00DB113C">
          <w:rPr>
            <w:sz w:val="18"/>
          </w:rPr>
          <w:fldChar w:fldCharType="separate"/>
        </w:r>
        <w:r w:rsidR="00A241F1">
          <w:rPr>
            <w:noProof/>
            <w:sz w:val="18"/>
          </w:rPr>
          <w:t>68</w:t>
        </w:r>
        <w:r w:rsidRPr="00DB113C">
          <w:rPr>
            <w:noProof/>
            <w:sz w:val="18"/>
          </w:rPr>
          <w:fldChar w:fldCharType="end"/>
        </w:r>
      </w:p>
    </w:sdtContent>
  </w:sdt>
  <w:p w14:paraId="5E51B4F1" w14:textId="77777777" w:rsidR="0099059D" w:rsidRDefault="009905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0208907"/>
      <w:docPartObj>
        <w:docPartGallery w:val="Page Numbers (Bottom of Page)"/>
        <w:docPartUnique/>
      </w:docPartObj>
    </w:sdtPr>
    <w:sdtEndPr>
      <w:rPr>
        <w:noProof/>
      </w:rPr>
    </w:sdtEndPr>
    <w:sdtContent>
      <w:p w14:paraId="71A1A30F" w14:textId="77777777" w:rsidR="0099059D" w:rsidRDefault="0099059D">
        <w:pPr>
          <w:pStyle w:val="Footer"/>
          <w:jc w:val="center"/>
        </w:pPr>
        <w:r>
          <w:fldChar w:fldCharType="begin"/>
        </w:r>
        <w:r>
          <w:instrText xml:space="preserve"> PAGE   \* MERGEFORMAT </w:instrText>
        </w:r>
        <w:r>
          <w:fldChar w:fldCharType="separate"/>
        </w:r>
        <w:r>
          <w:rPr>
            <w:noProof/>
          </w:rPr>
          <w:t>53</w:t>
        </w:r>
        <w:r>
          <w:rPr>
            <w:noProof/>
          </w:rPr>
          <w:fldChar w:fldCharType="end"/>
        </w:r>
      </w:p>
    </w:sdtContent>
  </w:sdt>
  <w:p w14:paraId="60F9718E" w14:textId="77777777" w:rsidR="0099059D" w:rsidRDefault="009905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85F14E" w14:textId="77777777" w:rsidR="0099059D" w:rsidRDefault="0099059D" w:rsidP="0099624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86F3E2" w14:textId="77777777" w:rsidR="0099059D" w:rsidRDefault="0099059D" w:rsidP="0099624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1329AC" w14:textId="77777777" w:rsidR="00EB6385" w:rsidRDefault="00EB6385" w:rsidP="00DB113C">
      <w:r>
        <w:separator/>
      </w:r>
    </w:p>
  </w:footnote>
  <w:footnote w:type="continuationSeparator" w:id="0">
    <w:p w14:paraId="3D91481B" w14:textId="77777777" w:rsidR="00EB6385" w:rsidRDefault="00EB6385" w:rsidP="00DB113C">
      <w:r>
        <w:continuationSeparator/>
      </w:r>
    </w:p>
  </w:footnote>
  <w:footnote w:type="continuationNotice" w:id="1">
    <w:p w14:paraId="44EA9AAE" w14:textId="77777777" w:rsidR="00EB6385" w:rsidRDefault="00EB6385"/>
  </w:footnote>
  <w:footnote w:id="2">
    <w:p w14:paraId="1F9B47FA" w14:textId="77777777" w:rsidR="0099059D" w:rsidRPr="00793683" w:rsidRDefault="0099059D" w:rsidP="00793683">
      <w:pPr>
        <w:pStyle w:val="FootnoteText"/>
        <w:ind w:left="180" w:hanging="180"/>
        <w:rPr>
          <w:sz w:val="20"/>
          <w:szCs w:val="20"/>
        </w:rPr>
      </w:pPr>
      <w:r w:rsidRPr="00793683">
        <w:rPr>
          <w:rStyle w:val="FootnoteReference"/>
          <w:sz w:val="20"/>
          <w:szCs w:val="20"/>
        </w:rPr>
        <w:footnoteRef/>
      </w:r>
      <w:r w:rsidRPr="00793683">
        <w:rPr>
          <w:sz w:val="20"/>
          <w:szCs w:val="20"/>
        </w:rPr>
        <w:t xml:space="preserve"> E.g., NDCs for the 5-year period from 1 January 2026 to 31 December 2030 must be submitted by 31 December 2020.</w:t>
      </w:r>
    </w:p>
  </w:footnote>
  <w:footnote w:id="3">
    <w:p w14:paraId="232516A4" w14:textId="741FEACE" w:rsidR="0099059D" w:rsidRPr="00E96589" w:rsidRDefault="0099059D" w:rsidP="006665AC">
      <w:pPr>
        <w:pStyle w:val="Default"/>
        <w:rPr>
          <w:sz w:val="20"/>
          <w:szCs w:val="20"/>
        </w:rPr>
      </w:pPr>
      <w:r w:rsidRPr="00E96589">
        <w:rPr>
          <w:rStyle w:val="FootnoteReference"/>
          <w:sz w:val="20"/>
          <w:szCs w:val="20"/>
        </w:rPr>
        <w:footnoteRef/>
      </w:r>
      <w:r w:rsidRPr="00E96589">
        <w:rPr>
          <w:sz w:val="20"/>
          <w:szCs w:val="20"/>
        </w:rPr>
        <w:t xml:space="preserve"> </w:t>
      </w:r>
      <w:r w:rsidRPr="006665AC">
        <w:rPr>
          <w:rFonts w:ascii="Times New Roman" w:hAnsi="Times New Roman" w:cs="Times New Roman"/>
          <w:color w:val="auto"/>
          <w:sz w:val="20"/>
          <w:szCs w:val="20"/>
          <w:lang w:val="en-US"/>
        </w:rPr>
        <w:t>as of Dec 2018</w:t>
      </w:r>
      <w:r>
        <w:rPr>
          <w:rFonts w:ascii="Times New Roman" w:hAnsi="Times New Roman" w:cs="Times New Roman"/>
          <w:color w:val="auto"/>
          <w:sz w:val="20"/>
          <w:szCs w:val="20"/>
          <w:lang w:val="en-US"/>
        </w:rPr>
        <w:t xml:space="preserve"> (COP24) </w:t>
      </w:r>
      <w:r w:rsidRPr="006665AC">
        <w:rPr>
          <w:rFonts w:ascii="Times New Roman" w:hAnsi="Times New Roman" w:cs="Times New Roman"/>
          <w:color w:val="auto"/>
          <w:sz w:val="20"/>
          <w:szCs w:val="20"/>
          <w:lang w:val="en-US"/>
        </w:rPr>
        <w:t>Modalities, Procedures, and Guidelines (MPGs) for the transparency framework for actions and support referred to in Article 13 of the Paris Agreement have been adopted. The MPG also sets out further work by the Subsidiary Body for Scientific and Technological Advice (SBSTA) to develop common reporting tables and outlines of the biennial transparency report (BTR), national inventory document and technical expert review report pursuant to MPGs, for consideration and adoption by the Conference of the Parties by November 2020. Parties shall submit their first biennial transparency report and national inventory report, if submitted as a stand-alone report, in accordance with the modalities, procedures and guidelines, at the latest by 31 December 2024.</w:t>
      </w:r>
    </w:p>
  </w:footnote>
  <w:footnote w:id="4">
    <w:p w14:paraId="60E25CBB" w14:textId="77777777" w:rsidR="0099059D" w:rsidRPr="00E96589" w:rsidRDefault="0099059D" w:rsidP="00E96589">
      <w:pPr>
        <w:pStyle w:val="FootnoteText"/>
        <w:ind w:left="180" w:hanging="180"/>
        <w:rPr>
          <w:sz w:val="20"/>
          <w:szCs w:val="20"/>
        </w:rPr>
      </w:pPr>
      <w:r w:rsidRPr="00E96589">
        <w:rPr>
          <w:rStyle w:val="FootnoteReference"/>
          <w:sz w:val="20"/>
          <w:szCs w:val="20"/>
        </w:rPr>
        <w:footnoteRef/>
      </w:r>
      <w:r w:rsidRPr="00E96589">
        <w:rPr>
          <w:sz w:val="20"/>
          <w:szCs w:val="20"/>
        </w:rPr>
        <w:t xml:space="preserve"> Verification can be done domestically, but the term is omitted her</w:t>
      </w:r>
      <w:r>
        <w:rPr>
          <w:sz w:val="20"/>
          <w:szCs w:val="20"/>
        </w:rPr>
        <w:t>e</w:t>
      </w:r>
      <w:r w:rsidRPr="00E96589">
        <w:rPr>
          <w:sz w:val="20"/>
          <w:szCs w:val="20"/>
        </w:rPr>
        <w:t xml:space="preserve"> to avoid the insinuation of international verification processes for adaptation-related measurements and reports.</w:t>
      </w:r>
    </w:p>
  </w:footnote>
  <w:footnote w:id="5">
    <w:p w14:paraId="670C52E4" w14:textId="77777777" w:rsidR="0099059D" w:rsidRPr="00793683" w:rsidRDefault="0099059D" w:rsidP="00793683">
      <w:pPr>
        <w:pStyle w:val="FootnoteText"/>
        <w:ind w:left="180" w:hanging="180"/>
        <w:rPr>
          <w:sz w:val="20"/>
          <w:szCs w:val="20"/>
        </w:rPr>
      </w:pPr>
      <w:r w:rsidRPr="00793683">
        <w:rPr>
          <w:rStyle w:val="FootnoteReference"/>
          <w:sz w:val="20"/>
          <w:szCs w:val="20"/>
        </w:rPr>
        <w:footnoteRef/>
      </w:r>
      <w:r w:rsidRPr="00793683">
        <w:rPr>
          <w:sz w:val="20"/>
          <w:szCs w:val="20"/>
        </w:rPr>
        <w:t xml:space="preserve"> Non-Annex I parties are also encouraged to conduct MRV relevant to climate-change adaptation as it pertains to (i) climate change impacts and vulnerabilities, and (ii) progress on adaptive priorities established in a country’s NDC.  Adaptation-related MRV is more country-specific than is mitigation-related MRV, and is therefore less amenable to international aggregation.</w:t>
      </w:r>
    </w:p>
  </w:footnote>
  <w:footnote w:id="6">
    <w:p w14:paraId="5ED4D050" w14:textId="7CC9C703" w:rsidR="0099059D" w:rsidRPr="00793683" w:rsidRDefault="0099059D" w:rsidP="00793683">
      <w:pPr>
        <w:ind w:left="180" w:hanging="180"/>
        <w:rPr>
          <w:rFonts w:cs="Times New Roman"/>
          <w:sz w:val="20"/>
          <w:szCs w:val="20"/>
        </w:rPr>
      </w:pPr>
      <w:r w:rsidRPr="00793683">
        <w:rPr>
          <w:rStyle w:val="FootnoteReference"/>
          <w:rFonts w:cs="Times New Roman"/>
          <w:sz w:val="20"/>
          <w:szCs w:val="20"/>
        </w:rPr>
        <w:footnoteRef/>
      </w:r>
      <w:r w:rsidRPr="00793683">
        <w:rPr>
          <w:rFonts w:cs="Times New Roman"/>
          <w:sz w:val="20"/>
          <w:szCs w:val="20"/>
        </w:rPr>
        <w:t xml:space="preserve"> </w:t>
      </w:r>
      <w:r w:rsidRPr="00DC43B3">
        <w:rPr>
          <w:rFonts w:cs="Times New Roman"/>
          <w:sz w:val="20"/>
          <w:szCs w:val="20"/>
        </w:rPr>
        <w:t>Modalities, Procedures, and Guidelines (MPGs) for the transparency framework for actions and support referred to in Article 13 of the Paris Agreement adopted</w:t>
      </w:r>
      <w:r w:rsidRPr="00DC43B3" w:rsidDel="00066693">
        <w:rPr>
          <w:rFonts w:cs="Times New Roman"/>
          <w:sz w:val="20"/>
          <w:szCs w:val="20"/>
        </w:rPr>
        <w:t xml:space="preserve"> </w:t>
      </w:r>
      <w:r>
        <w:rPr>
          <w:rFonts w:cs="Times New Roman"/>
          <w:sz w:val="20"/>
          <w:szCs w:val="20"/>
        </w:rPr>
        <w:t>at the 24</w:t>
      </w:r>
      <w:r w:rsidRPr="00DC43B3">
        <w:rPr>
          <w:rFonts w:cs="Times New Roman"/>
          <w:sz w:val="20"/>
          <w:szCs w:val="20"/>
          <w:vertAlign w:val="superscript"/>
        </w:rPr>
        <w:t>th</w:t>
      </w:r>
      <w:r>
        <w:rPr>
          <w:rFonts w:cs="Times New Roman"/>
          <w:sz w:val="20"/>
          <w:szCs w:val="20"/>
        </w:rPr>
        <w:t xml:space="preserve"> COP, December 2018</w:t>
      </w:r>
    </w:p>
    <w:p w14:paraId="254884F3" w14:textId="77777777" w:rsidR="0099059D" w:rsidRDefault="0099059D">
      <w:pPr>
        <w:pStyle w:val="FootnoteText"/>
      </w:pPr>
    </w:p>
  </w:footnote>
  <w:footnote w:id="7">
    <w:p w14:paraId="6A2129BA" w14:textId="77777777" w:rsidR="0099059D" w:rsidRPr="00024398" w:rsidRDefault="0099059D" w:rsidP="00024398">
      <w:pPr>
        <w:pStyle w:val="FootnoteText"/>
        <w:ind w:left="180" w:hanging="180"/>
        <w:rPr>
          <w:sz w:val="20"/>
          <w:szCs w:val="20"/>
        </w:rPr>
      </w:pPr>
      <w:r w:rsidRPr="00024398">
        <w:rPr>
          <w:rStyle w:val="FootnoteReference"/>
          <w:sz w:val="20"/>
          <w:szCs w:val="20"/>
        </w:rPr>
        <w:footnoteRef/>
      </w:r>
      <w:r w:rsidRPr="00024398">
        <w:rPr>
          <w:sz w:val="20"/>
          <w:szCs w:val="20"/>
        </w:rPr>
        <w:t xml:space="preserve"> Reproduction of Figure 1.4 in Volume 4, Chapter 1 of the IPCC’s </w:t>
      </w:r>
      <w:r w:rsidRPr="00024398">
        <w:rPr>
          <w:i/>
          <w:sz w:val="20"/>
          <w:szCs w:val="20"/>
        </w:rPr>
        <w:t xml:space="preserve">Guidelines for National Greenhouse Gas Inventories </w:t>
      </w:r>
      <w:r w:rsidRPr="00024398">
        <w:rPr>
          <w:sz w:val="20"/>
          <w:szCs w:val="20"/>
        </w:rPr>
        <w:t>(2006).</w:t>
      </w:r>
      <w:r>
        <w:rPr>
          <w:sz w:val="20"/>
          <w:szCs w:val="20"/>
        </w:rPr>
        <w:t xml:space="preserve">  </w:t>
      </w:r>
      <w:hyperlink r:id="rId1" w:history="1">
        <w:r w:rsidRPr="00B85EDB">
          <w:rPr>
            <w:rStyle w:val="Hyperlink"/>
            <w:sz w:val="18"/>
            <w:szCs w:val="18"/>
            <w:u w:val="none"/>
          </w:rPr>
          <w:t>https://www.ipcc-nggip.iges.or.jp/public/2006gl/pdf/4_Volume4/V4_01_Ch1_Introduction.pdf</w:t>
        </w:r>
      </w:hyperlink>
    </w:p>
  </w:footnote>
  <w:footnote w:id="8">
    <w:p w14:paraId="154AC167" w14:textId="77777777" w:rsidR="0099059D" w:rsidRPr="00631CB8" w:rsidRDefault="0099059D" w:rsidP="008A14CF">
      <w:pPr>
        <w:pStyle w:val="FootnoteText"/>
        <w:jc w:val="left"/>
        <w:rPr>
          <w:sz w:val="20"/>
          <w:szCs w:val="20"/>
        </w:rPr>
      </w:pPr>
      <w:r w:rsidRPr="00631CB8">
        <w:rPr>
          <w:rStyle w:val="FootnoteReference"/>
          <w:sz w:val="20"/>
          <w:szCs w:val="20"/>
        </w:rPr>
        <w:footnoteRef/>
      </w:r>
      <w:r w:rsidRPr="00631CB8">
        <w:rPr>
          <w:sz w:val="20"/>
          <w:szCs w:val="20"/>
        </w:rPr>
        <w:t xml:space="preserve"> IPCC’s </w:t>
      </w:r>
      <w:r w:rsidRPr="00631CB8">
        <w:rPr>
          <w:i/>
          <w:sz w:val="20"/>
          <w:szCs w:val="20"/>
        </w:rPr>
        <w:t>Guidelines</w:t>
      </w:r>
      <w:r w:rsidRPr="00631CB8">
        <w:rPr>
          <w:sz w:val="20"/>
          <w:szCs w:val="20"/>
        </w:rPr>
        <w:t xml:space="preserve"> (2006) provide guidance on the identification of key categories.</w:t>
      </w:r>
    </w:p>
  </w:footnote>
  <w:footnote w:id="9">
    <w:p w14:paraId="6FEA576B" w14:textId="77777777" w:rsidR="0099059D" w:rsidRPr="00631CB8" w:rsidRDefault="0099059D" w:rsidP="008F4452">
      <w:pPr>
        <w:pStyle w:val="FootnoteText"/>
        <w:ind w:left="180" w:hanging="180"/>
        <w:jc w:val="left"/>
        <w:rPr>
          <w:sz w:val="20"/>
          <w:szCs w:val="20"/>
        </w:rPr>
      </w:pPr>
      <w:r w:rsidRPr="00631CB8">
        <w:rPr>
          <w:rStyle w:val="FootnoteReference"/>
          <w:sz w:val="20"/>
          <w:szCs w:val="20"/>
        </w:rPr>
        <w:footnoteRef/>
      </w:r>
      <w:r w:rsidRPr="00631CB8">
        <w:rPr>
          <w:sz w:val="20"/>
          <w:szCs w:val="20"/>
        </w:rPr>
        <w:t xml:space="preserve"> E.g., a country’s forests might be a key category because they sequester a significant amount of GHGs.</w:t>
      </w:r>
    </w:p>
  </w:footnote>
  <w:footnote w:id="10">
    <w:p w14:paraId="0C289D42" w14:textId="77777777" w:rsidR="0099059D" w:rsidRPr="00631CB8" w:rsidRDefault="0099059D" w:rsidP="008F4452">
      <w:pPr>
        <w:pStyle w:val="FootnoteText"/>
        <w:ind w:left="180" w:hanging="180"/>
        <w:jc w:val="left"/>
        <w:rPr>
          <w:sz w:val="20"/>
          <w:szCs w:val="20"/>
        </w:rPr>
      </w:pPr>
      <w:r w:rsidRPr="00631CB8">
        <w:rPr>
          <w:rStyle w:val="FootnoteReference"/>
          <w:sz w:val="20"/>
          <w:szCs w:val="20"/>
        </w:rPr>
        <w:footnoteRef/>
      </w:r>
      <w:r w:rsidRPr="00631CB8">
        <w:rPr>
          <w:sz w:val="20"/>
          <w:szCs w:val="20"/>
        </w:rPr>
        <w:t xml:space="preserve"> E.g., emissions from dairy cattle might be minor, but rapidly increasing.</w:t>
      </w:r>
    </w:p>
  </w:footnote>
  <w:footnote w:id="11">
    <w:p w14:paraId="0D25AA59" w14:textId="77777777" w:rsidR="0099059D" w:rsidRPr="00631CB8" w:rsidRDefault="0099059D" w:rsidP="008F4452">
      <w:pPr>
        <w:pStyle w:val="FootnoteText"/>
        <w:ind w:left="180" w:hanging="180"/>
        <w:jc w:val="left"/>
        <w:rPr>
          <w:sz w:val="20"/>
          <w:szCs w:val="20"/>
        </w:rPr>
      </w:pPr>
      <w:r w:rsidRPr="00631CB8">
        <w:rPr>
          <w:rStyle w:val="FootnoteReference"/>
          <w:sz w:val="20"/>
          <w:szCs w:val="20"/>
        </w:rPr>
        <w:footnoteRef/>
      </w:r>
      <w:r w:rsidRPr="00631CB8">
        <w:rPr>
          <w:sz w:val="20"/>
          <w:szCs w:val="20"/>
        </w:rPr>
        <w:t xml:space="preserve"> Calculations of GHG fluxes are quite sensitive to certain parameters and estimates.  Therefore, uncertainties in those influential factors can justify the special attention given to key categories.  E.g., calculations of GHGs from enteric fermentation are sensitive to estimates of the digestibility of livestock feed.</w:t>
      </w:r>
    </w:p>
  </w:footnote>
  <w:footnote w:id="12">
    <w:p w14:paraId="7904C2BD" w14:textId="77777777" w:rsidR="0099059D" w:rsidRPr="00631CB8" w:rsidRDefault="0099059D" w:rsidP="008F4452">
      <w:pPr>
        <w:pStyle w:val="FootnoteText"/>
        <w:ind w:left="180" w:hanging="180"/>
        <w:jc w:val="left"/>
        <w:rPr>
          <w:sz w:val="20"/>
          <w:szCs w:val="20"/>
        </w:rPr>
      </w:pPr>
      <w:r w:rsidRPr="00631CB8">
        <w:rPr>
          <w:rStyle w:val="FootnoteReference"/>
          <w:sz w:val="20"/>
          <w:szCs w:val="20"/>
        </w:rPr>
        <w:footnoteRef/>
      </w:r>
      <w:r w:rsidRPr="00631CB8">
        <w:rPr>
          <w:sz w:val="20"/>
          <w:szCs w:val="20"/>
        </w:rPr>
        <w:t xml:space="preserve"> QC refers to efforts, typically </w:t>
      </w:r>
      <w:r w:rsidRPr="00631CB8">
        <w:rPr>
          <w:i/>
          <w:sz w:val="20"/>
          <w:szCs w:val="20"/>
        </w:rPr>
        <w:t>ex ante</w:t>
      </w:r>
      <w:r w:rsidRPr="00631CB8">
        <w:rPr>
          <w:sz w:val="20"/>
          <w:szCs w:val="20"/>
        </w:rPr>
        <w:t>, to ensure the rigor of measurement and analyses undertaken by entities and individuals directly involved in the measurement or inventory process—e.g., establishing standard operating procedures (SOPs) for data collection, calibrating measurement equipment, training field staff, etc.</w:t>
      </w:r>
    </w:p>
  </w:footnote>
  <w:footnote w:id="13">
    <w:p w14:paraId="46AFC585" w14:textId="77777777" w:rsidR="0099059D" w:rsidRPr="00631CB8" w:rsidRDefault="0099059D" w:rsidP="008F4452">
      <w:pPr>
        <w:pStyle w:val="FootnoteText"/>
        <w:ind w:left="180" w:hanging="180"/>
        <w:jc w:val="left"/>
        <w:rPr>
          <w:sz w:val="20"/>
          <w:szCs w:val="20"/>
        </w:rPr>
      </w:pPr>
      <w:r w:rsidRPr="00631CB8">
        <w:rPr>
          <w:rStyle w:val="FootnoteReference"/>
          <w:sz w:val="20"/>
          <w:szCs w:val="20"/>
        </w:rPr>
        <w:footnoteRef/>
      </w:r>
      <w:r w:rsidRPr="00631CB8">
        <w:rPr>
          <w:sz w:val="20"/>
          <w:szCs w:val="20"/>
        </w:rPr>
        <w:t xml:space="preserve"> QA refers to efforts, typically </w:t>
      </w:r>
      <w:r w:rsidRPr="00631CB8">
        <w:rPr>
          <w:i/>
          <w:sz w:val="20"/>
          <w:szCs w:val="20"/>
        </w:rPr>
        <w:t>ex post</w:t>
      </w:r>
      <w:r w:rsidRPr="00631CB8">
        <w:rPr>
          <w:sz w:val="20"/>
          <w:szCs w:val="20"/>
        </w:rPr>
        <w:t xml:space="preserve">, to check the accuracy of obtained measures by entities and individuals </w:t>
      </w:r>
      <w:r w:rsidRPr="00631CB8">
        <w:rPr>
          <w:i/>
          <w:sz w:val="20"/>
          <w:szCs w:val="20"/>
        </w:rPr>
        <w:t>not</w:t>
      </w:r>
      <w:r w:rsidRPr="00631CB8">
        <w:rPr>
          <w:sz w:val="20"/>
          <w:szCs w:val="20"/>
        </w:rPr>
        <w:t xml:space="preserve"> directly involved in the measurement or inventory process—e.g., in-depth spot checks, data audits, etc.</w:t>
      </w:r>
    </w:p>
  </w:footnote>
  <w:footnote w:id="14">
    <w:p w14:paraId="730891B2" w14:textId="77777777" w:rsidR="0099059D" w:rsidRPr="00631CB8" w:rsidRDefault="0099059D" w:rsidP="00B261D5">
      <w:pPr>
        <w:pStyle w:val="FootnoteText"/>
        <w:ind w:left="180" w:hanging="180"/>
        <w:jc w:val="left"/>
        <w:rPr>
          <w:sz w:val="20"/>
          <w:szCs w:val="20"/>
        </w:rPr>
      </w:pPr>
      <w:r w:rsidRPr="00631CB8">
        <w:rPr>
          <w:rStyle w:val="FootnoteReference"/>
          <w:sz w:val="20"/>
          <w:szCs w:val="20"/>
        </w:rPr>
        <w:footnoteRef/>
      </w:r>
      <w:r>
        <w:rPr>
          <w:sz w:val="20"/>
          <w:szCs w:val="20"/>
        </w:rPr>
        <w:t xml:space="preserve"> </w:t>
      </w:r>
      <w:r w:rsidRPr="00697B83">
        <w:rPr>
          <w:sz w:val="20"/>
          <w:szCs w:val="20"/>
        </w:rPr>
        <w:t>http://unfccc.int/tools_xml/country_LK.html</w:t>
      </w:r>
      <w:r w:rsidRPr="00631CB8">
        <w:rPr>
          <w:sz w:val="20"/>
          <w:szCs w:val="20"/>
        </w:rPr>
        <w:t>.</w:t>
      </w:r>
    </w:p>
  </w:footnote>
  <w:footnote w:id="15">
    <w:p w14:paraId="4D21582A" w14:textId="4BF2D6E4" w:rsidR="0099059D" w:rsidRPr="009C7A3A" w:rsidRDefault="0099059D" w:rsidP="006233BC">
      <w:pPr>
        <w:pStyle w:val="FootnoteText"/>
        <w:ind w:left="180" w:hanging="180"/>
        <w:rPr>
          <w:sz w:val="20"/>
          <w:szCs w:val="20"/>
        </w:rPr>
      </w:pPr>
      <w:r w:rsidRPr="009C7A3A">
        <w:rPr>
          <w:rStyle w:val="FootnoteReference"/>
          <w:sz w:val="20"/>
          <w:szCs w:val="20"/>
        </w:rPr>
        <w:footnoteRef/>
      </w:r>
      <w:r w:rsidRPr="009C7A3A">
        <w:rPr>
          <w:sz w:val="20"/>
          <w:szCs w:val="20"/>
        </w:rPr>
        <w:t xml:space="preserve"> Adapted from </w:t>
      </w:r>
      <w:r>
        <w:rPr>
          <w:sz w:val="20"/>
          <w:szCs w:val="20"/>
        </w:rPr>
        <w:t>Second National Communication to UNFCCC, Year 2012</w:t>
      </w:r>
      <w:r w:rsidRPr="009C7A3A">
        <w:rPr>
          <w:sz w:val="20"/>
          <w:szCs w:val="20"/>
        </w:rPr>
        <w:t>.</w:t>
      </w:r>
    </w:p>
  </w:footnote>
  <w:footnote w:id="16">
    <w:p w14:paraId="00B50D3F" w14:textId="77777777" w:rsidR="0099059D" w:rsidRPr="00AB214F" w:rsidRDefault="0099059D" w:rsidP="00B261D5">
      <w:pPr>
        <w:pStyle w:val="FootnoteText"/>
        <w:ind w:left="-720"/>
      </w:pPr>
      <w:r>
        <w:rPr>
          <w:vertAlign w:val="superscript"/>
        </w:rPr>
        <w:t xml:space="preserve">                     </w:t>
      </w:r>
      <w:r w:rsidRPr="00AB214F">
        <w:rPr>
          <w:vertAlign w:val="superscript"/>
        </w:rPr>
        <w:footnoteRef/>
      </w:r>
      <w:r w:rsidRPr="00AB214F">
        <w:rPr>
          <w:vertAlign w:val="superscript"/>
        </w:rPr>
        <w:t xml:space="preserve"> </w:t>
      </w:r>
      <w:r w:rsidRPr="00AB214F">
        <w:t xml:space="preserve"> CB (2011</w:t>
      </w:r>
      <w:r>
        <w:t xml:space="preserve"> and 2016</w:t>
      </w:r>
      <w:r w:rsidRPr="00AB214F">
        <w:t>). Central Bank of Sri Lanka, Annual Report.</w:t>
      </w:r>
    </w:p>
  </w:footnote>
  <w:footnote w:id="17">
    <w:p w14:paraId="1D99CEDE" w14:textId="77777777" w:rsidR="0099059D" w:rsidRDefault="0099059D" w:rsidP="00B261D5">
      <w:pPr>
        <w:pStyle w:val="FootnoteText"/>
      </w:pPr>
      <w:r>
        <w:rPr>
          <w:rStyle w:val="FootnoteReference"/>
        </w:rPr>
        <w:footnoteRef/>
      </w:r>
      <w:r>
        <w:t xml:space="preserve"> FAO &amp; New Zealand Agricultural Greenhouse Gas Research Centre. 2017. Options for low-emission development in the Sri Lanka dairy sector – reducing enteric methane for food security and livelihoods. Rome. 38 pp.</w:t>
      </w:r>
    </w:p>
  </w:footnote>
  <w:footnote w:id="18">
    <w:p w14:paraId="47CCC5C3" w14:textId="77777777" w:rsidR="0099059D" w:rsidRPr="00D37234" w:rsidRDefault="0099059D" w:rsidP="00E970A4">
      <w:pPr>
        <w:pStyle w:val="FootnoteText"/>
        <w:tabs>
          <w:tab w:val="left" w:pos="0"/>
        </w:tabs>
        <w:ind w:hanging="630"/>
        <w:rPr>
          <w:rFonts w:ascii="Gill Sans MT" w:hAnsi="Gill Sans MT"/>
          <w:sz w:val="16"/>
          <w:szCs w:val="16"/>
        </w:rPr>
      </w:pPr>
      <w:r w:rsidRPr="005E72A6">
        <w:t xml:space="preserve">      </w:t>
      </w:r>
      <w:r>
        <w:tab/>
      </w:r>
      <w:r w:rsidRPr="005E72A6">
        <w:rPr>
          <w:rStyle w:val="FootnoteReference"/>
        </w:rPr>
        <w:footnoteRef/>
      </w:r>
      <w:r w:rsidRPr="005E72A6">
        <w:t xml:space="preserve">  </w:t>
      </w:r>
      <w:r w:rsidRPr="005E72A6">
        <w:rPr>
          <w:lang w:eastAsia="ko-KR"/>
        </w:rPr>
        <w:t>F</w:t>
      </w:r>
      <w:r>
        <w:rPr>
          <w:lang w:eastAsia="ko-KR"/>
        </w:rPr>
        <w:t xml:space="preserve">orest </w:t>
      </w:r>
      <w:r w:rsidRPr="005E72A6">
        <w:rPr>
          <w:lang w:eastAsia="ko-KR"/>
        </w:rPr>
        <w:t>D</w:t>
      </w:r>
      <w:r>
        <w:rPr>
          <w:lang w:eastAsia="ko-KR"/>
        </w:rPr>
        <w:t>epartment</w:t>
      </w:r>
      <w:r w:rsidRPr="005E72A6">
        <w:rPr>
          <w:lang w:eastAsia="ko-KR"/>
        </w:rPr>
        <w:t xml:space="preserve"> unpublished provisional data from the recent forest cover mapping exercise.</w:t>
      </w:r>
      <w:r w:rsidRPr="00D37234">
        <w:rPr>
          <w:rFonts w:ascii="Gill Sans MT" w:hAnsi="Gill Sans MT"/>
          <w:sz w:val="16"/>
          <w:szCs w:val="16"/>
          <w:lang w:eastAsia="ko-KR"/>
        </w:rPr>
        <w:t xml:space="preserve"> </w:t>
      </w:r>
    </w:p>
  </w:footnote>
  <w:footnote w:id="19">
    <w:p w14:paraId="61AA5FBE" w14:textId="77777777" w:rsidR="0099059D" w:rsidRPr="0022352A" w:rsidRDefault="0099059D" w:rsidP="00442386">
      <w:pPr>
        <w:pStyle w:val="FootnoteText"/>
        <w:ind w:left="187" w:hanging="187"/>
      </w:pPr>
      <w:r w:rsidRPr="005E72A6">
        <w:rPr>
          <w:rStyle w:val="FootnoteReference"/>
        </w:rPr>
        <w:footnoteRef/>
      </w:r>
      <w:r w:rsidRPr="005E72A6">
        <w:t xml:space="preserve"> GOSL (2008). Nomination of the Central Highlands of Sri Lanka: its cultural and natural heritage for inscription in the world heritage list. Submitted to UNESCO by the Government of the Democratic Socialist Republic of Sri Lanka.</w:t>
      </w:r>
      <w:r>
        <w:rPr>
          <w:rFonts w:ascii="Gill Sans MT" w:hAnsi="Gill Sans MT"/>
          <w:color w:val="666633"/>
          <w:sz w:val="16"/>
          <w:szCs w:val="16"/>
        </w:rPr>
        <w:t xml:space="preserve"> </w:t>
      </w:r>
    </w:p>
  </w:footnote>
  <w:footnote w:id="20">
    <w:p w14:paraId="6027D3FD" w14:textId="77777777" w:rsidR="0099059D" w:rsidRPr="005E72A6" w:rsidRDefault="0099059D" w:rsidP="00442386">
      <w:pPr>
        <w:ind w:left="180" w:hanging="180"/>
        <w:rPr>
          <w:rFonts w:eastAsia="Calibri"/>
          <w:sz w:val="20"/>
          <w:szCs w:val="20"/>
          <w:lang w:eastAsia="ko-KR" w:bidi="en-US"/>
        </w:rPr>
      </w:pPr>
      <w:r w:rsidRPr="005E72A6">
        <w:rPr>
          <w:rFonts w:eastAsia="Calibri"/>
          <w:sz w:val="20"/>
          <w:szCs w:val="20"/>
          <w:lang w:eastAsia="ko-KR" w:bidi="en-US"/>
        </w:rPr>
        <w:footnoteRef/>
      </w:r>
      <w:r w:rsidRPr="005E72A6">
        <w:rPr>
          <w:sz w:val="20"/>
          <w:szCs w:val="20"/>
        </w:rPr>
        <w:t xml:space="preserve"> </w:t>
      </w:r>
      <w:r w:rsidRPr="005E72A6">
        <w:rPr>
          <w:rFonts w:eastAsia="Calibri"/>
          <w:sz w:val="20"/>
          <w:szCs w:val="20"/>
          <w:lang w:eastAsia="ko-KR" w:bidi="en-US"/>
        </w:rPr>
        <w:t xml:space="preserve">Mittermeier RA, Valladares-Pádua CB, Rylands AB, Eudey AA, Butynski TM, Ganzhorn J , Kormos, R , Aguiar, J , Walker, S. 2006.  Most     Endangered Primates 2004-2006. Conservation International 20:1-28. </w:t>
      </w:r>
    </w:p>
  </w:footnote>
  <w:footnote w:id="21">
    <w:p w14:paraId="7D7F6D40" w14:textId="77777777" w:rsidR="0099059D" w:rsidRPr="004A17C4" w:rsidRDefault="0099059D" w:rsidP="00F53A42">
      <w:pPr>
        <w:pStyle w:val="FootnoteText"/>
        <w:ind w:left="180" w:hanging="180"/>
        <w:rPr>
          <w:sz w:val="20"/>
          <w:szCs w:val="20"/>
        </w:rPr>
      </w:pPr>
      <w:r w:rsidRPr="004A17C4">
        <w:rPr>
          <w:rStyle w:val="FootnoteReference"/>
          <w:sz w:val="20"/>
          <w:szCs w:val="20"/>
        </w:rPr>
        <w:footnoteRef/>
      </w:r>
      <w:r w:rsidRPr="004A17C4">
        <w:rPr>
          <w:sz w:val="20"/>
          <w:szCs w:val="20"/>
        </w:rPr>
        <w:t xml:space="preserve"> FAO. (2017). </w:t>
      </w:r>
      <w:r w:rsidRPr="004A17C4">
        <w:rPr>
          <w:i/>
          <w:sz w:val="20"/>
          <w:szCs w:val="20"/>
        </w:rPr>
        <w:t>Tracking adaptation in agricultural sectors:  Climate change adaptation indicators</w:t>
      </w:r>
      <w:r w:rsidRPr="004A17C4">
        <w:rPr>
          <w:sz w:val="20"/>
          <w:szCs w:val="20"/>
        </w:rPr>
        <w:t>.</w:t>
      </w:r>
    </w:p>
  </w:footnote>
  <w:footnote w:id="22">
    <w:p w14:paraId="2B9E8234" w14:textId="77777777" w:rsidR="0099059D" w:rsidRDefault="0099059D" w:rsidP="00E970A4">
      <w:pPr>
        <w:pStyle w:val="FootnoteText"/>
      </w:pPr>
      <w:r>
        <w:rPr>
          <w:rStyle w:val="FootnoteReference"/>
        </w:rPr>
        <w:footnoteRef/>
      </w:r>
      <w:r>
        <w:t xml:space="preserve"> SL REDD program</w:t>
      </w:r>
    </w:p>
  </w:footnote>
  <w:footnote w:id="23">
    <w:p w14:paraId="537A8D8B" w14:textId="3CB59065" w:rsidR="0099059D" w:rsidRPr="00EA54E3" w:rsidRDefault="0099059D" w:rsidP="0020031D">
      <w:pPr>
        <w:pStyle w:val="FootnoteText"/>
        <w:ind w:left="180" w:hanging="180"/>
        <w:rPr>
          <w:sz w:val="20"/>
          <w:szCs w:val="20"/>
        </w:rPr>
      </w:pPr>
      <w:r w:rsidRPr="00EA54E3">
        <w:rPr>
          <w:rStyle w:val="FootnoteReference"/>
          <w:sz w:val="20"/>
          <w:szCs w:val="20"/>
        </w:rPr>
        <w:footnoteRef/>
      </w:r>
      <w:r w:rsidRPr="00EA54E3">
        <w:rPr>
          <w:sz w:val="20"/>
          <w:szCs w:val="20"/>
        </w:rPr>
        <w:t xml:space="preserve"> </w:t>
      </w:r>
      <w:r>
        <w:rPr>
          <w:sz w:val="20"/>
          <w:szCs w:val="20"/>
        </w:rPr>
        <w:t xml:space="preserve">Page-40, </w:t>
      </w:r>
      <w:r w:rsidRPr="00C42B6E">
        <w:rPr>
          <w:i/>
          <w:sz w:val="20"/>
          <w:szCs w:val="20"/>
        </w:rPr>
        <w:t>Technology Needs Assessment</w:t>
      </w:r>
      <w:r>
        <w:rPr>
          <w:i/>
          <w:sz w:val="20"/>
          <w:szCs w:val="20"/>
        </w:rPr>
        <w:t xml:space="preserve"> and Technology Action Plans for Climate Change Adaptation 2011.</w:t>
      </w:r>
    </w:p>
  </w:footnote>
  <w:footnote w:id="24">
    <w:p w14:paraId="12F389C5" w14:textId="2EF77BD9" w:rsidR="0099059D" w:rsidRPr="00C42B6E" w:rsidRDefault="0099059D" w:rsidP="00DA0BB8">
      <w:pPr>
        <w:pStyle w:val="FootnoteText"/>
        <w:ind w:left="180" w:hanging="180"/>
        <w:rPr>
          <w:sz w:val="20"/>
          <w:szCs w:val="20"/>
        </w:rPr>
      </w:pPr>
      <w:r w:rsidRPr="00C42B6E">
        <w:rPr>
          <w:rStyle w:val="FootnoteReference"/>
          <w:sz w:val="20"/>
          <w:szCs w:val="20"/>
        </w:rPr>
        <w:footnoteRef/>
      </w:r>
      <w:r w:rsidRPr="00C42B6E">
        <w:rPr>
          <w:sz w:val="20"/>
          <w:szCs w:val="20"/>
        </w:rPr>
        <w:t xml:space="preserve"> </w:t>
      </w:r>
      <w:r>
        <w:rPr>
          <w:sz w:val="20"/>
          <w:szCs w:val="20"/>
        </w:rPr>
        <w:t xml:space="preserve">Sri Lanka’s </w:t>
      </w:r>
      <w:r w:rsidRPr="006D2391">
        <w:rPr>
          <w:sz w:val="20"/>
          <w:szCs w:val="20"/>
          <w:lang w:val="en-GB"/>
        </w:rPr>
        <w:t xml:space="preserve">National Capacity </w:t>
      </w:r>
      <w:r>
        <w:rPr>
          <w:sz w:val="20"/>
          <w:szCs w:val="20"/>
          <w:lang w:val="en-GB"/>
        </w:rPr>
        <w:t xml:space="preserve">Needs </w:t>
      </w:r>
      <w:r w:rsidRPr="006D2391">
        <w:rPr>
          <w:sz w:val="20"/>
          <w:szCs w:val="20"/>
          <w:lang w:val="en-GB"/>
        </w:rPr>
        <w:t>Self-assessment (200</w:t>
      </w:r>
      <w:r>
        <w:rPr>
          <w:sz w:val="20"/>
          <w:szCs w:val="20"/>
          <w:lang w:val="en-GB"/>
        </w:rPr>
        <w:t>7</w:t>
      </w:r>
      <w:r w:rsidRPr="006D2391">
        <w:rPr>
          <w:sz w:val="20"/>
          <w:szCs w:val="20"/>
          <w:lang w:val="en-GB"/>
        </w:rPr>
        <w:t>)</w:t>
      </w:r>
      <w:r>
        <w:rPr>
          <w:i/>
          <w:sz w:val="20"/>
          <w:szCs w:val="20"/>
        </w:rPr>
        <w:t>.</w:t>
      </w:r>
    </w:p>
  </w:footnote>
  <w:footnote w:id="25">
    <w:p w14:paraId="5F5EDB55" w14:textId="7E5550E1" w:rsidR="0099059D" w:rsidRPr="00AD095D" w:rsidRDefault="0099059D" w:rsidP="00520766">
      <w:pPr>
        <w:pStyle w:val="FootnoteText"/>
      </w:pPr>
      <w:r w:rsidRPr="00520766">
        <w:rPr>
          <w:rStyle w:val="FootnoteReference"/>
        </w:rPr>
        <w:footnoteRef/>
      </w:r>
      <w:r w:rsidRPr="00520766">
        <w:t xml:space="preserve"> </w:t>
      </w:r>
      <w:r w:rsidRPr="00520766">
        <w:rPr>
          <w:sz w:val="22"/>
          <w:szCs w:val="22"/>
          <w:lang w:val="en-GB"/>
        </w:rPr>
        <w:t xml:space="preserve">In order to address the cross </w:t>
      </w:r>
      <w:r w:rsidRPr="00520766">
        <w:rPr>
          <w:sz w:val="22"/>
          <w:lang w:val="en-GB"/>
        </w:rPr>
        <w:t>sectoral nature</w:t>
      </w:r>
      <w:r w:rsidRPr="00520766">
        <w:rPr>
          <w:sz w:val="22"/>
          <w:szCs w:val="22"/>
          <w:lang w:val="en-GB"/>
        </w:rPr>
        <w:t xml:space="preserve"> of major environmental challenges caused by climate change, and to fulfil the commitments under the </w:t>
      </w:r>
      <w:r w:rsidRPr="00520766">
        <w:rPr>
          <w:b/>
          <w:bCs/>
          <w:sz w:val="22"/>
          <w:szCs w:val="22"/>
          <w:lang w:val="en-GB"/>
        </w:rPr>
        <w:t>United Nations Framework Convention on Climate Change</w:t>
      </w:r>
      <w:r w:rsidRPr="00520766">
        <w:rPr>
          <w:sz w:val="22"/>
          <w:szCs w:val="22"/>
          <w:lang w:val="en-GB"/>
        </w:rPr>
        <w:t xml:space="preserve"> (UNFCCC) &amp; Kyoto Protocol, the Ministry of </w:t>
      </w:r>
      <w:r>
        <w:rPr>
          <w:sz w:val="22"/>
          <w:lang w:val="en-GB"/>
        </w:rPr>
        <w:t xml:space="preserve">Mahaweli Development and </w:t>
      </w:r>
      <w:r w:rsidRPr="00520766">
        <w:rPr>
          <w:sz w:val="22"/>
          <w:szCs w:val="22"/>
          <w:lang w:val="en-GB"/>
        </w:rPr>
        <w:t xml:space="preserve">Environment, which is the National Focal Point for the UNFCCC and Kyoto Protocol has taken the initiative to establish a Climate Change Secretariat under its preview. The Climate Change Secretariat, which is headed by the Director of the Climate Change Division, adopts a comprehensive national approach to address climate change challenges </w:t>
      </w:r>
      <w:r w:rsidRPr="00520766">
        <w:rPr>
          <w:sz w:val="22"/>
          <w:lang w:val="en-GB"/>
        </w:rPr>
        <w:t>that as</w:t>
      </w:r>
      <w:r w:rsidRPr="00520766">
        <w:rPr>
          <w:sz w:val="22"/>
          <w:szCs w:val="22"/>
          <w:lang w:val="en-GB"/>
        </w:rPr>
        <w:t xml:space="preserve"> these concerns</w:t>
      </w:r>
      <w:r>
        <w:rPr>
          <w:sz w:val="22"/>
          <w:lang w:val="en-GB"/>
        </w:rPr>
        <w:t xml:space="preserve"> </w:t>
      </w:r>
      <w:r w:rsidRPr="00520766">
        <w:rPr>
          <w:sz w:val="22"/>
          <w:szCs w:val="22"/>
          <w:lang w:val="en-GB"/>
        </w:rPr>
        <w:t>categorize as an environmental concern, which is also a development issue of Sri Lanka.</w:t>
      </w:r>
    </w:p>
  </w:footnote>
  <w:footnote w:id="26">
    <w:p w14:paraId="3DEB4D98" w14:textId="0B0B81FB" w:rsidR="0099059D" w:rsidRPr="009655A1" w:rsidRDefault="0099059D" w:rsidP="001A3FBB">
      <w:pPr>
        <w:pStyle w:val="FootnoteText"/>
        <w:ind w:left="180" w:hanging="180"/>
        <w:rPr>
          <w:sz w:val="20"/>
          <w:szCs w:val="20"/>
        </w:rPr>
      </w:pPr>
      <w:r w:rsidRPr="009655A1">
        <w:rPr>
          <w:rStyle w:val="FootnoteReference"/>
          <w:sz w:val="20"/>
          <w:szCs w:val="20"/>
        </w:rPr>
        <w:footnoteRef/>
      </w:r>
      <w:r w:rsidRPr="009655A1">
        <w:rPr>
          <w:sz w:val="20"/>
          <w:szCs w:val="20"/>
        </w:rPr>
        <w:t xml:space="preserve"> </w:t>
      </w:r>
      <w:r>
        <w:rPr>
          <w:sz w:val="20"/>
          <w:szCs w:val="20"/>
        </w:rPr>
        <w:t xml:space="preserve">Third National Communication is in a process of finalization by </w:t>
      </w:r>
      <w:r>
        <w:rPr>
          <w:sz w:val="22"/>
          <w:lang w:val="en-GB"/>
        </w:rPr>
        <w:t xml:space="preserve">Climate Change Secretariat, Ministry of Mahaweli Development and Environment. </w:t>
      </w:r>
    </w:p>
  </w:footnote>
  <w:footnote w:id="27">
    <w:p w14:paraId="7553E665" w14:textId="77777777" w:rsidR="0099059D" w:rsidRPr="00482D4E" w:rsidRDefault="0099059D" w:rsidP="00D50190">
      <w:pPr>
        <w:pStyle w:val="FootnoteText"/>
        <w:ind w:left="180" w:hanging="180"/>
        <w:rPr>
          <w:sz w:val="20"/>
          <w:szCs w:val="20"/>
          <w:lang w:val="en-GB"/>
        </w:rPr>
      </w:pPr>
      <w:r w:rsidRPr="009655A1">
        <w:rPr>
          <w:rStyle w:val="FootnoteReference"/>
          <w:sz w:val="20"/>
          <w:szCs w:val="20"/>
        </w:rPr>
        <w:footnoteRef/>
      </w:r>
      <w:hyperlink r:id="rId2" w:history="1">
        <w:r w:rsidRPr="007E597D">
          <w:rPr>
            <w:rStyle w:val="Hyperlink"/>
            <w:sz w:val="20"/>
            <w:szCs w:val="20"/>
          </w:rPr>
          <w:t>https://www4.unfccc.int/sites/NAPC/Documents%20NAP/National%20Reports/National%20Adaptation%20Plan%20of%20Sri%20Lanka.pdf</w:t>
        </w:r>
      </w:hyperlink>
      <w:r>
        <w:rPr>
          <w:sz w:val="20"/>
          <w:szCs w:val="20"/>
        </w:rPr>
        <w:t xml:space="preserve"> </w:t>
      </w:r>
    </w:p>
  </w:footnote>
  <w:footnote w:id="28">
    <w:p w14:paraId="32B5B508" w14:textId="77777777" w:rsidR="0099059D" w:rsidRPr="008E1A11" w:rsidRDefault="0099059D" w:rsidP="00C8609E">
      <w:pPr>
        <w:pStyle w:val="FootnoteText"/>
        <w:ind w:left="180" w:hanging="180"/>
        <w:rPr>
          <w:sz w:val="20"/>
          <w:szCs w:val="20"/>
        </w:rPr>
      </w:pPr>
      <w:r w:rsidRPr="008E1A11">
        <w:rPr>
          <w:rStyle w:val="FootnoteReference"/>
          <w:sz w:val="20"/>
          <w:szCs w:val="20"/>
        </w:rPr>
        <w:footnoteRef/>
      </w:r>
      <w:r w:rsidRPr="008E1A11">
        <w:rPr>
          <w:sz w:val="20"/>
          <w:szCs w:val="20"/>
        </w:rPr>
        <w:t xml:space="preserve"> Sustainable financing could take the form of (i) revenues from enforcement or value-recovery from resource extraction (e.g., mining-related royalties), (ii) international markets, such as carbon markets, or (iii) an endowed trust.  (Regular funding from the state budget is plausible, but would require a supportive funding source, such as those described here.)  Whatever the funding source, effective MRV will be required</w:t>
      </w:r>
      <w:r>
        <w:rPr>
          <w:sz w:val="20"/>
          <w:szCs w:val="20"/>
        </w:rPr>
        <w:t xml:space="preserve"> and is often a prerequisite</w:t>
      </w:r>
      <w:r w:rsidRPr="008E1A11">
        <w:rPr>
          <w:sz w:val="20"/>
          <w:szCs w:val="20"/>
        </w:rPr>
        <w:t>.</w:t>
      </w:r>
    </w:p>
  </w:footnote>
  <w:footnote w:id="29">
    <w:p w14:paraId="213312BF" w14:textId="77777777" w:rsidR="0099059D" w:rsidRPr="0043498E" w:rsidRDefault="0099059D" w:rsidP="0043498E">
      <w:pPr>
        <w:pStyle w:val="FootnoteText"/>
        <w:ind w:left="180" w:hanging="180"/>
        <w:rPr>
          <w:sz w:val="20"/>
          <w:szCs w:val="20"/>
        </w:rPr>
      </w:pPr>
      <w:r w:rsidRPr="0043498E">
        <w:rPr>
          <w:rStyle w:val="FootnoteReference"/>
          <w:sz w:val="20"/>
          <w:szCs w:val="20"/>
        </w:rPr>
        <w:footnoteRef/>
      </w:r>
      <w:r w:rsidRPr="0043498E">
        <w:rPr>
          <w:sz w:val="20"/>
          <w:szCs w:val="20"/>
        </w:rPr>
        <w:t xml:space="preserve"> which can also comprise internal QA</w:t>
      </w:r>
    </w:p>
  </w:footnote>
  <w:footnote w:id="30">
    <w:p w14:paraId="3F62E448" w14:textId="77777777" w:rsidR="0099059D" w:rsidRPr="00D921A8" w:rsidRDefault="0099059D" w:rsidP="00D921A8">
      <w:pPr>
        <w:pStyle w:val="FootnoteText"/>
        <w:ind w:left="180" w:hanging="180"/>
        <w:rPr>
          <w:sz w:val="20"/>
          <w:szCs w:val="20"/>
        </w:rPr>
      </w:pPr>
      <w:r w:rsidRPr="00D921A8">
        <w:rPr>
          <w:rStyle w:val="FootnoteReference"/>
          <w:sz w:val="20"/>
          <w:szCs w:val="20"/>
        </w:rPr>
        <w:footnoteRef/>
      </w:r>
      <w:r w:rsidRPr="00D921A8">
        <w:rPr>
          <w:sz w:val="20"/>
          <w:szCs w:val="20"/>
        </w:rPr>
        <w:t xml:space="preserve"> and potential domestic verification at some point in the future</w:t>
      </w:r>
    </w:p>
  </w:footnote>
  <w:footnote w:id="31">
    <w:p w14:paraId="0DDBF7FF" w14:textId="77777777" w:rsidR="0099059D" w:rsidRPr="00A745E7" w:rsidRDefault="0099059D" w:rsidP="00DA0F69">
      <w:pPr>
        <w:pStyle w:val="FootnoteText"/>
        <w:ind w:left="180" w:hanging="180"/>
        <w:rPr>
          <w:sz w:val="20"/>
          <w:szCs w:val="20"/>
          <w:lang w:val="fr-FR"/>
        </w:rPr>
      </w:pPr>
      <w:r w:rsidRPr="00E25E2F">
        <w:rPr>
          <w:rStyle w:val="FootnoteReference"/>
          <w:sz w:val="20"/>
          <w:szCs w:val="20"/>
        </w:rPr>
        <w:footnoteRef/>
      </w:r>
      <w:r w:rsidRPr="00A745E7">
        <w:rPr>
          <w:sz w:val="20"/>
          <w:szCs w:val="20"/>
          <w:lang w:val="fr-FR"/>
        </w:rPr>
        <w:t xml:space="preserve"> Available via:  </w:t>
      </w:r>
      <w:hyperlink r:id="rId3" w:history="1">
        <w:r w:rsidRPr="00A745E7">
          <w:rPr>
            <w:rStyle w:val="Hyperlink"/>
            <w:sz w:val="20"/>
            <w:szCs w:val="20"/>
            <w:u w:val="none"/>
            <w:lang w:val="fr-FR"/>
          </w:rPr>
          <w:t>http://www.fao.org/3/a-i4260e.pdf</w:t>
        </w:r>
      </w:hyperlink>
    </w:p>
  </w:footnote>
  <w:footnote w:id="32">
    <w:p w14:paraId="4AC5BCB7" w14:textId="77777777" w:rsidR="0099059D" w:rsidRDefault="0099059D" w:rsidP="00DA0F69">
      <w:pPr>
        <w:pStyle w:val="FootnoteText"/>
        <w:ind w:left="180" w:hanging="180"/>
      </w:pPr>
      <w:r w:rsidRPr="001E6CC1">
        <w:rPr>
          <w:rStyle w:val="FootnoteReference"/>
          <w:sz w:val="20"/>
          <w:szCs w:val="20"/>
        </w:rPr>
        <w:footnoteRef/>
      </w:r>
      <w:r w:rsidRPr="001E6CC1">
        <w:rPr>
          <w:sz w:val="20"/>
          <w:szCs w:val="20"/>
        </w:rPr>
        <w:t xml:space="preserve"> See:  </w:t>
      </w:r>
      <w:hyperlink r:id="rId4" w:history="1">
        <w:r w:rsidRPr="001E6CC1">
          <w:rPr>
            <w:rStyle w:val="Hyperlink"/>
            <w:sz w:val="20"/>
            <w:szCs w:val="20"/>
            <w:u w:val="none"/>
          </w:rPr>
          <w:t>http://www.fao.org/in-action/micca/resources/tools/en/</w:t>
        </w:r>
      </w:hyperlink>
      <w:r>
        <w:t xml:space="preserve"> </w:t>
      </w:r>
    </w:p>
  </w:footnote>
  <w:footnote w:id="33">
    <w:p w14:paraId="217A3DE2" w14:textId="77777777" w:rsidR="0099059D" w:rsidRPr="00A745E7" w:rsidRDefault="0099059D" w:rsidP="00DA0F69">
      <w:pPr>
        <w:pStyle w:val="FootnoteText"/>
        <w:ind w:left="180" w:hanging="180"/>
        <w:rPr>
          <w:sz w:val="20"/>
          <w:szCs w:val="20"/>
          <w:lang w:val="fr-FR"/>
        </w:rPr>
      </w:pPr>
      <w:r w:rsidRPr="00CE32E3">
        <w:rPr>
          <w:rStyle w:val="FootnoteReference"/>
          <w:sz w:val="20"/>
          <w:szCs w:val="20"/>
        </w:rPr>
        <w:footnoteRef/>
      </w:r>
      <w:r w:rsidRPr="00A745E7">
        <w:rPr>
          <w:sz w:val="20"/>
          <w:szCs w:val="20"/>
          <w:lang w:val="fr-FR"/>
        </w:rPr>
        <w:t xml:space="preserve"> Available via:  </w:t>
      </w:r>
      <w:hyperlink r:id="rId5" w:history="1">
        <w:r w:rsidRPr="00A745E7">
          <w:rPr>
            <w:rStyle w:val="Hyperlink"/>
            <w:sz w:val="20"/>
            <w:szCs w:val="20"/>
            <w:u w:val="none"/>
            <w:lang w:val="fr-FR"/>
          </w:rPr>
          <w:t>http://www.fao.org/3/a-i8145e.pdf</w:t>
        </w:r>
      </w:hyperlink>
      <w:r w:rsidRPr="00A745E7">
        <w:rPr>
          <w:sz w:val="20"/>
          <w:szCs w:val="20"/>
          <w:lang w:val="fr-FR"/>
        </w:rPr>
        <w:t xml:space="preserve"> </w:t>
      </w:r>
    </w:p>
  </w:footnote>
  <w:footnote w:id="34">
    <w:p w14:paraId="69A4C3CB" w14:textId="77777777" w:rsidR="0099059D" w:rsidRPr="00FB7911" w:rsidRDefault="0099059D" w:rsidP="00DA0F69">
      <w:pPr>
        <w:pStyle w:val="FootnoteText"/>
        <w:ind w:left="180" w:hanging="180"/>
        <w:rPr>
          <w:sz w:val="20"/>
          <w:szCs w:val="20"/>
        </w:rPr>
      </w:pPr>
      <w:r w:rsidRPr="00FB7911">
        <w:rPr>
          <w:rStyle w:val="FootnoteReference"/>
          <w:sz w:val="20"/>
          <w:szCs w:val="20"/>
        </w:rPr>
        <w:footnoteRef/>
      </w:r>
      <w:r w:rsidRPr="00FB7911">
        <w:rPr>
          <w:sz w:val="20"/>
          <w:szCs w:val="20"/>
        </w:rPr>
        <w:t xml:space="preserve"> “Verification” is often omitted from adaptation-related tracking protocols in order to avoid the insinuation of international verification processes or requirements, though domestic verification is possible.</w:t>
      </w:r>
    </w:p>
  </w:footnote>
  <w:footnote w:id="35">
    <w:p w14:paraId="70F82187" w14:textId="77777777" w:rsidR="0099059D" w:rsidRPr="00ED293D" w:rsidRDefault="0099059D" w:rsidP="00DA0F69">
      <w:pPr>
        <w:pStyle w:val="Default"/>
        <w:ind w:left="180" w:hanging="180"/>
        <w:rPr>
          <w:rFonts w:ascii="Times New Roman" w:eastAsia="MS Mincho" w:hAnsi="Times New Roman" w:cs="Times New Roman"/>
          <w:sz w:val="20"/>
          <w:szCs w:val="20"/>
          <w:lang w:val="en-US" w:eastAsia="en-GB"/>
        </w:rPr>
      </w:pPr>
      <w:r w:rsidRPr="00ED293D">
        <w:rPr>
          <w:rStyle w:val="FootnoteReference"/>
          <w:rFonts w:ascii="Times New Roman" w:hAnsi="Times New Roman" w:cs="Times New Roman"/>
          <w:sz w:val="20"/>
          <w:szCs w:val="20"/>
        </w:rPr>
        <w:footnoteRef/>
      </w:r>
      <w:r w:rsidRPr="00ED293D">
        <w:rPr>
          <w:rFonts w:ascii="Times New Roman" w:hAnsi="Times New Roman" w:cs="Times New Roman"/>
          <w:sz w:val="20"/>
          <w:szCs w:val="20"/>
        </w:rPr>
        <w:t xml:space="preserve"> </w:t>
      </w:r>
      <w:r>
        <w:rPr>
          <w:rFonts w:ascii="Times New Roman" w:hAnsi="Times New Roman" w:cs="Times New Roman"/>
          <w:sz w:val="20"/>
          <w:szCs w:val="20"/>
        </w:rPr>
        <w:t xml:space="preserve">E.g., </w:t>
      </w:r>
      <w:r w:rsidRPr="00ED293D">
        <w:rPr>
          <w:rFonts w:ascii="Times New Roman" w:hAnsi="Times New Roman" w:cs="Times New Roman"/>
          <w:sz w:val="20"/>
          <w:szCs w:val="20"/>
        </w:rPr>
        <w:t>“</w:t>
      </w:r>
      <w:r w:rsidRPr="00ED293D">
        <w:rPr>
          <w:rFonts w:ascii="Times New Roman" w:eastAsia="MS Mincho" w:hAnsi="Times New Roman" w:cs="Times New Roman"/>
          <w:sz w:val="20"/>
          <w:szCs w:val="20"/>
          <w:lang w:val="en-US" w:eastAsia="en-GB"/>
        </w:rPr>
        <w:t xml:space="preserve">Results-based management (RBM) at the GEF is designed to focus M&amp;E of projects and programs </w:t>
      </w:r>
      <w:r w:rsidRPr="00ED293D">
        <w:rPr>
          <w:rFonts w:ascii="Times New Roman" w:eastAsia="MS Mincho" w:hAnsi="Times New Roman" w:cs="Times New Roman"/>
          <w:bCs/>
          <w:sz w:val="20"/>
          <w:szCs w:val="20"/>
          <w:lang w:val="en-US" w:eastAsia="en-GB"/>
        </w:rPr>
        <w:t xml:space="preserve">towards portfolio-level objectives and goals.  </w:t>
      </w:r>
      <w:r w:rsidRPr="00ED293D">
        <w:rPr>
          <w:rFonts w:ascii="Times New Roman" w:eastAsia="MS Mincho" w:hAnsi="Times New Roman" w:cs="Times New Roman"/>
          <w:sz w:val="20"/>
          <w:szCs w:val="20"/>
          <w:lang w:eastAsia="en-GB"/>
        </w:rPr>
        <w:t xml:space="preserve">The </w:t>
      </w:r>
      <w:r w:rsidRPr="00ED293D">
        <w:rPr>
          <w:rFonts w:ascii="Times New Roman" w:eastAsia="MS Mincho" w:hAnsi="Times New Roman" w:cs="Times New Roman"/>
          <w:bCs/>
          <w:sz w:val="20"/>
          <w:szCs w:val="20"/>
          <w:lang w:eastAsia="en-GB"/>
        </w:rPr>
        <w:t xml:space="preserve">RBM framework </w:t>
      </w:r>
      <w:r w:rsidRPr="00ED293D">
        <w:rPr>
          <w:rFonts w:ascii="Times New Roman" w:eastAsia="MS Mincho" w:hAnsi="Times New Roman" w:cs="Times New Roman"/>
          <w:sz w:val="20"/>
          <w:szCs w:val="20"/>
          <w:lang w:eastAsia="en-GB"/>
        </w:rPr>
        <w:t>for the LDCF/SCCF supports the GEF Secretariat in monitoring and</w:t>
      </w:r>
      <w:r w:rsidRPr="00ED293D">
        <w:rPr>
          <w:rFonts w:eastAsia="MS Mincho"/>
          <w:sz w:val="60"/>
          <w:szCs w:val="60"/>
          <w:lang w:eastAsia="en-GB"/>
        </w:rPr>
        <w:t xml:space="preserve"> </w:t>
      </w:r>
      <w:r w:rsidRPr="00ED293D">
        <w:rPr>
          <w:rFonts w:ascii="Times New Roman" w:hAnsi="Times New Roman" w:cs="Times New Roman"/>
          <w:sz w:val="20"/>
          <w:szCs w:val="20"/>
        </w:rPr>
        <w:t xml:space="preserve">reporting and it guides GEF Agencies in project design.”  </w:t>
      </w:r>
      <w:r>
        <w:rPr>
          <w:rFonts w:ascii="Times New Roman" w:hAnsi="Times New Roman" w:cs="Times New Roman"/>
          <w:sz w:val="20"/>
          <w:szCs w:val="20"/>
        </w:rPr>
        <w:t xml:space="preserve">Similarly, AMAT “provides concrete means for [GEF] Agencies and GEFSEC to track progress towards portfolio-level objectives, outcomes and outputs.”  </w:t>
      </w:r>
      <w:r w:rsidRPr="00ED293D">
        <w:rPr>
          <w:rFonts w:ascii="Times New Roman" w:hAnsi="Times New Roman" w:cs="Times New Roman"/>
          <w:sz w:val="20"/>
          <w:szCs w:val="20"/>
        </w:rPr>
        <w:t xml:space="preserve">Biagini, B. (June 2011).  </w:t>
      </w:r>
      <w:r w:rsidRPr="00F7261B">
        <w:rPr>
          <w:rFonts w:ascii="Times New Roman" w:hAnsi="Times New Roman" w:cs="Times New Roman"/>
          <w:i/>
          <w:sz w:val="20"/>
          <w:szCs w:val="20"/>
        </w:rPr>
        <w:t>Monitoring and evaluation for adaptation:  The GEF experience.</w:t>
      </w:r>
      <w:r w:rsidRPr="00ED293D">
        <w:rPr>
          <w:rFonts w:ascii="Times New Roman" w:hAnsi="Times New Roman" w:cs="Times New Roman"/>
          <w:sz w:val="20"/>
          <w:szCs w:val="20"/>
        </w:rPr>
        <w:t xml:space="preserve"> Presentation at UNFCCC Climate Talks:  Bonn, Germany.</w:t>
      </w:r>
    </w:p>
  </w:footnote>
  <w:footnote w:id="36">
    <w:p w14:paraId="19444BEB" w14:textId="77777777" w:rsidR="0099059D" w:rsidRPr="00FB7911" w:rsidRDefault="0099059D" w:rsidP="00E964B6">
      <w:pPr>
        <w:pStyle w:val="FootnoteText"/>
        <w:ind w:left="180" w:hanging="180"/>
      </w:pPr>
      <w:r w:rsidRPr="00FB7911">
        <w:rPr>
          <w:rStyle w:val="FootnoteReference"/>
          <w:sz w:val="20"/>
          <w:szCs w:val="20"/>
        </w:rPr>
        <w:footnoteRef/>
      </w:r>
      <w:r w:rsidRPr="00FB7911">
        <w:rPr>
          <w:sz w:val="20"/>
          <w:szCs w:val="20"/>
        </w:rPr>
        <w:t xml:space="preserve"> Table adapted </w:t>
      </w:r>
      <w:r>
        <w:rPr>
          <w:sz w:val="20"/>
          <w:szCs w:val="20"/>
        </w:rPr>
        <w:t xml:space="preserve">and expanded </w:t>
      </w:r>
      <w:r w:rsidRPr="00FB7911">
        <w:rPr>
          <w:sz w:val="20"/>
          <w:szCs w:val="20"/>
        </w:rPr>
        <w:t>from</w:t>
      </w:r>
      <w:r>
        <w:rPr>
          <w:sz w:val="20"/>
          <w:szCs w:val="20"/>
        </w:rPr>
        <w:t xml:space="preserve"> FAO. (2017).</w:t>
      </w:r>
      <w:r w:rsidRPr="00FB7911">
        <w:rPr>
          <w:sz w:val="20"/>
          <w:szCs w:val="20"/>
        </w:rPr>
        <w:t xml:space="preserve"> </w:t>
      </w:r>
      <w:r w:rsidRPr="00FB7911">
        <w:rPr>
          <w:i/>
          <w:sz w:val="20"/>
          <w:szCs w:val="20"/>
        </w:rPr>
        <w:t>Tracking adaptation in agricultural sectors:  Climate change adaptation indicators</w:t>
      </w:r>
      <w:r w:rsidRPr="00FB7911">
        <w:rPr>
          <w:sz w:val="20"/>
          <w:szCs w:val="20"/>
        </w:rPr>
        <w:t>.</w:t>
      </w:r>
    </w:p>
  </w:footnote>
  <w:footnote w:id="37">
    <w:p w14:paraId="7E70831A" w14:textId="77777777" w:rsidR="0099059D" w:rsidRPr="00DA5E7F" w:rsidRDefault="0099059D" w:rsidP="00DA5E7F">
      <w:pPr>
        <w:pStyle w:val="FootnoteText"/>
        <w:ind w:left="180" w:hanging="180"/>
        <w:rPr>
          <w:sz w:val="20"/>
          <w:szCs w:val="20"/>
        </w:rPr>
      </w:pPr>
      <w:r w:rsidRPr="00DA5E7F">
        <w:rPr>
          <w:rStyle w:val="FootnoteReference"/>
          <w:sz w:val="20"/>
          <w:szCs w:val="20"/>
        </w:rPr>
        <w:footnoteRef/>
      </w:r>
      <w:r w:rsidRPr="00DA5E7F">
        <w:rPr>
          <w:sz w:val="20"/>
          <w:szCs w:val="20"/>
        </w:rPr>
        <w:t xml:space="preserve"> Indicator 3 applies to all outcomes under the CCM focal area.</w:t>
      </w:r>
    </w:p>
  </w:footnote>
  <w:footnote w:id="38">
    <w:p w14:paraId="6032E6E6" w14:textId="77777777" w:rsidR="0099059D" w:rsidRPr="00734674" w:rsidRDefault="0099059D" w:rsidP="0039560F">
      <w:pPr>
        <w:pStyle w:val="FootnoteText"/>
        <w:ind w:left="180" w:hanging="180"/>
        <w:rPr>
          <w:sz w:val="20"/>
          <w:szCs w:val="20"/>
        </w:rPr>
      </w:pPr>
      <w:r w:rsidRPr="00734674">
        <w:rPr>
          <w:rStyle w:val="FootnoteReference"/>
          <w:sz w:val="20"/>
          <w:szCs w:val="20"/>
        </w:rPr>
        <w:footnoteRef/>
      </w:r>
      <w:r>
        <w:rPr>
          <w:sz w:val="20"/>
          <w:szCs w:val="20"/>
        </w:rPr>
        <w:t xml:space="preserve"> The</w:t>
      </w:r>
      <w:r w:rsidRPr="00734674">
        <w:rPr>
          <w:sz w:val="20"/>
          <w:szCs w:val="20"/>
        </w:rPr>
        <w:t xml:space="preserve"> BH </w:t>
      </w:r>
      <w:r>
        <w:rPr>
          <w:sz w:val="20"/>
          <w:szCs w:val="20"/>
        </w:rPr>
        <w:t xml:space="preserve">for execution funds </w:t>
      </w:r>
      <w:r w:rsidRPr="00734674">
        <w:rPr>
          <w:sz w:val="20"/>
          <w:szCs w:val="20"/>
        </w:rPr>
        <w:t xml:space="preserve">is typically the FAOR, who is </w:t>
      </w:r>
      <w:r>
        <w:rPr>
          <w:sz w:val="20"/>
          <w:szCs w:val="20"/>
        </w:rPr>
        <w:t xml:space="preserve">typically </w:t>
      </w:r>
      <w:r w:rsidRPr="00734674">
        <w:rPr>
          <w:sz w:val="20"/>
          <w:szCs w:val="20"/>
        </w:rPr>
        <w:t>also the BH for the portion of agency fees allocated by FAO for national-level implementation.</w:t>
      </w:r>
    </w:p>
  </w:footnote>
  <w:footnote w:id="39">
    <w:p w14:paraId="1CF6B33D" w14:textId="77777777" w:rsidR="0099059D" w:rsidRPr="00A745E7" w:rsidRDefault="0099059D" w:rsidP="0039560F">
      <w:pPr>
        <w:pStyle w:val="FootnoteText"/>
        <w:ind w:left="180" w:hanging="180"/>
        <w:jc w:val="left"/>
        <w:rPr>
          <w:sz w:val="20"/>
          <w:szCs w:val="20"/>
          <w:lang w:val="fr-FR"/>
        </w:rPr>
      </w:pPr>
      <w:r w:rsidRPr="00734674">
        <w:rPr>
          <w:rStyle w:val="FootnoteReference"/>
          <w:sz w:val="20"/>
          <w:szCs w:val="20"/>
        </w:rPr>
        <w:footnoteRef/>
      </w:r>
      <w:r w:rsidRPr="00734674">
        <w:rPr>
          <w:sz w:val="20"/>
          <w:szCs w:val="20"/>
        </w:rPr>
        <w:t xml:space="preserve"> E.g., FAO. (2012). </w:t>
      </w:r>
      <w:r w:rsidRPr="00734674">
        <w:rPr>
          <w:i/>
          <w:sz w:val="20"/>
          <w:szCs w:val="20"/>
        </w:rPr>
        <w:t>Guide to the Project Cycle.</w:t>
      </w:r>
      <w:r w:rsidRPr="00734674">
        <w:rPr>
          <w:sz w:val="20"/>
          <w:szCs w:val="20"/>
        </w:rPr>
        <w:t xml:space="preserve">  </w:t>
      </w:r>
      <w:r w:rsidRPr="00A745E7">
        <w:rPr>
          <w:sz w:val="20"/>
          <w:szCs w:val="20"/>
          <w:lang w:val="fr-FR"/>
        </w:rPr>
        <w:t xml:space="preserve">Available via:  </w:t>
      </w:r>
      <w:hyperlink r:id="rId6" w:history="1">
        <w:r w:rsidRPr="00A745E7">
          <w:rPr>
            <w:rStyle w:val="Hyperlink"/>
            <w:sz w:val="20"/>
            <w:szCs w:val="20"/>
            <w:u w:val="none"/>
            <w:lang w:val="fr-FR"/>
          </w:rPr>
          <w:t>www.fao.org/docrep/016/ap105e/ap105e.pdf</w:t>
        </w:r>
      </w:hyperlink>
      <w:r w:rsidRPr="00A745E7">
        <w:rPr>
          <w:sz w:val="20"/>
          <w:szCs w:val="20"/>
          <w:lang w:val="fr-FR"/>
        </w:rPr>
        <w:t xml:space="preserve"> </w:t>
      </w:r>
    </w:p>
  </w:footnote>
  <w:footnote w:id="40">
    <w:p w14:paraId="0FFA94B7" w14:textId="77777777" w:rsidR="0099059D" w:rsidRPr="00885FBC" w:rsidRDefault="0099059D">
      <w:pPr>
        <w:pStyle w:val="FootnoteText"/>
      </w:pPr>
      <w:r>
        <w:rPr>
          <w:rStyle w:val="FootnoteReference"/>
        </w:rPr>
        <w:footnoteRef/>
      </w:r>
      <w:r>
        <w:t xml:space="preserve"> GEF Council (2006).  </w:t>
      </w:r>
      <w:r>
        <w:rPr>
          <w:i/>
        </w:rPr>
        <w:t xml:space="preserve">Roles and comparative advantages of the GEF agencies.  </w:t>
      </w:r>
      <w:hyperlink r:id="rId7" w:history="1">
        <w:r w:rsidRPr="00885FBC">
          <w:rPr>
            <w:rStyle w:val="Hyperlink"/>
          </w:rPr>
          <w:t>GEF/C.30/9</w:t>
        </w:r>
      </w:hyperlink>
      <w:r>
        <w:t>.</w:t>
      </w:r>
    </w:p>
  </w:footnote>
  <w:footnote w:id="41">
    <w:p w14:paraId="1B27E6B2" w14:textId="77777777" w:rsidR="0099059D" w:rsidRDefault="0099059D" w:rsidP="000B5681">
      <w:pPr>
        <w:pStyle w:val="FootnoteText"/>
        <w:ind w:left="180" w:hanging="180"/>
      </w:pPr>
      <w:r w:rsidRPr="001E6CC1">
        <w:rPr>
          <w:rStyle w:val="FootnoteReference"/>
          <w:sz w:val="20"/>
          <w:szCs w:val="20"/>
        </w:rPr>
        <w:footnoteRef/>
      </w:r>
      <w:r w:rsidRPr="001E6CC1">
        <w:rPr>
          <w:sz w:val="20"/>
          <w:szCs w:val="20"/>
        </w:rPr>
        <w:t xml:space="preserve"> See:  </w:t>
      </w:r>
      <w:hyperlink r:id="rId8" w:history="1">
        <w:r w:rsidRPr="001E6CC1">
          <w:rPr>
            <w:rStyle w:val="Hyperlink"/>
            <w:sz w:val="20"/>
            <w:szCs w:val="20"/>
            <w:u w:val="none"/>
          </w:rPr>
          <w:t>http://www.fao.org/in-action/micca/resources/tools/en/</w:t>
        </w:r>
      </w:hyperlink>
      <w:r>
        <w:t xml:space="preserve"> </w:t>
      </w:r>
    </w:p>
  </w:footnote>
  <w:footnote w:id="42">
    <w:p w14:paraId="64C9EAF4" w14:textId="77777777" w:rsidR="0099059D" w:rsidRPr="00A745E7" w:rsidRDefault="0099059D" w:rsidP="000B5681">
      <w:pPr>
        <w:pStyle w:val="FootnoteText"/>
        <w:ind w:left="180" w:hanging="180"/>
        <w:rPr>
          <w:sz w:val="20"/>
          <w:szCs w:val="20"/>
          <w:lang w:val="fr-FR"/>
        </w:rPr>
      </w:pPr>
      <w:r w:rsidRPr="00E25E2F">
        <w:rPr>
          <w:rStyle w:val="FootnoteReference"/>
          <w:sz w:val="20"/>
          <w:szCs w:val="20"/>
        </w:rPr>
        <w:footnoteRef/>
      </w:r>
      <w:r w:rsidRPr="00A745E7">
        <w:rPr>
          <w:sz w:val="20"/>
          <w:szCs w:val="20"/>
          <w:lang w:val="fr-FR"/>
        </w:rPr>
        <w:t xml:space="preserve"> Available via:  </w:t>
      </w:r>
      <w:hyperlink r:id="rId9" w:history="1">
        <w:r w:rsidRPr="00A745E7">
          <w:rPr>
            <w:rStyle w:val="Hyperlink"/>
            <w:sz w:val="20"/>
            <w:szCs w:val="20"/>
            <w:u w:val="none"/>
            <w:lang w:val="fr-FR"/>
          </w:rPr>
          <w:t>http://www.fao.org/3/a-i4260e.pdf</w:t>
        </w:r>
      </w:hyperlink>
    </w:p>
  </w:footnote>
  <w:footnote w:id="43">
    <w:p w14:paraId="3147823F" w14:textId="77777777" w:rsidR="0099059D" w:rsidRPr="00A745E7" w:rsidRDefault="0099059D" w:rsidP="00DA5E7F">
      <w:pPr>
        <w:pStyle w:val="FootnoteText"/>
        <w:ind w:left="180" w:hanging="180"/>
        <w:rPr>
          <w:sz w:val="20"/>
          <w:szCs w:val="20"/>
          <w:lang w:val="fr-FR"/>
        </w:rPr>
      </w:pPr>
      <w:r w:rsidRPr="00DA5E7F">
        <w:rPr>
          <w:rStyle w:val="FootnoteReference"/>
          <w:sz w:val="20"/>
          <w:szCs w:val="20"/>
        </w:rPr>
        <w:footnoteRef/>
      </w:r>
      <w:r w:rsidRPr="00A745E7">
        <w:rPr>
          <w:sz w:val="20"/>
          <w:szCs w:val="20"/>
          <w:lang w:val="fr-FR"/>
        </w:rPr>
        <w:t xml:space="preserve"> Available via:  </w:t>
      </w:r>
      <w:hyperlink r:id="rId10" w:history="1">
        <w:r w:rsidRPr="00A745E7">
          <w:rPr>
            <w:rStyle w:val="Hyperlink"/>
            <w:sz w:val="20"/>
            <w:szCs w:val="20"/>
            <w:u w:val="none"/>
            <w:lang w:val="fr-FR"/>
          </w:rPr>
          <w:t>http://www.fao.org/tc/exact/ex-act-home/en/</w:t>
        </w:r>
      </w:hyperlink>
      <w:r w:rsidRPr="00A745E7">
        <w:rPr>
          <w:sz w:val="20"/>
          <w:szCs w:val="20"/>
          <w:lang w:val="fr-FR"/>
        </w:rPr>
        <w:t xml:space="preserve"> </w:t>
      </w:r>
    </w:p>
  </w:footnote>
  <w:footnote w:id="44">
    <w:p w14:paraId="1F5C86C0" w14:textId="77777777" w:rsidR="0099059D" w:rsidRPr="00B92E45" w:rsidRDefault="0099059D" w:rsidP="00B92E45">
      <w:pPr>
        <w:pStyle w:val="FootnoteText"/>
        <w:ind w:left="180" w:hanging="180"/>
        <w:rPr>
          <w:sz w:val="20"/>
          <w:szCs w:val="20"/>
        </w:rPr>
      </w:pPr>
      <w:r w:rsidRPr="00B92E45">
        <w:rPr>
          <w:rStyle w:val="FootnoteReference"/>
          <w:sz w:val="20"/>
          <w:szCs w:val="20"/>
        </w:rPr>
        <w:footnoteRef/>
      </w:r>
      <w:r w:rsidRPr="00B92E45">
        <w:rPr>
          <w:sz w:val="20"/>
          <w:szCs w:val="20"/>
        </w:rPr>
        <w:t xml:space="preserve"> See </w:t>
      </w:r>
      <w:r w:rsidRPr="00B92E45">
        <w:rPr>
          <w:i/>
          <w:sz w:val="20"/>
          <w:szCs w:val="20"/>
        </w:rPr>
        <w:t>FAO Corporate Strategy</w:t>
      </w:r>
      <w:r>
        <w:rPr>
          <w:sz w:val="20"/>
          <w:szCs w:val="20"/>
        </w:rPr>
        <w:t xml:space="preserve">; available via: </w:t>
      </w:r>
      <w:r w:rsidRPr="00B92E45">
        <w:rPr>
          <w:sz w:val="20"/>
          <w:szCs w:val="20"/>
        </w:rPr>
        <w:t xml:space="preserve"> </w:t>
      </w:r>
      <w:hyperlink r:id="rId11" w:history="1">
        <w:r w:rsidRPr="00B92E45">
          <w:rPr>
            <w:rStyle w:val="Hyperlink"/>
            <w:rFonts w:eastAsia="PMingLiU"/>
            <w:sz w:val="20"/>
            <w:szCs w:val="20"/>
            <w:u w:val="none"/>
          </w:rPr>
          <w:t>http://www.fao.org/capacity-development/en/</w:t>
        </w:r>
      </w:hyperlink>
    </w:p>
  </w:footnote>
  <w:footnote w:id="45">
    <w:p w14:paraId="4554C9BF" w14:textId="77777777" w:rsidR="0099059D" w:rsidRPr="00CD59C3" w:rsidRDefault="0099059D" w:rsidP="003B1514">
      <w:pPr>
        <w:pStyle w:val="FootnoteText"/>
        <w:ind w:left="180" w:hanging="180"/>
        <w:rPr>
          <w:sz w:val="20"/>
          <w:szCs w:val="20"/>
        </w:rPr>
      </w:pPr>
      <w:r w:rsidRPr="00CD59C3">
        <w:rPr>
          <w:rStyle w:val="FootnoteReference"/>
          <w:sz w:val="20"/>
          <w:szCs w:val="20"/>
        </w:rPr>
        <w:footnoteRef/>
      </w:r>
      <w:r w:rsidRPr="00CD59C3">
        <w:rPr>
          <w:sz w:val="20"/>
          <w:szCs w:val="20"/>
        </w:rPr>
        <w:t xml:space="preserve"> Indicator refers to the institutional arrangements for data-sharing and data-provision, not the production of data/ information (i.e., measurement), which is covered under Components 2 and 3.</w:t>
      </w:r>
    </w:p>
  </w:footnote>
  <w:footnote w:id="46">
    <w:p w14:paraId="60CC7921" w14:textId="77777777" w:rsidR="0099059D" w:rsidRPr="00486EAE" w:rsidRDefault="0099059D" w:rsidP="003B1514">
      <w:pPr>
        <w:pStyle w:val="FootnoteText"/>
        <w:ind w:left="180" w:hanging="180"/>
        <w:rPr>
          <w:sz w:val="20"/>
          <w:szCs w:val="20"/>
        </w:rPr>
      </w:pPr>
      <w:r w:rsidRPr="00486EAE">
        <w:rPr>
          <w:rStyle w:val="FootnoteReference"/>
          <w:sz w:val="20"/>
          <w:szCs w:val="20"/>
        </w:rPr>
        <w:footnoteRef/>
      </w:r>
      <w:r w:rsidRPr="00486EAE">
        <w:rPr>
          <w:sz w:val="20"/>
          <w:szCs w:val="20"/>
        </w:rPr>
        <w:t xml:space="preserve"> Versus his/ her capacity as representative of the executing agency</w:t>
      </w:r>
    </w:p>
  </w:footnote>
  <w:footnote w:id="47">
    <w:p w14:paraId="1F4FD18A" w14:textId="77777777" w:rsidR="0099059D" w:rsidRPr="00486EAE" w:rsidRDefault="0099059D" w:rsidP="003B1514">
      <w:pPr>
        <w:pStyle w:val="FootnoteText"/>
        <w:ind w:left="180" w:hanging="180"/>
        <w:rPr>
          <w:sz w:val="20"/>
          <w:szCs w:val="20"/>
        </w:rPr>
      </w:pPr>
      <w:r w:rsidRPr="00486EAE">
        <w:rPr>
          <w:rStyle w:val="FootnoteReference"/>
          <w:sz w:val="20"/>
          <w:szCs w:val="20"/>
        </w:rPr>
        <w:footnoteRef/>
      </w:r>
      <w:r w:rsidRPr="00486EAE">
        <w:rPr>
          <w:sz w:val="20"/>
          <w:szCs w:val="20"/>
        </w:rPr>
        <w:t xml:space="preserve"> Versus his/ her capacity as representative of the executing agency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F0DE5"/>
    <w:multiLevelType w:val="hybridMultilevel"/>
    <w:tmpl w:val="72CEA356"/>
    <w:lvl w:ilvl="0" w:tplc="04090001">
      <w:start w:val="1"/>
      <w:numFmt w:val="bullet"/>
      <w:lvlText w:val=""/>
      <w:lvlJc w:val="left"/>
      <w:pPr>
        <w:ind w:left="540" w:hanging="360"/>
      </w:pPr>
      <w:rPr>
        <w:rFonts w:ascii="Symbol" w:hAnsi="Symbol" w:hint="default"/>
        <w:b w:val="0"/>
        <w:i w:val="0"/>
        <w:strike w:val="0"/>
        <w:color w:val="auto"/>
      </w:rPr>
    </w:lvl>
    <w:lvl w:ilvl="1" w:tplc="24CABE2A">
      <w:start w:val="1"/>
      <w:numFmt w:val="lowerRoman"/>
      <w:lvlText w:val="(%2)"/>
      <w:lvlJc w:val="left"/>
      <w:pPr>
        <w:ind w:left="1080" w:hanging="360"/>
      </w:pPr>
      <w:rPr>
        <w:rFonts w:ascii="Times New Roman" w:eastAsia="Times New Roman" w:hAnsi="Times New Roman" w:cs="Times New Roman"/>
      </w:rPr>
    </w:lvl>
    <w:lvl w:ilvl="2" w:tplc="1C09001B">
      <w:start w:val="1"/>
      <w:numFmt w:val="lowerRoman"/>
      <w:lvlText w:val="%3."/>
      <w:lvlJc w:val="right"/>
      <w:pPr>
        <w:ind w:left="1800" w:hanging="180"/>
      </w:pPr>
    </w:lvl>
    <w:lvl w:ilvl="3" w:tplc="16CE57B4">
      <w:start w:val="1"/>
      <w:numFmt w:val="decimal"/>
      <w:lvlText w:val="(%4)"/>
      <w:lvlJc w:val="left"/>
      <w:pPr>
        <w:ind w:left="2520" w:hanging="360"/>
      </w:pPr>
      <w:rPr>
        <w:rFonts w:hint="default"/>
      </w:r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 w15:restartNumberingAfterBreak="0">
    <w:nsid w:val="058112B7"/>
    <w:multiLevelType w:val="hybridMultilevel"/>
    <w:tmpl w:val="B7177361"/>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EB4656"/>
    <w:multiLevelType w:val="hybridMultilevel"/>
    <w:tmpl w:val="04FA2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0A6E5A"/>
    <w:multiLevelType w:val="hybridMultilevel"/>
    <w:tmpl w:val="EBF0039C"/>
    <w:lvl w:ilvl="0" w:tplc="29C6D9EE">
      <w:start w:val="1"/>
      <w:numFmt w:val="bullet"/>
      <w:lvlText w:val="•"/>
      <w:lvlJc w:val="left"/>
      <w:pPr>
        <w:tabs>
          <w:tab w:val="num" w:pos="720"/>
        </w:tabs>
        <w:ind w:left="720" w:hanging="360"/>
      </w:pPr>
      <w:rPr>
        <w:rFonts w:ascii="Times New Roman" w:hAnsi="Times New Roman" w:hint="default"/>
      </w:rPr>
    </w:lvl>
    <w:lvl w:ilvl="1" w:tplc="04090005">
      <w:start w:val="1"/>
      <w:numFmt w:val="bullet"/>
      <w:lvlText w:val=""/>
      <w:lvlJc w:val="left"/>
      <w:pPr>
        <w:tabs>
          <w:tab w:val="num" w:pos="1440"/>
        </w:tabs>
        <w:ind w:left="1440" w:hanging="360"/>
      </w:pPr>
      <w:rPr>
        <w:rFonts w:ascii="Wingdings" w:hAnsi="Wingdings" w:hint="default"/>
      </w:rPr>
    </w:lvl>
    <w:lvl w:ilvl="2" w:tplc="F81016B8">
      <w:start w:val="190"/>
      <w:numFmt w:val="bullet"/>
      <w:lvlText w:val="•"/>
      <w:lvlJc w:val="left"/>
      <w:pPr>
        <w:tabs>
          <w:tab w:val="num" w:pos="2160"/>
        </w:tabs>
        <w:ind w:left="2160" w:hanging="360"/>
      </w:pPr>
      <w:rPr>
        <w:rFonts w:ascii="Times New Roman" w:hAnsi="Times New Roman" w:hint="default"/>
      </w:rPr>
    </w:lvl>
    <w:lvl w:ilvl="3" w:tplc="E96EC458" w:tentative="1">
      <w:start w:val="1"/>
      <w:numFmt w:val="bullet"/>
      <w:lvlText w:val="•"/>
      <w:lvlJc w:val="left"/>
      <w:pPr>
        <w:tabs>
          <w:tab w:val="num" w:pos="2880"/>
        </w:tabs>
        <w:ind w:left="2880" w:hanging="360"/>
      </w:pPr>
      <w:rPr>
        <w:rFonts w:ascii="Times New Roman" w:hAnsi="Times New Roman" w:hint="default"/>
      </w:rPr>
    </w:lvl>
    <w:lvl w:ilvl="4" w:tplc="027EF1CE" w:tentative="1">
      <w:start w:val="1"/>
      <w:numFmt w:val="bullet"/>
      <w:lvlText w:val="•"/>
      <w:lvlJc w:val="left"/>
      <w:pPr>
        <w:tabs>
          <w:tab w:val="num" w:pos="3600"/>
        </w:tabs>
        <w:ind w:left="3600" w:hanging="360"/>
      </w:pPr>
      <w:rPr>
        <w:rFonts w:ascii="Times New Roman" w:hAnsi="Times New Roman" w:hint="default"/>
      </w:rPr>
    </w:lvl>
    <w:lvl w:ilvl="5" w:tplc="2782099C" w:tentative="1">
      <w:start w:val="1"/>
      <w:numFmt w:val="bullet"/>
      <w:lvlText w:val="•"/>
      <w:lvlJc w:val="left"/>
      <w:pPr>
        <w:tabs>
          <w:tab w:val="num" w:pos="4320"/>
        </w:tabs>
        <w:ind w:left="4320" w:hanging="360"/>
      </w:pPr>
      <w:rPr>
        <w:rFonts w:ascii="Times New Roman" w:hAnsi="Times New Roman" w:hint="default"/>
      </w:rPr>
    </w:lvl>
    <w:lvl w:ilvl="6" w:tplc="05CA6368" w:tentative="1">
      <w:start w:val="1"/>
      <w:numFmt w:val="bullet"/>
      <w:lvlText w:val="•"/>
      <w:lvlJc w:val="left"/>
      <w:pPr>
        <w:tabs>
          <w:tab w:val="num" w:pos="5040"/>
        </w:tabs>
        <w:ind w:left="5040" w:hanging="360"/>
      </w:pPr>
      <w:rPr>
        <w:rFonts w:ascii="Times New Roman" w:hAnsi="Times New Roman" w:hint="default"/>
      </w:rPr>
    </w:lvl>
    <w:lvl w:ilvl="7" w:tplc="01BE292A" w:tentative="1">
      <w:start w:val="1"/>
      <w:numFmt w:val="bullet"/>
      <w:lvlText w:val="•"/>
      <w:lvlJc w:val="left"/>
      <w:pPr>
        <w:tabs>
          <w:tab w:val="num" w:pos="5760"/>
        </w:tabs>
        <w:ind w:left="5760" w:hanging="360"/>
      </w:pPr>
      <w:rPr>
        <w:rFonts w:ascii="Times New Roman" w:hAnsi="Times New Roman" w:hint="default"/>
      </w:rPr>
    </w:lvl>
    <w:lvl w:ilvl="8" w:tplc="91CA60F6"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AF45346"/>
    <w:multiLevelType w:val="hybridMultilevel"/>
    <w:tmpl w:val="45B0FB3C"/>
    <w:lvl w:ilvl="0" w:tplc="08090001">
      <w:start w:val="1"/>
      <w:numFmt w:val="bullet"/>
      <w:lvlText w:val=""/>
      <w:lvlJc w:val="left"/>
      <w:pPr>
        <w:ind w:left="927" w:hanging="360"/>
      </w:pPr>
      <w:rPr>
        <w:rFonts w:ascii="Symbol" w:hAnsi="Symbol" w:hint="default"/>
      </w:rPr>
    </w:lvl>
    <w:lvl w:ilvl="1" w:tplc="AF4A4E44">
      <w:start w:val="3"/>
      <w:numFmt w:val="bullet"/>
      <w:lvlText w:val="-"/>
      <w:lvlJc w:val="left"/>
      <w:pPr>
        <w:ind w:left="1647" w:hanging="360"/>
      </w:pPr>
      <w:rPr>
        <w:rFonts w:ascii="Cambria" w:eastAsia="SimSun" w:hAnsi="Cambria" w:cs="Times New Roman" w:hint="default"/>
      </w:rPr>
    </w:lvl>
    <w:lvl w:ilvl="2" w:tplc="C4523026">
      <w:numFmt w:val="bullet"/>
      <w:lvlText w:val="•"/>
      <w:lvlJc w:val="left"/>
      <w:pPr>
        <w:ind w:left="2367" w:hanging="360"/>
      </w:pPr>
      <w:rPr>
        <w:rFonts w:ascii="Times New Roman" w:eastAsia="Times New Roman" w:hAnsi="Times New Roman" w:cs="Times New Roman"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5" w15:restartNumberingAfterBreak="0">
    <w:nsid w:val="0C943207"/>
    <w:multiLevelType w:val="multilevel"/>
    <w:tmpl w:val="BD54BFC8"/>
    <w:styleLink w:val="C4Headings"/>
    <w:lvl w:ilvl="0">
      <w:start w:val="1"/>
      <w:numFmt w:val="decimal"/>
      <w:pStyle w:val="C4Heading1"/>
      <w:lvlText w:val="%1."/>
      <w:lvlJc w:val="left"/>
      <w:pPr>
        <w:ind w:left="0" w:firstLine="0"/>
      </w:pPr>
      <w:rPr>
        <w:rFonts w:ascii="Arial Bold" w:hAnsi="Arial Bold" w:hint="default"/>
        <w:b/>
        <w:i w:val="0"/>
        <w:sz w:val="24"/>
      </w:rPr>
    </w:lvl>
    <w:lvl w:ilvl="1">
      <w:start w:val="1"/>
      <w:numFmt w:val="decimal"/>
      <w:pStyle w:val="C4Heading2"/>
      <w:lvlText w:val="%1.%2."/>
      <w:lvlJc w:val="left"/>
      <w:pPr>
        <w:ind w:left="0" w:firstLine="0"/>
      </w:pPr>
      <w:rPr>
        <w:rFonts w:ascii="Arial" w:hAnsi="Arial" w:hint="default"/>
        <w:b w:val="0"/>
        <w:i/>
        <w:sz w:val="24"/>
      </w:rPr>
    </w:lvl>
    <w:lvl w:ilvl="2">
      <w:start w:val="1"/>
      <w:numFmt w:val="decimal"/>
      <w:pStyle w:val="C4Heading3"/>
      <w:lvlText w:val="%1.%2.%3."/>
      <w:lvlJc w:val="left"/>
      <w:pPr>
        <w:ind w:left="0" w:firstLine="0"/>
      </w:pPr>
      <w:rPr>
        <w:rFonts w:ascii="Arial" w:hAnsi="Arial" w:hint="default"/>
        <w:b w:val="0"/>
        <w:i w:val="0"/>
        <w:sz w:val="24"/>
        <w:u w:val="none"/>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6" w15:restartNumberingAfterBreak="0">
    <w:nsid w:val="0CEE2F48"/>
    <w:multiLevelType w:val="hybridMultilevel"/>
    <w:tmpl w:val="2FF8C3B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D755C"/>
    <w:multiLevelType w:val="hybridMultilevel"/>
    <w:tmpl w:val="3E106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EE08D9"/>
    <w:multiLevelType w:val="multilevel"/>
    <w:tmpl w:val="4AE24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4385503"/>
    <w:multiLevelType w:val="hybridMultilevel"/>
    <w:tmpl w:val="AC80318C"/>
    <w:lvl w:ilvl="0" w:tplc="39DC2ABE">
      <w:start w:val="1"/>
      <w:numFmt w:val="bullet"/>
      <w:pStyle w:val="C41stOrderBullets"/>
      <w:lvlText w:val=""/>
      <w:lvlJc w:val="left"/>
      <w:pPr>
        <w:ind w:left="170" w:hanging="170"/>
      </w:pPr>
      <w:rPr>
        <w:rFonts w:ascii="Symbol" w:hAnsi="Symbol" w:hint="default"/>
        <w:sz w:val="18"/>
        <w:szCs w:val="18"/>
      </w:rPr>
    </w:lvl>
    <w:lvl w:ilvl="1" w:tplc="64A0E1F2">
      <w:start w:val="1"/>
      <w:numFmt w:val="bullet"/>
      <w:pStyle w:val="C42ndorderbullets"/>
      <w:lvlText w:val="○"/>
      <w:lvlJc w:val="left"/>
      <w:pPr>
        <w:ind w:left="454" w:hanging="284"/>
      </w:pPr>
      <w:rPr>
        <w:rFonts w:ascii="Arial" w:hAnsi="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223B9B"/>
    <w:multiLevelType w:val="hybridMultilevel"/>
    <w:tmpl w:val="26224C0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1E770D"/>
    <w:multiLevelType w:val="hybridMultilevel"/>
    <w:tmpl w:val="E3967EF4"/>
    <w:lvl w:ilvl="0" w:tplc="04090001">
      <w:start w:val="1"/>
      <w:numFmt w:val="bullet"/>
      <w:lvlText w:val=""/>
      <w:lvlJc w:val="left"/>
      <w:pPr>
        <w:ind w:left="540" w:hanging="360"/>
      </w:pPr>
      <w:rPr>
        <w:rFonts w:ascii="Symbol" w:hAnsi="Symbol" w:hint="default"/>
        <w:b w:val="0"/>
        <w:i w:val="0"/>
        <w:strike w:val="0"/>
        <w:color w:val="auto"/>
      </w:rPr>
    </w:lvl>
    <w:lvl w:ilvl="1" w:tplc="24CABE2A">
      <w:start w:val="1"/>
      <w:numFmt w:val="lowerRoman"/>
      <w:lvlText w:val="(%2)"/>
      <w:lvlJc w:val="left"/>
      <w:pPr>
        <w:ind w:left="1080" w:hanging="360"/>
      </w:pPr>
      <w:rPr>
        <w:rFonts w:ascii="Times New Roman" w:eastAsia="Times New Roman" w:hAnsi="Times New Roman" w:cs="Times New Roman"/>
      </w:rPr>
    </w:lvl>
    <w:lvl w:ilvl="2" w:tplc="1C09001B">
      <w:start w:val="1"/>
      <w:numFmt w:val="lowerRoman"/>
      <w:lvlText w:val="%3."/>
      <w:lvlJc w:val="right"/>
      <w:pPr>
        <w:ind w:left="1800" w:hanging="180"/>
      </w:pPr>
    </w:lvl>
    <w:lvl w:ilvl="3" w:tplc="16CE57B4">
      <w:start w:val="1"/>
      <w:numFmt w:val="decimal"/>
      <w:lvlText w:val="(%4)"/>
      <w:lvlJc w:val="left"/>
      <w:pPr>
        <w:ind w:left="2520" w:hanging="360"/>
      </w:pPr>
      <w:rPr>
        <w:rFonts w:hint="default"/>
      </w:r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2" w15:restartNumberingAfterBreak="0">
    <w:nsid w:val="18F64F31"/>
    <w:multiLevelType w:val="hybridMultilevel"/>
    <w:tmpl w:val="BCCA2B6E"/>
    <w:lvl w:ilvl="0" w:tplc="1C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3" w15:restartNumberingAfterBreak="0">
    <w:nsid w:val="1D492374"/>
    <w:multiLevelType w:val="hybridMultilevel"/>
    <w:tmpl w:val="C6AE8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EC25D8"/>
    <w:multiLevelType w:val="multilevel"/>
    <w:tmpl w:val="351E4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2A1444A"/>
    <w:multiLevelType w:val="hybridMultilevel"/>
    <w:tmpl w:val="26224C0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BC21A3"/>
    <w:multiLevelType w:val="hybridMultilevel"/>
    <w:tmpl w:val="2B28FBB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7" w15:restartNumberingAfterBreak="0">
    <w:nsid w:val="27E54283"/>
    <w:multiLevelType w:val="hybridMultilevel"/>
    <w:tmpl w:val="F2347B24"/>
    <w:lvl w:ilvl="0" w:tplc="B148C820">
      <w:start w:val="2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ED64AD"/>
    <w:multiLevelType w:val="hybridMultilevel"/>
    <w:tmpl w:val="FDD694AE"/>
    <w:lvl w:ilvl="0" w:tplc="6F1AA388">
      <w:start w:val="1"/>
      <w:numFmt w:val="decimal"/>
      <w:lvlText w:val="%1."/>
      <w:lvlJc w:val="left"/>
      <w:pPr>
        <w:ind w:left="360" w:hanging="360"/>
      </w:pPr>
      <w:rPr>
        <w:rFonts w:hint="default"/>
        <w:b w:val="0"/>
        <w:i w:val="0"/>
        <w:color w:val="auto"/>
      </w:rPr>
    </w:lvl>
    <w:lvl w:ilvl="1" w:tplc="04090001">
      <w:start w:val="1"/>
      <w:numFmt w:val="bullet"/>
      <w:lvlText w:val=""/>
      <w:lvlJc w:val="left"/>
      <w:pPr>
        <w:ind w:left="1080" w:hanging="360"/>
      </w:pPr>
      <w:rPr>
        <w:rFonts w:ascii="Symbol" w:hAnsi="Symbol" w:hint="default"/>
      </w:rPr>
    </w:lvl>
    <w:lvl w:ilvl="2" w:tplc="1C09001B">
      <w:start w:val="1"/>
      <w:numFmt w:val="lowerRoman"/>
      <w:lvlText w:val="%3."/>
      <w:lvlJc w:val="right"/>
      <w:pPr>
        <w:ind w:left="1800" w:hanging="180"/>
      </w:pPr>
    </w:lvl>
    <w:lvl w:ilvl="3" w:tplc="16CE57B4">
      <w:start w:val="1"/>
      <w:numFmt w:val="decimal"/>
      <w:lvlText w:val="(%4)"/>
      <w:lvlJc w:val="left"/>
      <w:pPr>
        <w:ind w:left="2520" w:hanging="360"/>
      </w:pPr>
      <w:rPr>
        <w:rFonts w:hint="default"/>
      </w:rPr>
    </w:lvl>
    <w:lvl w:ilvl="4" w:tplc="6026EEAE">
      <w:start w:val="1"/>
      <w:numFmt w:val="lowerRoman"/>
      <w:lvlText w:val="(%5)"/>
      <w:lvlJc w:val="left"/>
      <w:pPr>
        <w:ind w:left="3600" w:hanging="720"/>
      </w:pPr>
      <w:rPr>
        <w:rFonts w:hint="default"/>
      </w:r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9" w15:restartNumberingAfterBreak="0">
    <w:nsid w:val="28CD71FE"/>
    <w:multiLevelType w:val="hybridMultilevel"/>
    <w:tmpl w:val="B552B556"/>
    <w:lvl w:ilvl="0" w:tplc="0409001B">
      <w:start w:val="1"/>
      <w:numFmt w:val="lowerRoman"/>
      <w:lvlText w:val="%1."/>
      <w:lvlJc w:val="righ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0" w15:restartNumberingAfterBreak="0">
    <w:nsid w:val="2A7F00DB"/>
    <w:multiLevelType w:val="hybridMultilevel"/>
    <w:tmpl w:val="DDB05D9C"/>
    <w:lvl w:ilvl="0" w:tplc="B5785920">
      <w:start w:val="1"/>
      <w:numFmt w:val="bullet"/>
      <w:lvlText w:val=""/>
      <w:lvlJc w:val="left"/>
      <w:pPr>
        <w:ind w:left="-360" w:hanging="360"/>
      </w:pPr>
      <w:rPr>
        <w:rFonts w:ascii="Symbol" w:hAnsi="Symbol" w:hint="default"/>
        <w:color w:val="auto"/>
        <w:sz w:val="22"/>
        <w:szCs w:val="22"/>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1"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E065A91"/>
    <w:multiLevelType w:val="hybridMultilevel"/>
    <w:tmpl w:val="B4A217D4"/>
    <w:lvl w:ilvl="0" w:tplc="0409000F">
      <w:start w:val="1"/>
      <w:numFmt w:val="decimal"/>
      <w:lvlText w:val="%1."/>
      <w:lvlJc w:val="left"/>
      <w:pPr>
        <w:ind w:left="2340" w:hanging="360"/>
      </w:pPr>
    </w:lvl>
    <w:lvl w:ilvl="1" w:tplc="04090019" w:tentative="1">
      <w:start w:val="1"/>
      <w:numFmt w:val="lowerLetter"/>
      <w:lvlText w:val="%2."/>
      <w:lvlJc w:val="left"/>
      <w:pPr>
        <w:ind w:left="3060" w:hanging="360"/>
      </w:pPr>
    </w:lvl>
    <w:lvl w:ilvl="2" w:tplc="0409000F">
      <w:start w:val="1"/>
      <w:numFmt w:val="decimal"/>
      <w:lvlText w:val="%3."/>
      <w:lvlJc w:val="lef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3" w15:restartNumberingAfterBreak="0">
    <w:nsid w:val="3025436F"/>
    <w:multiLevelType w:val="hybridMultilevel"/>
    <w:tmpl w:val="66621C00"/>
    <w:lvl w:ilvl="0" w:tplc="ED20999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16237B3"/>
    <w:multiLevelType w:val="hybridMultilevel"/>
    <w:tmpl w:val="58729902"/>
    <w:lvl w:ilvl="0" w:tplc="79AA0C0E">
      <w:start w:val="1"/>
      <w:numFmt w:val="decimal"/>
      <w:pStyle w:val="NumberedParagraph"/>
      <w:lvlText w:val="%1."/>
      <w:lvlJc w:val="left"/>
      <w:pPr>
        <w:ind w:left="630" w:hanging="360"/>
      </w:pPr>
      <w:rPr>
        <w:rFonts w:hint="default"/>
        <w:b w:val="0"/>
        <w:i w:val="0"/>
        <w:strike w:val="0"/>
        <w:color w:val="auto"/>
      </w:rPr>
    </w:lvl>
    <w:lvl w:ilvl="1" w:tplc="24CABE2A">
      <w:start w:val="1"/>
      <w:numFmt w:val="lowerRoman"/>
      <w:lvlText w:val="(%2)"/>
      <w:lvlJc w:val="left"/>
      <w:pPr>
        <w:ind w:left="1080" w:hanging="360"/>
      </w:pPr>
      <w:rPr>
        <w:rFonts w:ascii="Times New Roman" w:eastAsia="Times New Roman" w:hAnsi="Times New Roman" w:cs="Times New Roman"/>
      </w:rPr>
    </w:lvl>
    <w:lvl w:ilvl="2" w:tplc="1C09001B">
      <w:start w:val="1"/>
      <w:numFmt w:val="lowerRoman"/>
      <w:lvlText w:val="%3."/>
      <w:lvlJc w:val="right"/>
      <w:pPr>
        <w:ind w:left="1800" w:hanging="180"/>
      </w:pPr>
    </w:lvl>
    <w:lvl w:ilvl="3" w:tplc="16CE57B4">
      <w:start w:val="1"/>
      <w:numFmt w:val="decimal"/>
      <w:lvlText w:val="(%4)"/>
      <w:lvlJc w:val="left"/>
      <w:pPr>
        <w:ind w:left="2520" w:hanging="360"/>
      </w:pPr>
      <w:rPr>
        <w:rFonts w:hint="default"/>
      </w:r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5" w15:restartNumberingAfterBreak="0">
    <w:nsid w:val="32994FC3"/>
    <w:multiLevelType w:val="hybridMultilevel"/>
    <w:tmpl w:val="4E5C8862"/>
    <w:lvl w:ilvl="0" w:tplc="0914A88A">
      <w:start w:val="1"/>
      <w:numFmt w:val="decimal"/>
      <w:pStyle w:val="Normalnum"/>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495710E"/>
    <w:multiLevelType w:val="hybridMultilevel"/>
    <w:tmpl w:val="E52663CE"/>
    <w:lvl w:ilvl="0" w:tplc="04090001">
      <w:start w:val="1"/>
      <w:numFmt w:val="bullet"/>
      <w:lvlText w:val=""/>
      <w:lvlJc w:val="left"/>
      <w:pPr>
        <w:ind w:left="540" w:hanging="360"/>
      </w:pPr>
      <w:rPr>
        <w:rFonts w:ascii="Symbol" w:hAnsi="Symbol" w:hint="default"/>
        <w:b w:val="0"/>
        <w:i w:val="0"/>
        <w:strike w:val="0"/>
        <w:color w:val="auto"/>
      </w:rPr>
    </w:lvl>
    <w:lvl w:ilvl="1" w:tplc="24CABE2A">
      <w:start w:val="1"/>
      <w:numFmt w:val="lowerRoman"/>
      <w:lvlText w:val="(%2)"/>
      <w:lvlJc w:val="left"/>
      <w:pPr>
        <w:ind w:left="1080" w:hanging="360"/>
      </w:pPr>
      <w:rPr>
        <w:rFonts w:ascii="Times New Roman" w:eastAsia="Times New Roman" w:hAnsi="Times New Roman" w:cs="Times New Roman"/>
      </w:rPr>
    </w:lvl>
    <w:lvl w:ilvl="2" w:tplc="1C09001B">
      <w:start w:val="1"/>
      <w:numFmt w:val="lowerRoman"/>
      <w:lvlText w:val="%3."/>
      <w:lvlJc w:val="right"/>
      <w:pPr>
        <w:ind w:left="1800" w:hanging="180"/>
      </w:pPr>
    </w:lvl>
    <w:lvl w:ilvl="3" w:tplc="16CE57B4">
      <w:start w:val="1"/>
      <w:numFmt w:val="decimal"/>
      <w:lvlText w:val="(%4)"/>
      <w:lvlJc w:val="left"/>
      <w:pPr>
        <w:ind w:left="2520" w:hanging="360"/>
      </w:pPr>
      <w:rPr>
        <w:rFonts w:hint="default"/>
      </w:r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7" w15:restartNumberingAfterBreak="0">
    <w:nsid w:val="35AD7839"/>
    <w:multiLevelType w:val="hybridMultilevel"/>
    <w:tmpl w:val="E5048188"/>
    <w:lvl w:ilvl="0" w:tplc="04090001">
      <w:start w:val="1"/>
      <w:numFmt w:val="bullet"/>
      <w:lvlText w:val=""/>
      <w:lvlJc w:val="left"/>
      <w:pPr>
        <w:ind w:left="540" w:hanging="360"/>
      </w:pPr>
      <w:rPr>
        <w:rFonts w:ascii="Symbol" w:hAnsi="Symbol" w:hint="default"/>
        <w:b w:val="0"/>
        <w:i w:val="0"/>
        <w:strike w:val="0"/>
        <w:color w:val="auto"/>
      </w:rPr>
    </w:lvl>
    <w:lvl w:ilvl="1" w:tplc="24CABE2A">
      <w:start w:val="1"/>
      <w:numFmt w:val="lowerRoman"/>
      <w:lvlText w:val="(%2)"/>
      <w:lvlJc w:val="left"/>
      <w:pPr>
        <w:ind w:left="1080" w:hanging="360"/>
      </w:pPr>
      <w:rPr>
        <w:rFonts w:ascii="Times New Roman" w:eastAsia="Times New Roman" w:hAnsi="Times New Roman" w:cs="Times New Roman"/>
      </w:rPr>
    </w:lvl>
    <w:lvl w:ilvl="2" w:tplc="1C09001B">
      <w:start w:val="1"/>
      <w:numFmt w:val="lowerRoman"/>
      <w:lvlText w:val="%3."/>
      <w:lvlJc w:val="right"/>
      <w:pPr>
        <w:ind w:left="1800" w:hanging="180"/>
      </w:pPr>
    </w:lvl>
    <w:lvl w:ilvl="3" w:tplc="16CE57B4">
      <w:start w:val="1"/>
      <w:numFmt w:val="decimal"/>
      <w:lvlText w:val="(%4)"/>
      <w:lvlJc w:val="left"/>
      <w:pPr>
        <w:ind w:left="2520" w:hanging="360"/>
      </w:pPr>
      <w:rPr>
        <w:rFonts w:hint="default"/>
      </w:r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8" w15:restartNumberingAfterBreak="0">
    <w:nsid w:val="369B0D01"/>
    <w:multiLevelType w:val="hybridMultilevel"/>
    <w:tmpl w:val="B552B556"/>
    <w:lvl w:ilvl="0" w:tplc="0409001B">
      <w:start w:val="1"/>
      <w:numFmt w:val="lowerRoman"/>
      <w:lvlText w:val="%1."/>
      <w:lvlJc w:val="righ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9"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webHidden w:val="0"/>
        <w:color w:val="auto"/>
        <w:sz w:val="22"/>
        <w:u w:val="none"/>
        <w:effect w:val="none"/>
        <w:vertAlign w:val="baseline"/>
        <w:specVanish w:val="0"/>
      </w:rPr>
    </w:lvl>
    <w:lvl w:ilvl="1" w:tplc="04090019">
      <w:start w:val="1"/>
      <w:numFmt w:val="lowerLetter"/>
      <w:lvlText w:val="%2."/>
      <w:lvlJc w:val="left"/>
      <w:pPr>
        <w:ind w:left="2007" w:hanging="360"/>
      </w:pPr>
    </w:lvl>
    <w:lvl w:ilvl="2" w:tplc="0409001B">
      <w:start w:val="1"/>
      <w:numFmt w:val="lowerRoman"/>
      <w:lvlText w:val="%3."/>
      <w:lvlJc w:val="right"/>
      <w:pPr>
        <w:ind w:left="2727" w:hanging="180"/>
      </w:pPr>
    </w:lvl>
    <w:lvl w:ilvl="3" w:tplc="0409000F">
      <w:start w:val="1"/>
      <w:numFmt w:val="decimal"/>
      <w:lvlText w:val="%4."/>
      <w:lvlJc w:val="left"/>
      <w:pPr>
        <w:ind w:left="3447" w:hanging="360"/>
      </w:pPr>
    </w:lvl>
    <w:lvl w:ilvl="4" w:tplc="04090019">
      <w:start w:val="1"/>
      <w:numFmt w:val="lowerLetter"/>
      <w:lvlText w:val="%5."/>
      <w:lvlJc w:val="left"/>
      <w:pPr>
        <w:ind w:left="4167" w:hanging="360"/>
      </w:pPr>
    </w:lvl>
    <w:lvl w:ilvl="5" w:tplc="0409001B">
      <w:start w:val="1"/>
      <w:numFmt w:val="lowerRoman"/>
      <w:lvlText w:val="%6."/>
      <w:lvlJc w:val="right"/>
      <w:pPr>
        <w:ind w:left="4887" w:hanging="180"/>
      </w:pPr>
    </w:lvl>
    <w:lvl w:ilvl="6" w:tplc="0409000F">
      <w:start w:val="1"/>
      <w:numFmt w:val="decimal"/>
      <w:lvlText w:val="%7."/>
      <w:lvlJc w:val="left"/>
      <w:pPr>
        <w:ind w:left="5607" w:hanging="360"/>
      </w:pPr>
    </w:lvl>
    <w:lvl w:ilvl="7" w:tplc="04090019">
      <w:start w:val="1"/>
      <w:numFmt w:val="lowerLetter"/>
      <w:lvlText w:val="%8."/>
      <w:lvlJc w:val="left"/>
      <w:pPr>
        <w:ind w:left="6327" w:hanging="360"/>
      </w:pPr>
    </w:lvl>
    <w:lvl w:ilvl="8" w:tplc="0409001B">
      <w:start w:val="1"/>
      <w:numFmt w:val="lowerRoman"/>
      <w:lvlText w:val="%9."/>
      <w:lvlJc w:val="right"/>
      <w:pPr>
        <w:ind w:left="7047" w:hanging="180"/>
      </w:pPr>
    </w:lvl>
  </w:abstractNum>
  <w:abstractNum w:abstractNumId="30" w15:restartNumberingAfterBreak="0">
    <w:nsid w:val="3A1B5822"/>
    <w:multiLevelType w:val="hybridMultilevel"/>
    <w:tmpl w:val="8E5CF8D4"/>
    <w:lvl w:ilvl="0" w:tplc="04090001">
      <w:start w:val="1"/>
      <w:numFmt w:val="bullet"/>
      <w:lvlText w:val=""/>
      <w:lvlJc w:val="left"/>
      <w:pPr>
        <w:ind w:left="1714" w:hanging="360"/>
      </w:pPr>
      <w:rPr>
        <w:rFonts w:ascii="Symbol" w:hAnsi="Symbol" w:hint="default"/>
      </w:rPr>
    </w:lvl>
    <w:lvl w:ilvl="1" w:tplc="04090003" w:tentative="1">
      <w:start w:val="1"/>
      <w:numFmt w:val="bullet"/>
      <w:lvlText w:val="o"/>
      <w:lvlJc w:val="left"/>
      <w:pPr>
        <w:ind w:left="2434" w:hanging="360"/>
      </w:pPr>
      <w:rPr>
        <w:rFonts w:ascii="Courier New" w:hAnsi="Courier New" w:cs="Courier New" w:hint="default"/>
      </w:rPr>
    </w:lvl>
    <w:lvl w:ilvl="2" w:tplc="04090005" w:tentative="1">
      <w:start w:val="1"/>
      <w:numFmt w:val="bullet"/>
      <w:lvlText w:val=""/>
      <w:lvlJc w:val="left"/>
      <w:pPr>
        <w:ind w:left="3154" w:hanging="360"/>
      </w:pPr>
      <w:rPr>
        <w:rFonts w:ascii="Wingdings" w:hAnsi="Wingdings" w:hint="default"/>
      </w:rPr>
    </w:lvl>
    <w:lvl w:ilvl="3" w:tplc="04090001" w:tentative="1">
      <w:start w:val="1"/>
      <w:numFmt w:val="bullet"/>
      <w:lvlText w:val=""/>
      <w:lvlJc w:val="left"/>
      <w:pPr>
        <w:ind w:left="3874" w:hanging="360"/>
      </w:pPr>
      <w:rPr>
        <w:rFonts w:ascii="Symbol" w:hAnsi="Symbol" w:hint="default"/>
      </w:rPr>
    </w:lvl>
    <w:lvl w:ilvl="4" w:tplc="04090003" w:tentative="1">
      <w:start w:val="1"/>
      <w:numFmt w:val="bullet"/>
      <w:lvlText w:val="o"/>
      <w:lvlJc w:val="left"/>
      <w:pPr>
        <w:ind w:left="4594" w:hanging="360"/>
      </w:pPr>
      <w:rPr>
        <w:rFonts w:ascii="Courier New" w:hAnsi="Courier New" w:cs="Courier New" w:hint="default"/>
      </w:rPr>
    </w:lvl>
    <w:lvl w:ilvl="5" w:tplc="04090005" w:tentative="1">
      <w:start w:val="1"/>
      <w:numFmt w:val="bullet"/>
      <w:lvlText w:val=""/>
      <w:lvlJc w:val="left"/>
      <w:pPr>
        <w:ind w:left="5314" w:hanging="360"/>
      </w:pPr>
      <w:rPr>
        <w:rFonts w:ascii="Wingdings" w:hAnsi="Wingdings" w:hint="default"/>
      </w:rPr>
    </w:lvl>
    <w:lvl w:ilvl="6" w:tplc="04090001" w:tentative="1">
      <w:start w:val="1"/>
      <w:numFmt w:val="bullet"/>
      <w:lvlText w:val=""/>
      <w:lvlJc w:val="left"/>
      <w:pPr>
        <w:ind w:left="6034" w:hanging="360"/>
      </w:pPr>
      <w:rPr>
        <w:rFonts w:ascii="Symbol" w:hAnsi="Symbol" w:hint="default"/>
      </w:rPr>
    </w:lvl>
    <w:lvl w:ilvl="7" w:tplc="04090003" w:tentative="1">
      <w:start w:val="1"/>
      <w:numFmt w:val="bullet"/>
      <w:lvlText w:val="o"/>
      <w:lvlJc w:val="left"/>
      <w:pPr>
        <w:ind w:left="6754" w:hanging="360"/>
      </w:pPr>
      <w:rPr>
        <w:rFonts w:ascii="Courier New" w:hAnsi="Courier New" w:cs="Courier New" w:hint="default"/>
      </w:rPr>
    </w:lvl>
    <w:lvl w:ilvl="8" w:tplc="04090005" w:tentative="1">
      <w:start w:val="1"/>
      <w:numFmt w:val="bullet"/>
      <w:lvlText w:val=""/>
      <w:lvlJc w:val="left"/>
      <w:pPr>
        <w:ind w:left="7474" w:hanging="360"/>
      </w:pPr>
      <w:rPr>
        <w:rFonts w:ascii="Wingdings" w:hAnsi="Wingdings" w:hint="default"/>
      </w:rPr>
    </w:lvl>
  </w:abstractNum>
  <w:abstractNum w:abstractNumId="31" w15:restartNumberingAfterBreak="0">
    <w:nsid w:val="3C13557D"/>
    <w:multiLevelType w:val="multilevel"/>
    <w:tmpl w:val="0EA4004A"/>
    <w:lvl w:ilvl="0">
      <w:start w:val="1"/>
      <w:numFmt w:val="bullet"/>
      <w:lvlText w:val=""/>
      <w:lvlJc w:val="left"/>
      <w:pPr>
        <w:ind w:left="360" w:hanging="360"/>
      </w:pPr>
      <w:rPr>
        <w:rFonts w:ascii="Symbol" w:hAnsi="Symbol" w:cs="Symbol" w:hint="default"/>
        <w:sz w:val="20"/>
        <w:szCs w:val="20"/>
      </w:rPr>
    </w:lvl>
    <w:lvl w:ilvl="1">
      <w:start w:val="1"/>
      <w:numFmt w:val="bullet"/>
      <w:lvlText w:val=""/>
      <w:lvlJc w:val="left"/>
      <w:pPr>
        <w:ind w:left="340" w:hanging="340"/>
      </w:pPr>
      <w:rPr>
        <w:rFonts w:ascii="Symbol" w:hAnsi="Symbol" w:hint="default"/>
      </w:rPr>
    </w:lvl>
    <w:lvl w:ilvl="2">
      <w:start w:val="1"/>
      <w:numFmt w:val="decimal"/>
      <w:lvlText w:val="%3."/>
      <w:lvlJc w:val="left"/>
      <w:pPr>
        <w:tabs>
          <w:tab w:val="num" w:pos="720"/>
        </w:tabs>
        <w:ind w:left="72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32" w15:restartNumberingAfterBreak="0">
    <w:nsid w:val="43887BC9"/>
    <w:multiLevelType w:val="multilevel"/>
    <w:tmpl w:val="21204D2C"/>
    <w:lvl w:ilvl="0">
      <w:start w:val="1"/>
      <w:numFmt w:val="bullet"/>
      <w:lvlRestart w:val="0"/>
      <w:lvlText w:val=""/>
      <w:lvlJc w:val="left"/>
      <w:pPr>
        <w:ind w:left="283" w:hanging="283"/>
      </w:pPr>
      <w:rPr>
        <w:rFonts w:ascii="Symbol" w:hAnsi="Symbol" w:hint="default"/>
        <w:color w:val="auto"/>
      </w:rPr>
    </w:lvl>
    <w:lvl w:ilvl="1">
      <w:start w:val="1"/>
      <w:numFmt w:val="bullet"/>
      <w:lvlText w:val="◦"/>
      <w:lvlJc w:val="left"/>
      <w:pPr>
        <w:ind w:left="720" w:hanging="363"/>
      </w:pPr>
      <w:rPr>
        <w:rFonts w:ascii="Sylfaen" w:hAnsi="Sylfaen"/>
        <w:color w:val="auto"/>
        <w:sz w:val="22"/>
      </w:rPr>
    </w:lvl>
    <w:lvl w:ilvl="2">
      <w:start w:val="1"/>
      <w:numFmt w:val="lowerRoman"/>
      <w:lvlText w:val="%3)"/>
      <w:lvlJc w:val="left"/>
      <w:pPr>
        <w:ind w:left="1077" w:hanging="357"/>
      </w:pPr>
    </w:lvl>
    <w:lvl w:ilvl="3">
      <w:start w:val="1"/>
      <w:numFmt w:val="decimal"/>
      <w:lvlText w:val="(%4)"/>
      <w:lvlJc w:val="left"/>
      <w:pPr>
        <w:ind w:left="1440" w:hanging="363"/>
      </w:pPr>
    </w:lvl>
    <w:lvl w:ilvl="4">
      <w:start w:val="1"/>
      <w:numFmt w:val="lowerLetter"/>
      <w:lvlText w:val="(%5)"/>
      <w:lvlJc w:val="left"/>
      <w:pPr>
        <w:ind w:left="1797" w:hanging="357"/>
      </w:pPr>
    </w:lvl>
    <w:lvl w:ilvl="5">
      <w:start w:val="1"/>
      <w:numFmt w:val="lowerRoman"/>
      <w:lvlText w:val="(%6)"/>
      <w:lvlJc w:val="left"/>
      <w:pPr>
        <w:ind w:left="2160" w:hanging="363"/>
      </w:pPr>
    </w:lvl>
    <w:lvl w:ilvl="6">
      <w:start w:val="1"/>
      <w:numFmt w:val="decimal"/>
      <w:lvlText w:val="%7."/>
      <w:lvlJc w:val="left"/>
      <w:pPr>
        <w:ind w:left="2517" w:hanging="357"/>
      </w:pPr>
    </w:lvl>
    <w:lvl w:ilvl="7">
      <w:start w:val="1"/>
      <w:numFmt w:val="lowerLetter"/>
      <w:lvlText w:val="%8."/>
      <w:lvlJc w:val="left"/>
      <w:pPr>
        <w:ind w:left="2880" w:hanging="363"/>
      </w:pPr>
    </w:lvl>
    <w:lvl w:ilvl="8">
      <w:start w:val="1"/>
      <w:numFmt w:val="lowerRoman"/>
      <w:lvlText w:val="%9."/>
      <w:lvlJc w:val="left"/>
      <w:pPr>
        <w:ind w:left="3237" w:hanging="357"/>
      </w:pPr>
    </w:lvl>
  </w:abstractNum>
  <w:abstractNum w:abstractNumId="33" w15:restartNumberingAfterBreak="0">
    <w:nsid w:val="4AAA0EF5"/>
    <w:multiLevelType w:val="hybridMultilevel"/>
    <w:tmpl w:val="082E4DB6"/>
    <w:lvl w:ilvl="0" w:tplc="58BECB2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AF85836"/>
    <w:multiLevelType w:val="hybridMultilevel"/>
    <w:tmpl w:val="BFEC5F64"/>
    <w:lvl w:ilvl="0" w:tplc="DB4A6388">
      <w:start w:val="1"/>
      <w:numFmt w:val="bullet"/>
      <w:lvlText w:val=""/>
      <w:lvlJc w:val="left"/>
      <w:pPr>
        <w:ind w:left="340" w:hanging="34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CE07A91"/>
    <w:multiLevelType w:val="multilevel"/>
    <w:tmpl w:val="D5AE2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0E7703B"/>
    <w:multiLevelType w:val="hybridMultilevel"/>
    <w:tmpl w:val="044065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4DF3AA2"/>
    <w:multiLevelType w:val="hybridMultilevel"/>
    <w:tmpl w:val="4FBA1554"/>
    <w:lvl w:ilvl="0" w:tplc="5BB48D7A">
      <w:start w:val="1"/>
      <w:numFmt w:val="bullet"/>
      <w:lvlText w:val=""/>
      <w:lvlJc w:val="left"/>
      <w:pPr>
        <w:ind w:left="907" w:hanging="34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8" w15:restartNumberingAfterBreak="0">
    <w:nsid w:val="592F3B46"/>
    <w:multiLevelType w:val="hybridMultilevel"/>
    <w:tmpl w:val="36D0299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DE72067"/>
    <w:multiLevelType w:val="multilevel"/>
    <w:tmpl w:val="86863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0CB23C2"/>
    <w:multiLevelType w:val="hybridMultilevel"/>
    <w:tmpl w:val="E7D808AE"/>
    <w:lvl w:ilvl="0" w:tplc="04090001">
      <w:start w:val="1"/>
      <w:numFmt w:val="bullet"/>
      <w:lvlText w:val=""/>
      <w:lvlJc w:val="left"/>
      <w:pPr>
        <w:ind w:left="540" w:hanging="360"/>
      </w:pPr>
      <w:rPr>
        <w:rFonts w:ascii="Symbol" w:hAnsi="Symbol" w:hint="default"/>
        <w:b w:val="0"/>
        <w:i w:val="0"/>
        <w:strike w:val="0"/>
        <w:color w:val="auto"/>
      </w:rPr>
    </w:lvl>
    <w:lvl w:ilvl="1" w:tplc="24CABE2A">
      <w:start w:val="1"/>
      <w:numFmt w:val="lowerRoman"/>
      <w:lvlText w:val="(%2)"/>
      <w:lvlJc w:val="left"/>
      <w:pPr>
        <w:ind w:left="1080" w:hanging="360"/>
      </w:pPr>
      <w:rPr>
        <w:rFonts w:ascii="Times New Roman" w:eastAsia="Times New Roman" w:hAnsi="Times New Roman" w:cs="Times New Roman"/>
      </w:rPr>
    </w:lvl>
    <w:lvl w:ilvl="2" w:tplc="1C09001B">
      <w:start w:val="1"/>
      <w:numFmt w:val="lowerRoman"/>
      <w:lvlText w:val="%3."/>
      <w:lvlJc w:val="right"/>
      <w:pPr>
        <w:ind w:left="1800" w:hanging="180"/>
      </w:pPr>
    </w:lvl>
    <w:lvl w:ilvl="3" w:tplc="16CE57B4">
      <w:start w:val="1"/>
      <w:numFmt w:val="decimal"/>
      <w:lvlText w:val="(%4)"/>
      <w:lvlJc w:val="left"/>
      <w:pPr>
        <w:ind w:left="2520" w:hanging="360"/>
      </w:pPr>
      <w:rPr>
        <w:rFonts w:hint="default"/>
      </w:r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1" w15:restartNumberingAfterBreak="0">
    <w:nsid w:val="623E2498"/>
    <w:multiLevelType w:val="hybridMultilevel"/>
    <w:tmpl w:val="4C0CD4AC"/>
    <w:lvl w:ilvl="0" w:tplc="5E9AC1DA">
      <w:start w:val="1"/>
      <w:numFmt w:val="bullet"/>
      <w:lvlText w:val="•"/>
      <w:lvlJc w:val="left"/>
      <w:pPr>
        <w:tabs>
          <w:tab w:val="num" w:pos="720"/>
        </w:tabs>
        <w:ind w:left="720" w:hanging="360"/>
      </w:pPr>
      <w:rPr>
        <w:rFonts w:ascii="Arial" w:hAnsi="Arial" w:hint="default"/>
      </w:rPr>
    </w:lvl>
    <w:lvl w:ilvl="1" w:tplc="4C8AC98C" w:tentative="1">
      <w:start w:val="1"/>
      <w:numFmt w:val="bullet"/>
      <w:lvlText w:val="•"/>
      <w:lvlJc w:val="left"/>
      <w:pPr>
        <w:tabs>
          <w:tab w:val="num" w:pos="1440"/>
        </w:tabs>
        <w:ind w:left="1440" w:hanging="360"/>
      </w:pPr>
      <w:rPr>
        <w:rFonts w:ascii="Arial" w:hAnsi="Arial" w:hint="default"/>
      </w:rPr>
    </w:lvl>
    <w:lvl w:ilvl="2" w:tplc="BBDC9894" w:tentative="1">
      <w:start w:val="1"/>
      <w:numFmt w:val="bullet"/>
      <w:lvlText w:val="•"/>
      <w:lvlJc w:val="left"/>
      <w:pPr>
        <w:tabs>
          <w:tab w:val="num" w:pos="2160"/>
        </w:tabs>
        <w:ind w:left="2160" w:hanging="360"/>
      </w:pPr>
      <w:rPr>
        <w:rFonts w:ascii="Arial" w:hAnsi="Arial" w:hint="default"/>
      </w:rPr>
    </w:lvl>
    <w:lvl w:ilvl="3" w:tplc="0554A72A" w:tentative="1">
      <w:start w:val="1"/>
      <w:numFmt w:val="bullet"/>
      <w:lvlText w:val="•"/>
      <w:lvlJc w:val="left"/>
      <w:pPr>
        <w:tabs>
          <w:tab w:val="num" w:pos="2880"/>
        </w:tabs>
        <w:ind w:left="2880" w:hanging="360"/>
      </w:pPr>
      <w:rPr>
        <w:rFonts w:ascii="Arial" w:hAnsi="Arial" w:hint="default"/>
      </w:rPr>
    </w:lvl>
    <w:lvl w:ilvl="4" w:tplc="91063724" w:tentative="1">
      <w:start w:val="1"/>
      <w:numFmt w:val="bullet"/>
      <w:lvlText w:val="•"/>
      <w:lvlJc w:val="left"/>
      <w:pPr>
        <w:tabs>
          <w:tab w:val="num" w:pos="3600"/>
        </w:tabs>
        <w:ind w:left="3600" w:hanging="360"/>
      </w:pPr>
      <w:rPr>
        <w:rFonts w:ascii="Arial" w:hAnsi="Arial" w:hint="default"/>
      </w:rPr>
    </w:lvl>
    <w:lvl w:ilvl="5" w:tplc="C88E7E8E" w:tentative="1">
      <w:start w:val="1"/>
      <w:numFmt w:val="bullet"/>
      <w:lvlText w:val="•"/>
      <w:lvlJc w:val="left"/>
      <w:pPr>
        <w:tabs>
          <w:tab w:val="num" w:pos="4320"/>
        </w:tabs>
        <w:ind w:left="4320" w:hanging="360"/>
      </w:pPr>
      <w:rPr>
        <w:rFonts w:ascii="Arial" w:hAnsi="Arial" w:hint="default"/>
      </w:rPr>
    </w:lvl>
    <w:lvl w:ilvl="6" w:tplc="9B988ABC" w:tentative="1">
      <w:start w:val="1"/>
      <w:numFmt w:val="bullet"/>
      <w:lvlText w:val="•"/>
      <w:lvlJc w:val="left"/>
      <w:pPr>
        <w:tabs>
          <w:tab w:val="num" w:pos="5040"/>
        </w:tabs>
        <w:ind w:left="5040" w:hanging="360"/>
      </w:pPr>
      <w:rPr>
        <w:rFonts w:ascii="Arial" w:hAnsi="Arial" w:hint="default"/>
      </w:rPr>
    </w:lvl>
    <w:lvl w:ilvl="7" w:tplc="C27EFA8A" w:tentative="1">
      <w:start w:val="1"/>
      <w:numFmt w:val="bullet"/>
      <w:lvlText w:val="•"/>
      <w:lvlJc w:val="left"/>
      <w:pPr>
        <w:tabs>
          <w:tab w:val="num" w:pos="5760"/>
        </w:tabs>
        <w:ind w:left="5760" w:hanging="360"/>
      </w:pPr>
      <w:rPr>
        <w:rFonts w:ascii="Arial" w:hAnsi="Arial" w:hint="default"/>
      </w:rPr>
    </w:lvl>
    <w:lvl w:ilvl="8" w:tplc="19C64A9A"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62D02034"/>
    <w:multiLevelType w:val="hybridMultilevel"/>
    <w:tmpl w:val="224E6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32D0321"/>
    <w:multiLevelType w:val="hybridMultilevel"/>
    <w:tmpl w:val="8E62C12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4B366B1"/>
    <w:multiLevelType w:val="hybridMultilevel"/>
    <w:tmpl w:val="B4F47D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A150391"/>
    <w:multiLevelType w:val="hybridMultilevel"/>
    <w:tmpl w:val="08D87F86"/>
    <w:lvl w:ilvl="0" w:tplc="04090001">
      <w:start w:val="1"/>
      <w:numFmt w:val="bullet"/>
      <w:lvlText w:val=""/>
      <w:lvlJc w:val="left"/>
      <w:pPr>
        <w:ind w:left="540" w:hanging="360"/>
      </w:pPr>
      <w:rPr>
        <w:rFonts w:ascii="Symbol" w:hAnsi="Symbol" w:hint="default"/>
        <w:b w:val="0"/>
        <w:i w:val="0"/>
        <w:strike w:val="0"/>
        <w:color w:val="auto"/>
      </w:rPr>
    </w:lvl>
    <w:lvl w:ilvl="1" w:tplc="24CABE2A">
      <w:start w:val="1"/>
      <w:numFmt w:val="lowerRoman"/>
      <w:lvlText w:val="(%2)"/>
      <w:lvlJc w:val="left"/>
      <w:pPr>
        <w:ind w:left="1080" w:hanging="360"/>
      </w:pPr>
      <w:rPr>
        <w:rFonts w:ascii="Times New Roman" w:eastAsia="Times New Roman" w:hAnsi="Times New Roman" w:cs="Times New Roman"/>
      </w:rPr>
    </w:lvl>
    <w:lvl w:ilvl="2" w:tplc="1C09001B">
      <w:start w:val="1"/>
      <w:numFmt w:val="lowerRoman"/>
      <w:lvlText w:val="%3."/>
      <w:lvlJc w:val="right"/>
      <w:pPr>
        <w:ind w:left="1800" w:hanging="180"/>
      </w:pPr>
    </w:lvl>
    <w:lvl w:ilvl="3" w:tplc="16CE57B4">
      <w:start w:val="1"/>
      <w:numFmt w:val="decimal"/>
      <w:lvlText w:val="(%4)"/>
      <w:lvlJc w:val="left"/>
      <w:pPr>
        <w:ind w:left="2520" w:hanging="360"/>
      </w:pPr>
      <w:rPr>
        <w:rFonts w:hint="default"/>
      </w:r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6" w15:restartNumberingAfterBreak="0">
    <w:nsid w:val="6D245B40"/>
    <w:multiLevelType w:val="hybridMultilevel"/>
    <w:tmpl w:val="FFA4FCB6"/>
    <w:lvl w:ilvl="0" w:tplc="04090001">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06A735A"/>
    <w:multiLevelType w:val="hybridMultilevel"/>
    <w:tmpl w:val="5414F776"/>
    <w:lvl w:ilvl="0" w:tplc="0409000B">
      <w:start w:val="1"/>
      <w:numFmt w:val="bullet"/>
      <w:lvlText w:val=""/>
      <w:lvlJc w:val="left"/>
      <w:pPr>
        <w:ind w:left="-360" w:hanging="360"/>
      </w:pPr>
      <w:rPr>
        <w:rFonts w:ascii="Wingdings" w:hAnsi="Wingdings" w:hint="default"/>
        <w:sz w:val="22"/>
        <w:szCs w:val="22"/>
      </w:rPr>
    </w:lvl>
    <w:lvl w:ilvl="1" w:tplc="04090019">
      <w:start w:val="1"/>
      <w:numFmt w:val="lowerLetter"/>
      <w:lvlText w:val="%2."/>
      <w:lvlJc w:val="left"/>
      <w:pPr>
        <w:ind w:left="360" w:hanging="360"/>
      </w:pPr>
    </w:lvl>
    <w:lvl w:ilvl="2" w:tplc="7FD2F8E0">
      <w:start w:val="1"/>
      <w:numFmt w:val="decimal"/>
      <w:lvlText w:val="%3."/>
      <w:lvlJc w:val="left"/>
      <w:pPr>
        <w:ind w:left="1260" w:hanging="360"/>
      </w:pPr>
      <w:rPr>
        <w:rFonts w:hint="default"/>
      </w:rPr>
    </w:lvl>
    <w:lvl w:ilvl="3" w:tplc="086A2AFE">
      <w:start w:val="2"/>
      <w:numFmt w:val="bullet"/>
      <w:lvlText w:val="-"/>
      <w:lvlJc w:val="left"/>
      <w:pPr>
        <w:ind w:left="1800" w:hanging="360"/>
      </w:pPr>
      <w:rPr>
        <w:rFonts w:ascii="Times New Roman" w:eastAsia="Times New Roman" w:hAnsi="Times New Roman" w:cs="Times New Roman" w:hint="default"/>
        <w:i w:val="0"/>
      </w:r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8" w15:restartNumberingAfterBreak="0">
    <w:nsid w:val="70AB24A4"/>
    <w:multiLevelType w:val="hybridMultilevel"/>
    <w:tmpl w:val="3356FA0E"/>
    <w:lvl w:ilvl="0" w:tplc="9D868A5E">
      <w:start w:val="1"/>
      <w:numFmt w:val="decimal"/>
      <w:pStyle w:val="C4NumberedList"/>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1841E3E"/>
    <w:multiLevelType w:val="hybridMultilevel"/>
    <w:tmpl w:val="087487CA"/>
    <w:lvl w:ilvl="0" w:tplc="04090001">
      <w:start w:val="1"/>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0" w15:restartNumberingAfterBreak="0">
    <w:nsid w:val="74A80F5F"/>
    <w:multiLevelType w:val="multilevel"/>
    <w:tmpl w:val="F3F488FE"/>
    <w:lvl w:ilvl="0">
      <w:start w:val="1"/>
      <w:numFmt w:val="decimal"/>
      <w:lvlText w:val="%1."/>
      <w:lvlJc w:val="left"/>
      <w:pPr>
        <w:ind w:left="360" w:hanging="360"/>
      </w:pPr>
      <w:rPr>
        <w:rFonts w:hint="default"/>
      </w:rPr>
    </w:lvl>
    <w:lvl w:ilvl="1">
      <w:start w:val="1"/>
      <w:numFmt w:val="decimal"/>
      <w:pStyle w:val="Heading2"/>
      <w:lvlText w:val="%1.%2."/>
      <w:lvlJc w:val="left"/>
      <w:pPr>
        <w:ind w:left="340" w:hanging="340"/>
      </w:pPr>
      <w:rPr>
        <w:rFonts w:hint="default"/>
      </w:rPr>
    </w:lvl>
    <w:lvl w:ilvl="2">
      <w:start w:val="1"/>
      <w:numFmt w:val="decimal"/>
      <w:pStyle w:val="Heading3"/>
      <w:lvlText w:val="%1.%2.%3."/>
      <w:lvlJc w:val="left"/>
      <w:pPr>
        <w:ind w:left="907" w:hanging="907"/>
      </w:pPr>
      <w:rPr>
        <w:rFonts w:hint="default"/>
        <w:sz w:val="22"/>
        <w:szCs w:val="22"/>
      </w:rPr>
    </w:lvl>
    <w:lvl w:ilvl="3">
      <w:start w:val="1"/>
      <w:numFmt w:val="decimal"/>
      <w:lvlText w:val="%1.%2.%3.%4."/>
      <w:lvlJc w:val="left"/>
      <w:pPr>
        <w:ind w:left="1134" w:hanging="1134"/>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50A5F62"/>
    <w:multiLevelType w:val="hybridMultilevel"/>
    <w:tmpl w:val="63923E1A"/>
    <w:lvl w:ilvl="0" w:tplc="88907396">
      <w:start w:val="1"/>
      <w:numFmt w:val="decimal"/>
      <w:pStyle w:val="numbered"/>
      <w:lvlText w:val="%1."/>
      <w:lvlJc w:val="left"/>
      <w:pPr>
        <w:ind w:left="720" w:hanging="360"/>
      </w:pPr>
      <w:rPr>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79F465B7"/>
    <w:multiLevelType w:val="multilevel"/>
    <w:tmpl w:val="2994835E"/>
    <w:lvl w:ilvl="0">
      <w:start w:val="1"/>
      <w:numFmt w:val="decimal"/>
      <w:lvlText w:val="%1."/>
      <w:lvlJc w:val="left"/>
      <w:pPr>
        <w:ind w:left="360" w:hanging="360"/>
      </w:pPr>
      <w:rPr>
        <w:rFonts w:hint="default"/>
      </w:rPr>
    </w:lvl>
    <w:lvl w:ilvl="1">
      <w:start w:val="1"/>
      <w:numFmt w:val="decimal"/>
      <w:pStyle w:val="Title"/>
      <w:lvlText w:val="%1.%2."/>
      <w:lvlJc w:val="left"/>
      <w:pPr>
        <w:ind w:left="720" w:hanging="720"/>
      </w:pPr>
      <w:rPr>
        <w:rFonts w:hint="default"/>
      </w:rPr>
    </w:lvl>
    <w:lvl w:ilvl="2">
      <w:start w:val="1"/>
      <w:numFmt w:val="decimal"/>
      <w:pStyle w:val="Heading4mod"/>
      <w:lvlText w:val="%3.3.2.1."/>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50"/>
  </w:num>
  <w:num w:numId="2">
    <w:abstractNumId w:val="24"/>
  </w:num>
  <w:num w:numId="3">
    <w:abstractNumId w:val="37"/>
  </w:num>
  <w:num w:numId="4">
    <w:abstractNumId w:val="34"/>
  </w:num>
  <w:num w:numId="5">
    <w:abstractNumId w:val="31"/>
  </w:num>
  <w:num w:numId="6">
    <w:abstractNumId w:val="25"/>
  </w:num>
  <w:num w:numId="7">
    <w:abstractNumId w:val="52"/>
  </w:num>
  <w:num w:numId="8">
    <w:abstractNumId w:val="51"/>
  </w:num>
  <w:num w:numId="9">
    <w:abstractNumId w:val="49"/>
  </w:num>
  <w:num w:numId="10">
    <w:abstractNumId w:val="4"/>
  </w:num>
  <w:num w:numId="11">
    <w:abstractNumId w:val="9"/>
  </w:num>
  <w:num w:numId="12">
    <w:abstractNumId w:val="48"/>
  </w:num>
  <w:num w:numId="13">
    <w:abstractNumId w:val="21"/>
  </w:num>
  <w:num w:numId="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17"/>
  </w:num>
  <w:num w:numId="17">
    <w:abstractNumId w:val="6"/>
  </w:num>
  <w:num w:numId="18">
    <w:abstractNumId w:val="18"/>
  </w:num>
  <w:num w:numId="19">
    <w:abstractNumId w:val="13"/>
  </w:num>
  <w:num w:numId="20">
    <w:abstractNumId w:val="30"/>
  </w:num>
  <w:num w:numId="21">
    <w:abstractNumId w:val="7"/>
  </w:num>
  <w:num w:numId="22">
    <w:abstractNumId w:val="19"/>
  </w:num>
  <w:num w:numId="23">
    <w:abstractNumId w:val="15"/>
  </w:num>
  <w:num w:numId="24">
    <w:abstractNumId w:val="28"/>
  </w:num>
  <w:num w:numId="25">
    <w:abstractNumId w:val="10"/>
  </w:num>
  <w:num w:numId="26">
    <w:abstractNumId w:val="2"/>
  </w:num>
  <w:num w:numId="27">
    <w:abstractNumId w:val="33"/>
  </w:num>
  <w:num w:numId="28">
    <w:abstractNumId w:val="46"/>
  </w:num>
  <w:num w:numId="29">
    <w:abstractNumId w:val="12"/>
  </w:num>
  <w:num w:numId="30">
    <w:abstractNumId w:val="32"/>
  </w:num>
  <w:num w:numId="31">
    <w:abstractNumId w:val="42"/>
  </w:num>
  <w:num w:numId="32">
    <w:abstractNumId w:val="20"/>
  </w:num>
  <w:num w:numId="33">
    <w:abstractNumId w:val="47"/>
  </w:num>
  <w:num w:numId="34">
    <w:abstractNumId w:val="27"/>
  </w:num>
  <w:num w:numId="35">
    <w:abstractNumId w:val="11"/>
  </w:num>
  <w:num w:numId="36">
    <w:abstractNumId w:val="36"/>
  </w:num>
  <w:num w:numId="37">
    <w:abstractNumId w:val="43"/>
  </w:num>
  <w:num w:numId="38">
    <w:abstractNumId w:val="22"/>
  </w:num>
  <w:num w:numId="39">
    <w:abstractNumId w:val="38"/>
  </w:num>
  <w:num w:numId="40">
    <w:abstractNumId w:val="23"/>
  </w:num>
  <w:num w:numId="41">
    <w:abstractNumId w:val="41"/>
  </w:num>
  <w:num w:numId="42">
    <w:abstractNumId w:val="0"/>
  </w:num>
  <w:num w:numId="43">
    <w:abstractNumId w:val="26"/>
  </w:num>
  <w:num w:numId="44">
    <w:abstractNumId w:val="3"/>
  </w:num>
  <w:num w:numId="45">
    <w:abstractNumId w:val="40"/>
  </w:num>
  <w:num w:numId="46">
    <w:abstractNumId w:val="16"/>
  </w:num>
  <w:num w:numId="47">
    <w:abstractNumId w:val="45"/>
  </w:num>
  <w:num w:numId="48">
    <w:abstractNumId w:val="1"/>
  </w:num>
  <w:num w:numId="49">
    <w:abstractNumId w:val="44"/>
  </w:num>
  <w:num w:numId="50">
    <w:abstractNumId w:val="35"/>
  </w:num>
  <w:num w:numId="51">
    <w:abstractNumId w:val="39"/>
  </w:num>
  <w:num w:numId="52">
    <w:abstractNumId w:val="8"/>
  </w:num>
  <w:num w:numId="53">
    <w:abstractNumId w:val="1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en-ZA" w:vendorID="64" w:dllVersion="6" w:nlCheck="1" w:checkStyle="1"/>
  <w:activeWritingStyle w:appName="MSWord" w:lang="fr-FR" w:vendorID="64" w:dllVersion="6" w:nlCheck="1" w:checkStyle="0"/>
  <w:activeWritingStyle w:appName="MSWord" w:lang="en-GB" w:vendorID="64" w:dllVersion="0" w:nlCheck="1" w:checkStyle="0"/>
  <w:activeWritingStyle w:appName="MSWord" w:lang="en-US" w:vendorID="64" w:dllVersion="0" w:nlCheck="1" w:checkStyle="0"/>
  <w:activeWritingStyle w:appName="MSWord" w:lang="en-ZA" w:vendorID="64" w:dllVersion="0" w:nlCheck="1" w:checkStyle="0"/>
  <w:activeWritingStyle w:appName="MSWord" w:lang="fr-FR" w:vendorID="64" w:dllVersion="0" w:nlCheck="1" w:checkStyle="0"/>
  <w:activeWritingStyle w:appName="MSWord" w:lang="es-EC" w:vendorID="64" w:dllVersion="6" w:nlCheck="1" w:checkStyle="1"/>
  <w:activeWritingStyle w:appName="MSWord" w:lang="en-AU" w:vendorID="64" w:dllVersion="6" w:nlCheck="1" w:checkStyle="1"/>
  <w:activeWritingStyle w:appName="MSWord" w:lang="es-ES" w:vendorID="64" w:dllVersion="6" w:nlCheck="1" w:checkStyle="0"/>
  <w:activeWritingStyle w:appName="MSWord" w:lang="en-GB" w:vendorID="64" w:dllVersion="4096" w:nlCheck="1" w:checkStyle="0"/>
  <w:activeWritingStyle w:appName="MSWord" w:lang="es-ES"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n-ZA"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es-ES" w:vendorID="64" w:dllVersion="131078" w:nlCheck="1" w:checkStyle="0"/>
  <w:activeWritingStyle w:appName="MSWord" w:lang="fr-FR" w:vendorID="64" w:dllVersion="131078" w:nlCheck="1" w:checkStyle="0"/>
  <w:activeWritingStyle w:appName="MSWord" w:lang="en-ZA" w:vendorID="64" w:dllVersion="131078" w:nlCheck="1" w:checkStyle="1"/>
  <w:doNotTrackFormatting/>
  <w:defaultTabStop w:val="567"/>
  <w:drawingGridHorizontalSpacing w:val="105"/>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bQ0NDS1NDMwNjMxNTZU0lEKTi0uzszPAykwMq8FAN5uj6YtAAAA"/>
  </w:docVars>
  <w:rsids>
    <w:rsidRoot w:val="00FC7045"/>
    <w:rsid w:val="00000330"/>
    <w:rsid w:val="0000055F"/>
    <w:rsid w:val="0000210C"/>
    <w:rsid w:val="00002509"/>
    <w:rsid w:val="000028D0"/>
    <w:rsid w:val="00002969"/>
    <w:rsid w:val="00002EC4"/>
    <w:rsid w:val="00003076"/>
    <w:rsid w:val="00003597"/>
    <w:rsid w:val="00003ABD"/>
    <w:rsid w:val="00004494"/>
    <w:rsid w:val="00004810"/>
    <w:rsid w:val="000057B7"/>
    <w:rsid w:val="00005FC9"/>
    <w:rsid w:val="000065C9"/>
    <w:rsid w:val="000066D6"/>
    <w:rsid w:val="00006ACC"/>
    <w:rsid w:val="00006D7E"/>
    <w:rsid w:val="00006DAB"/>
    <w:rsid w:val="00007219"/>
    <w:rsid w:val="00007A9F"/>
    <w:rsid w:val="00010541"/>
    <w:rsid w:val="0001071D"/>
    <w:rsid w:val="00010ACF"/>
    <w:rsid w:val="0001102B"/>
    <w:rsid w:val="000113F2"/>
    <w:rsid w:val="00011D3E"/>
    <w:rsid w:val="00012906"/>
    <w:rsid w:val="00012F9F"/>
    <w:rsid w:val="00013CF6"/>
    <w:rsid w:val="00014095"/>
    <w:rsid w:val="00014E7B"/>
    <w:rsid w:val="00015918"/>
    <w:rsid w:val="00015B2E"/>
    <w:rsid w:val="00017B6F"/>
    <w:rsid w:val="000200A6"/>
    <w:rsid w:val="000201FF"/>
    <w:rsid w:val="00021F59"/>
    <w:rsid w:val="00022180"/>
    <w:rsid w:val="0002259E"/>
    <w:rsid w:val="000225A5"/>
    <w:rsid w:val="00022F28"/>
    <w:rsid w:val="00024208"/>
    <w:rsid w:val="00024398"/>
    <w:rsid w:val="00024AB2"/>
    <w:rsid w:val="00025514"/>
    <w:rsid w:val="0002558B"/>
    <w:rsid w:val="00025752"/>
    <w:rsid w:val="00025D5A"/>
    <w:rsid w:val="000268F9"/>
    <w:rsid w:val="00026D34"/>
    <w:rsid w:val="00027444"/>
    <w:rsid w:val="0003023F"/>
    <w:rsid w:val="00030314"/>
    <w:rsid w:val="0003060A"/>
    <w:rsid w:val="00030987"/>
    <w:rsid w:val="00030F7C"/>
    <w:rsid w:val="0003123A"/>
    <w:rsid w:val="00031351"/>
    <w:rsid w:val="0003169B"/>
    <w:rsid w:val="0003172D"/>
    <w:rsid w:val="00031A14"/>
    <w:rsid w:val="00031B7B"/>
    <w:rsid w:val="000325C3"/>
    <w:rsid w:val="000350B1"/>
    <w:rsid w:val="0003524E"/>
    <w:rsid w:val="00035683"/>
    <w:rsid w:val="00036853"/>
    <w:rsid w:val="000372D4"/>
    <w:rsid w:val="00037575"/>
    <w:rsid w:val="00037DDC"/>
    <w:rsid w:val="00040028"/>
    <w:rsid w:val="0004014A"/>
    <w:rsid w:val="00040722"/>
    <w:rsid w:val="00040889"/>
    <w:rsid w:val="00041F82"/>
    <w:rsid w:val="000422D3"/>
    <w:rsid w:val="00043825"/>
    <w:rsid w:val="00044BF3"/>
    <w:rsid w:val="00045090"/>
    <w:rsid w:val="00045C36"/>
    <w:rsid w:val="00045F14"/>
    <w:rsid w:val="00046E09"/>
    <w:rsid w:val="000477BF"/>
    <w:rsid w:val="00047B3B"/>
    <w:rsid w:val="00047CD8"/>
    <w:rsid w:val="00050048"/>
    <w:rsid w:val="0005048D"/>
    <w:rsid w:val="00050C8E"/>
    <w:rsid w:val="000520EB"/>
    <w:rsid w:val="0005246C"/>
    <w:rsid w:val="000525DD"/>
    <w:rsid w:val="00052D6B"/>
    <w:rsid w:val="00052D9B"/>
    <w:rsid w:val="00053071"/>
    <w:rsid w:val="000540BE"/>
    <w:rsid w:val="0005520B"/>
    <w:rsid w:val="00055608"/>
    <w:rsid w:val="00055707"/>
    <w:rsid w:val="00055C86"/>
    <w:rsid w:val="00055D31"/>
    <w:rsid w:val="00056829"/>
    <w:rsid w:val="00057126"/>
    <w:rsid w:val="0005787D"/>
    <w:rsid w:val="00057CA0"/>
    <w:rsid w:val="000605BC"/>
    <w:rsid w:val="00060812"/>
    <w:rsid w:val="00061555"/>
    <w:rsid w:val="00061A92"/>
    <w:rsid w:val="00061B25"/>
    <w:rsid w:val="00061E31"/>
    <w:rsid w:val="0006246C"/>
    <w:rsid w:val="00062539"/>
    <w:rsid w:val="00062D35"/>
    <w:rsid w:val="000632A0"/>
    <w:rsid w:val="00063CBF"/>
    <w:rsid w:val="000647D4"/>
    <w:rsid w:val="000648F5"/>
    <w:rsid w:val="00064A47"/>
    <w:rsid w:val="00066448"/>
    <w:rsid w:val="00066693"/>
    <w:rsid w:val="00067F7C"/>
    <w:rsid w:val="000706A8"/>
    <w:rsid w:val="00071349"/>
    <w:rsid w:val="000716FD"/>
    <w:rsid w:val="00071A54"/>
    <w:rsid w:val="00071C5C"/>
    <w:rsid w:val="00071F9C"/>
    <w:rsid w:val="000720C7"/>
    <w:rsid w:val="000721EF"/>
    <w:rsid w:val="0007254D"/>
    <w:rsid w:val="0007258D"/>
    <w:rsid w:val="0007411C"/>
    <w:rsid w:val="00074E69"/>
    <w:rsid w:val="000756E9"/>
    <w:rsid w:val="00075E0E"/>
    <w:rsid w:val="00076183"/>
    <w:rsid w:val="00076CF7"/>
    <w:rsid w:val="00077FE7"/>
    <w:rsid w:val="00081186"/>
    <w:rsid w:val="00081701"/>
    <w:rsid w:val="00081A12"/>
    <w:rsid w:val="00082C4F"/>
    <w:rsid w:val="000832E2"/>
    <w:rsid w:val="00083BC1"/>
    <w:rsid w:val="00083E41"/>
    <w:rsid w:val="00084F30"/>
    <w:rsid w:val="00085272"/>
    <w:rsid w:val="00085B59"/>
    <w:rsid w:val="00085F14"/>
    <w:rsid w:val="00090ACF"/>
    <w:rsid w:val="00091429"/>
    <w:rsid w:val="000917E2"/>
    <w:rsid w:val="00091D2F"/>
    <w:rsid w:val="00092103"/>
    <w:rsid w:val="000924C0"/>
    <w:rsid w:val="000928BB"/>
    <w:rsid w:val="00092B4A"/>
    <w:rsid w:val="00092D14"/>
    <w:rsid w:val="00093EF3"/>
    <w:rsid w:val="00094038"/>
    <w:rsid w:val="00094813"/>
    <w:rsid w:val="0009481F"/>
    <w:rsid w:val="00095242"/>
    <w:rsid w:val="000954CC"/>
    <w:rsid w:val="0009635A"/>
    <w:rsid w:val="000963F2"/>
    <w:rsid w:val="000969A0"/>
    <w:rsid w:val="00096A47"/>
    <w:rsid w:val="00096D0F"/>
    <w:rsid w:val="00096E82"/>
    <w:rsid w:val="00097A42"/>
    <w:rsid w:val="000A1720"/>
    <w:rsid w:val="000A1BD3"/>
    <w:rsid w:val="000A2B0C"/>
    <w:rsid w:val="000A3459"/>
    <w:rsid w:val="000A3E5D"/>
    <w:rsid w:val="000A3E90"/>
    <w:rsid w:val="000A46FF"/>
    <w:rsid w:val="000A50D5"/>
    <w:rsid w:val="000A50DA"/>
    <w:rsid w:val="000A6529"/>
    <w:rsid w:val="000A6D2D"/>
    <w:rsid w:val="000A6D8B"/>
    <w:rsid w:val="000A7E72"/>
    <w:rsid w:val="000B09CE"/>
    <w:rsid w:val="000B1773"/>
    <w:rsid w:val="000B2194"/>
    <w:rsid w:val="000B31E6"/>
    <w:rsid w:val="000B486B"/>
    <w:rsid w:val="000B48B2"/>
    <w:rsid w:val="000B5237"/>
    <w:rsid w:val="000B5387"/>
    <w:rsid w:val="000B5681"/>
    <w:rsid w:val="000B6158"/>
    <w:rsid w:val="000B6A76"/>
    <w:rsid w:val="000B77A4"/>
    <w:rsid w:val="000C09F4"/>
    <w:rsid w:val="000C0A3D"/>
    <w:rsid w:val="000C1B90"/>
    <w:rsid w:val="000C1EAE"/>
    <w:rsid w:val="000C21CA"/>
    <w:rsid w:val="000C2DC9"/>
    <w:rsid w:val="000C3501"/>
    <w:rsid w:val="000C3AC2"/>
    <w:rsid w:val="000C3BCD"/>
    <w:rsid w:val="000C4C38"/>
    <w:rsid w:val="000C64C8"/>
    <w:rsid w:val="000C77E0"/>
    <w:rsid w:val="000D1A35"/>
    <w:rsid w:val="000D25D8"/>
    <w:rsid w:val="000D2CC3"/>
    <w:rsid w:val="000D2CDD"/>
    <w:rsid w:val="000D2D5D"/>
    <w:rsid w:val="000D41ED"/>
    <w:rsid w:val="000D4CF6"/>
    <w:rsid w:val="000D4EA0"/>
    <w:rsid w:val="000D5537"/>
    <w:rsid w:val="000D6CEA"/>
    <w:rsid w:val="000D7ED4"/>
    <w:rsid w:val="000E0384"/>
    <w:rsid w:val="000E045D"/>
    <w:rsid w:val="000E0B4B"/>
    <w:rsid w:val="000E0BBA"/>
    <w:rsid w:val="000E1C67"/>
    <w:rsid w:val="000E2091"/>
    <w:rsid w:val="000E26D8"/>
    <w:rsid w:val="000E2B7E"/>
    <w:rsid w:val="000E4066"/>
    <w:rsid w:val="000E47A7"/>
    <w:rsid w:val="000E526C"/>
    <w:rsid w:val="000E5856"/>
    <w:rsid w:val="000E5AA0"/>
    <w:rsid w:val="000E67C5"/>
    <w:rsid w:val="000E6F56"/>
    <w:rsid w:val="000E70D3"/>
    <w:rsid w:val="000F13EA"/>
    <w:rsid w:val="000F158C"/>
    <w:rsid w:val="000F2C28"/>
    <w:rsid w:val="000F2E3E"/>
    <w:rsid w:val="000F3277"/>
    <w:rsid w:val="000F35AB"/>
    <w:rsid w:val="000F35DA"/>
    <w:rsid w:val="000F397D"/>
    <w:rsid w:val="000F3D21"/>
    <w:rsid w:val="000F4748"/>
    <w:rsid w:val="000F513A"/>
    <w:rsid w:val="000F55A3"/>
    <w:rsid w:val="000F563F"/>
    <w:rsid w:val="000F569C"/>
    <w:rsid w:val="000F5841"/>
    <w:rsid w:val="000F6432"/>
    <w:rsid w:val="000F72A3"/>
    <w:rsid w:val="000F7633"/>
    <w:rsid w:val="000F7960"/>
    <w:rsid w:val="000F7C38"/>
    <w:rsid w:val="0010018B"/>
    <w:rsid w:val="00101002"/>
    <w:rsid w:val="00101841"/>
    <w:rsid w:val="00102E89"/>
    <w:rsid w:val="00102F87"/>
    <w:rsid w:val="001047B7"/>
    <w:rsid w:val="00104832"/>
    <w:rsid w:val="0010518D"/>
    <w:rsid w:val="00105262"/>
    <w:rsid w:val="0010685B"/>
    <w:rsid w:val="00106B8E"/>
    <w:rsid w:val="00111BBC"/>
    <w:rsid w:val="00112328"/>
    <w:rsid w:val="00112923"/>
    <w:rsid w:val="00112E7B"/>
    <w:rsid w:val="001136D3"/>
    <w:rsid w:val="00113CFD"/>
    <w:rsid w:val="001143E7"/>
    <w:rsid w:val="00115027"/>
    <w:rsid w:val="00115240"/>
    <w:rsid w:val="001155F5"/>
    <w:rsid w:val="00117290"/>
    <w:rsid w:val="001178CF"/>
    <w:rsid w:val="001179B5"/>
    <w:rsid w:val="001203EC"/>
    <w:rsid w:val="00120F1E"/>
    <w:rsid w:val="001210B6"/>
    <w:rsid w:val="00121A38"/>
    <w:rsid w:val="0012202E"/>
    <w:rsid w:val="0012366F"/>
    <w:rsid w:val="00123F8E"/>
    <w:rsid w:val="00124BA9"/>
    <w:rsid w:val="00124DD9"/>
    <w:rsid w:val="001264B9"/>
    <w:rsid w:val="00126C59"/>
    <w:rsid w:val="00126FB4"/>
    <w:rsid w:val="00127994"/>
    <w:rsid w:val="00130806"/>
    <w:rsid w:val="00130BAB"/>
    <w:rsid w:val="00130D01"/>
    <w:rsid w:val="00132645"/>
    <w:rsid w:val="001332B1"/>
    <w:rsid w:val="00133BD4"/>
    <w:rsid w:val="0013483A"/>
    <w:rsid w:val="00134C04"/>
    <w:rsid w:val="00134D7A"/>
    <w:rsid w:val="001357F2"/>
    <w:rsid w:val="00136979"/>
    <w:rsid w:val="00137600"/>
    <w:rsid w:val="00140009"/>
    <w:rsid w:val="001405A6"/>
    <w:rsid w:val="001405FF"/>
    <w:rsid w:val="0014135C"/>
    <w:rsid w:val="0014178B"/>
    <w:rsid w:val="0014193B"/>
    <w:rsid w:val="00141CB2"/>
    <w:rsid w:val="00141CF3"/>
    <w:rsid w:val="00142A07"/>
    <w:rsid w:val="0014301C"/>
    <w:rsid w:val="001437C5"/>
    <w:rsid w:val="00144640"/>
    <w:rsid w:val="001456F9"/>
    <w:rsid w:val="00145714"/>
    <w:rsid w:val="00145747"/>
    <w:rsid w:val="00145E10"/>
    <w:rsid w:val="00146419"/>
    <w:rsid w:val="00146BB6"/>
    <w:rsid w:val="00146FEF"/>
    <w:rsid w:val="00147C9A"/>
    <w:rsid w:val="00147D8C"/>
    <w:rsid w:val="0015074C"/>
    <w:rsid w:val="0015164A"/>
    <w:rsid w:val="00151748"/>
    <w:rsid w:val="0015211A"/>
    <w:rsid w:val="00152367"/>
    <w:rsid w:val="0015274D"/>
    <w:rsid w:val="00152E8D"/>
    <w:rsid w:val="001550A2"/>
    <w:rsid w:val="00155376"/>
    <w:rsid w:val="001568FD"/>
    <w:rsid w:val="00157881"/>
    <w:rsid w:val="00160174"/>
    <w:rsid w:val="0016029E"/>
    <w:rsid w:val="00160F15"/>
    <w:rsid w:val="00160F55"/>
    <w:rsid w:val="00161BAF"/>
    <w:rsid w:val="00163465"/>
    <w:rsid w:val="00163CDD"/>
    <w:rsid w:val="001652DD"/>
    <w:rsid w:val="00166373"/>
    <w:rsid w:val="00167FA1"/>
    <w:rsid w:val="0017036C"/>
    <w:rsid w:val="001704F6"/>
    <w:rsid w:val="0017073D"/>
    <w:rsid w:val="00170992"/>
    <w:rsid w:val="00170F59"/>
    <w:rsid w:val="00171A84"/>
    <w:rsid w:val="00171C21"/>
    <w:rsid w:val="00172147"/>
    <w:rsid w:val="001722A9"/>
    <w:rsid w:val="0017271F"/>
    <w:rsid w:val="00172A6E"/>
    <w:rsid w:val="00172AC8"/>
    <w:rsid w:val="00172CDD"/>
    <w:rsid w:val="001731CB"/>
    <w:rsid w:val="00175034"/>
    <w:rsid w:val="00175A65"/>
    <w:rsid w:val="00175D0F"/>
    <w:rsid w:val="00175FBF"/>
    <w:rsid w:val="001765D9"/>
    <w:rsid w:val="0017660D"/>
    <w:rsid w:val="00177691"/>
    <w:rsid w:val="00177F96"/>
    <w:rsid w:val="00180406"/>
    <w:rsid w:val="00180E59"/>
    <w:rsid w:val="00181130"/>
    <w:rsid w:val="0018221A"/>
    <w:rsid w:val="001826C7"/>
    <w:rsid w:val="00184C14"/>
    <w:rsid w:val="00185910"/>
    <w:rsid w:val="00185F5B"/>
    <w:rsid w:val="001864E3"/>
    <w:rsid w:val="00186984"/>
    <w:rsid w:val="0018708F"/>
    <w:rsid w:val="00187D2A"/>
    <w:rsid w:val="0019000F"/>
    <w:rsid w:val="001922A0"/>
    <w:rsid w:val="00192332"/>
    <w:rsid w:val="00192C2E"/>
    <w:rsid w:val="00192E2C"/>
    <w:rsid w:val="00192FB0"/>
    <w:rsid w:val="00193099"/>
    <w:rsid w:val="0019378D"/>
    <w:rsid w:val="00193D6C"/>
    <w:rsid w:val="00194833"/>
    <w:rsid w:val="001948F9"/>
    <w:rsid w:val="0019537D"/>
    <w:rsid w:val="00195458"/>
    <w:rsid w:val="001968B8"/>
    <w:rsid w:val="00197DE7"/>
    <w:rsid w:val="001A0114"/>
    <w:rsid w:val="001A077C"/>
    <w:rsid w:val="001A088B"/>
    <w:rsid w:val="001A3FBB"/>
    <w:rsid w:val="001A44D2"/>
    <w:rsid w:val="001A4BC8"/>
    <w:rsid w:val="001A50F3"/>
    <w:rsid w:val="001A55DC"/>
    <w:rsid w:val="001A6237"/>
    <w:rsid w:val="001A62B4"/>
    <w:rsid w:val="001A678C"/>
    <w:rsid w:val="001B00ED"/>
    <w:rsid w:val="001B027B"/>
    <w:rsid w:val="001B14A8"/>
    <w:rsid w:val="001B18ED"/>
    <w:rsid w:val="001B1BE9"/>
    <w:rsid w:val="001B2A74"/>
    <w:rsid w:val="001B2B36"/>
    <w:rsid w:val="001B3864"/>
    <w:rsid w:val="001B3EF4"/>
    <w:rsid w:val="001B3F3E"/>
    <w:rsid w:val="001B4475"/>
    <w:rsid w:val="001B56C0"/>
    <w:rsid w:val="001B62D7"/>
    <w:rsid w:val="001B7399"/>
    <w:rsid w:val="001B7EA8"/>
    <w:rsid w:val="001B7FAE"/>
    <w:rsid w:val="001C0483"/>
    <w:rsid w:val="001C0941"/>
    <w:rsid w:val="001C0AC2"/>
    <w:rsid w:val="001C1623"/>
    <w:rsid w:val="001C19E2"/>
    <w:rsid w:val="001C1D38"/>
    <w:rsid w:val="001C22AC"/>
    <w:rsid w:val="001C2AFC"/>
    <w:rsid w:val="001C2BAE"/>
    <w:rsid w:val="001C37B2"/>
    <w:rsid w:val="001C457E"/>
    <w:rsid w:val="001C4699"/>
    <w:rsid w:val="001C4FA7"/>
    <w:rsid w:val="001C5622"/>
    <w:rsid w:val="001C5815"/>
    <w:rsid w:val="001C618A"/>
    <w:rsid w:val="001C7025"/>
    <w:rsid w:val="001C7BF7"/>
    <w:rsid w:val="001C7D5B"/>
    <w:rsid w:val="001D0964"/>
    <w:rsid w:val="001D0B96"/>
    <w:rsid w:val="001D1029"/>
    <w:rsid w:val="001D267C"/>
    <w:rsid w:val="001D2927"/>
    <w:rsid w:val="001D2F0D"/>
    <w:rsid w:val="001D3C71"/>
    <w:rsid w:val="001D4D72"/>
    <w:rsid w:val="001D56D9"/>
    <w:rsid w:val="001D6A14"/>
    <w:rsid w:val="001D70FA"/>
    <w:rsid w:val="001D723B"/>
    <w:rsid w:val="001E0B61"/>
    <w:rsid w:val="001E0D0E"/>
    <w:rsid w:val="001E1DB8"/>
    <w:rsid w:val="001E2266"/>
    <w:rsid w:val="001E25BB"/>
    <w:rsid w:val="001E3FC8"/>
    <w:rsid w:val="001E45D7"/>
    <w:rsid w:val="001E4620"/>
    <w:rsid w:val="001E4A14"/>
    <w:rsid w:val="001E5124"/>
    <w:rsid w:val="001E665B"/>
    <w:rsid w:val="001E6A7F"/>
    <w:rsid w:val="001E6CC1"/>
    <w:rsid w:val="001E7ED2"/>
    <w:rsid w:val="001E7F41"/>
    <w:rsid w:val="001F0301"/>
    <w:rsid w:val="001F06DD"/>
    <w:rsid w:val="001F1DE6"/>
    <w:rsid w:val="001F2287"/>
    <w:rsid w:val="001F22E6"/>
    <w:rsid w:val="001F23D7"/>
    <w:rsid w:val="001F2457"/>
    <w:rsid w:val="001F2D90"/>
    <w:rsid w:val="001F375B"/>
    <w:rsid w:val="001F3DEB"/>
    <w:rsid w:val="001F74FB"/>
    <w:rsid w:val="001F7514"/>
    <w:rsid w:val="00200081"/>
    <w:rsid w:val="0020031D"/>
    <w:rsid w:val="002005E9"/>
    <w:rsid w:val="002009E6"/>
    <w:rsid w:val="00200B19"/>
    <w:rsid w:val="00200C5F"/>
    <w:rsid w:val="0020358F"/>
    <w:rsid w:val="00203C66"/>
    <w:rsid w:val="0020634A"/>
    <w:rsid w:val="0020638E"/>
    <w:rsid w:val="002102DE"/>
    <w:rsid w:val="00210426"/>
    <w:rsid w:val="00211845"/>
    <w:rsid w:val="00211DCE"/>
    <w:rsid w:val="00211EBD"/>
    <w:rsid w:val="002122A9"/>
    <w:rsid w:val="0021253B"/>
    <w:rsid w:val="002129BC"/>
    <w:rsid w:val="00212ADB"/>
    <w:rsid w:val="002131D9"/>
    <w:rsid w:val="00213739"/>
    <w:rsid w:val="002159FC"/>
    <w:rsid w:val="00215A9F"/>
    <w:rsid w:val="00216512"/>
    <w:rsid w:val="00216558"/>
    <w:rsid w:val="00216B39"/>
    <w:rsid w:val="00216CD5"/>
    <w:rsid w:val="0021744E"/>
    <w:rsid w:val="00217FD8"/>
    <w:rsid w:val="00220424"/>
    <w:rsid w:val="002211C6"/>
    <w:rsid w:val="0022138C"/>
    <w:rsid w:val="00221BA6"/>
    <w:rsid w:val="002231D0"/>
    <w:rsid w:val="002234D8"/>
    <w:rsid w:val="00223929"/>
    <w:rsid w:val="002246D5"/>
    <w:rsid w:val="00225561"/>
    <w:rsid w:val="00225DCE"/>
    <w:rsid w:val="002269F6"/>
    <w:rsid w:val="0022782D"/>
    <w:rsid w:val="002302F0"/>
    <w:rsid w:val="00230EB2"/>
    <w:rsid w:val="002313A7"/>
    <w:rsid w:val="002318D7"/>
    <w:rsid w:val="00231C6D"/>
    <w:rsid w:val="002322E0"/>
    <w:rsid w:val="00235C14"/>
    <w:rsid w:val="00236655"/>
    <w:rsid w:val="0023715C"/>
    <w:rsid w:val="00237542"/>
    <w:rsid w:val="0023784C"/>
    <w:rsid w:val="00237DCE"/>
    <w:rsid w:val="00237FBB"/>
    <w:rsid w:val="00240427"/>
    <w:rsid w:val="00240837"/>
    <w:rsid w:val="00240E89"/>
    <w:rsid w:val="00241797"/>
    <w:rsid w:val="00241928"/>
    <w:rsid w:val="00241A04"/>
    <w:rsid w:val="00241CA8"/>
    <w:rsid w:val="002425C2"/>
    <w:rsid w:val="00242691"/>
    <w:rsid w:val="00242CE7"/>
    <w:rsid w:val="002435DC"/>
    <w:rsid w:val="0024396C"/>
    <w:rsid w:val="00243C89"/>
    <w:rsid w:val="00244337"/>
    <w:rsid w:val="002445AD"/>
    <w:rsid w:val="0024477D"/>
    <w:rsid w:val="0024710E"/>
    <w:rsid w:val="002472CA"/>
    <w:rsid w:val="0024739E"/>
    <w:rsid w:val="00247450"/>
    <w:rsid w:val="00247452"/>
    <w:rsid w:val="0025065D"/>
    <w:rsid w:val="00250DEC"/>
    <w:rsid w:val="00251087"/>
    <w:rsid w:val="00251D32"/>
    <w:rsid w:val="00253B30"/>
    <w:rsid w:val="00254407"/>
    <w:rsid w:val="0025461B"/>
    <w:rsid w:val="00254748"/>
    <w:rsid w:val="00254F96"/>
    <w:rsid w:val="00255018"/>
    <w:rsid w:val="002552C4"/>
    <w:rsid w:val="00255FE9"/>
    <w:rsid w:val="002570A3"/>
    <w:rsid w:val="00257799"/>
    <w:rsid w:val="00257D8B"/>
    <w:rsid w:val="00257FFB"/>
    <w:rsid w:val="0026103D"/>
    <w:rsid w:val="002617DB"/>
    <w:rsid w:val="00261EE5"/>
    <w:rsid w:val="002621CE"/>
    <w:rsid w:val="0026229D"/>
    <w:rsid w:val="00262845"/>
    <w:rsid w:val="00262909"/>
    <w:rsid w:val="00262942"/>
    <w:rsid w:val="00262E5E"/>
    <w:rsid w:val="00263112"/>
    <w:rsid w:val="00263596"/>
    <w:rsid w:val="00263615"/>
    <w:rsid w:val="002650F2"/>
    <w:rsid w:val="0026625D"/>
    <w:rsid w:val="0026688D"/>
    <w:rsid w:val="002670E1"/>
    <w:rsid w:val="00267939"/>
    <w:rsid w:val="00267F78"/>
    <w:rsid w:val="00270EC7"/>
    <w:rsid w:val="00271870"/>
    <w:rsid w:val="00271A6B"/>
    <w:rsid w:val="00272C60"/>
    <w:rsid w:val="00272DCE"/>
    <w:rsid w:val="0027383F"/>
    <w:rsid w:val="002739E3"/>
    <w:rsid w:val="002747D1"/>
    <w:rsid w:val="00274CFD"/>
    <w:rsid w:val="00275BEA"/>
    <w:rsid w:val="00275EA1"/>
    <w:rsid w:val="00275EEA"/>
    <w:rsid w:val="00276A8E"/>
    <w:rsid w:val="00276D3C"/>
    <w:rsid w:val="002772B6"/>
    <w:rsid w:val="00277BE7"/>
    <w:rsid w:val="00277C6A"/>
    <w:rsid w:val="0028046D"/>
    <w:rsid w:val="002806FD"/>
    <w:rsid w:val="00280760"/>
    <w:rsid w:val="00280E55"/>
    <w:rsid w:val="00280FE7"/>
    <w:rsid w:val="00281B91"/>
    <w:rsid w:val="002823D2"/>
    <w:rsid w:val="0028244A"/>
    <w:rsid w:val="00282CBB"/>
    <w:rsid w:val="0028360A"/>
    <w:rsid w:val="002838D9"/>
    <w:rsid w:val="00285684"/>
    <w:rsid w:val="00285730"/>
    <w:rsid w:val="002857AA"/>
    <w:rsid w:val="002862B7"/>
    <w:rsid w:val="00286C22"/>
    <w:rsid w:val="00286D15"/>
    <w:rsid w:val="00286D77"/>
    <w:rsid w:val="00287006"/>
    <w:rsid w:val="002906D1"/>
    <w:rsid w:val="002916D4"/>
    <w:rsid w:val="00291779"/>
    <w:rsid w:val="00291C1B"/>
    <w:rsid w:val="0029211D"/>
    <w:rsid w:val="002928AD"/>
    <w:rsid w:val="0029460C"/>
    <w:rsid w:val="00294EE4"/>
    <w:rsid w:val="00295189"/>
    <w:rsid w:val="00295514"/>
    <w:rsid w:val="0029554A"/>
    <w:rsid w:val="002957A7"/>
    <w:rsid w:val="00296514"/>
    <w:rsid w:val="00296B14"/>
    <w:rsid w:val="00296BEF"/>
    <w:rsid w:val="00296E1B"/>
    <w:rsid w:val="002977BB"/>
    <w:rsid w:val="002979F5"/>
    <w:rsid w:val="00297F56"/>
    <w:rsid w:val="002A0E5F"/>
    <w:rsid w:val="002A0E66"/>
    <w:rsid w:val="002A1AD2"/>
    <w:rsid w:val="002A1F7F"/>
    <w:rsid w:val="002A1F9A"/>
    <w:rsid w:val="002A3048"/>
    <w:rsid w:val="002A335B"/>
    <w:rsid w:val="002A350F"/>
    <w:rsid w:val="002A3DC8"/>
    <w:rsid w:val="002A5644"/>
    <w:rsid w:val="002A65E0"/>
    <w:rsid w:val="002A6D86"/>
    <w:rsid w:val="002A6E2E"/>
    <w:rsid w:val="002A79C2"/>
    <w:rsid w:val="002B0136"/>
    <w:rsid w:val="002B06D3"/>
    <w:rsid w:val="002B0A37"/>
    <w:rsid w:val="002B0B24"/>
    <w:rsid w:val="002B0BD3"/>
    <w:rsid w:val="002B0FF5"/>
    <w:rsid w:val="002B15D2"/>
    <w:rsid w:val="002B2636"/>
    <w:rsid w:val="002B3489"/>
    <w:rsid w:val="002B38E6"/>
    <w:rsid w:val="002B390A"/>
    <w:rsid w:val="002B3CED"/>
    <w:rsid w:val="002B3D6E"/>
    <w:rsid w:val="002B458C"/>
    <w:rsid w:val="002B477C"/>
    <w:rsid w:val="002B559A"/>
    <w:rsid w:val="002B55AD"/>
    <w:rsid w:val="002B5C59"/>
    <w:rsid w:val="002B6008"/>
    <w:rsid w:val="002B73B1"/>
    <w:rsid w:val="002B75A5"/>
    <w:rsid w:val="002C0640"/>
    <w:rsid w:val="002C1019"/>
    <w:rsid w:val="002C13ED"/>
    <w:rsid w:val="002C23A1"/>
    <w:rsid w:val="002C2A8B"/>
    <w:rsid w:val="002C36C0"/>
    <w:rsid w:val="002C3B72"/>
    <w:rsid w:val="002C4140"/>
    <w:rsid w:val="002C44D8"/>
    <w:rsid w:val="002C4787"/>
    <w:rsid w:val="002C58BF"/>
    <w:rsid w:val="002C5B7E"/>
    <w:rsid w:val="002C5CD5"/>
    <w:rsid w:val="002C64EE"/>
    <w:rsid w:val="002C77BE"/>
    <w:rsid w:val="002C79E3"/>
    <w:rsid w:val="002C7ACD"/>
    <w:rsid w:val="002D01E7"/>
    <w:rsid w:val="002D0D93"/>
    <w:rsid w:val="002D12C2"/>
    <w:rsid w:val="002D22EA"/>
    <w:rsid w:val="002D2712"/>
    <w:rsid w:val="002D2E94"/>
    <w:rsid w:val="002D36D9"/>
    <w:rsid w:val="002D4553"/>
    <w:rsid w:val="002D5533"/>
    <w:rsid w:val="002D711C"/>
    <w:rsid w:val="002D73B1"/>
    <w:rsid w:val="002D7A64"/>
    <w:rsid w:val="002E04ED"/>
    <w:rsid w:val="002E1B05"/>
    <w:rsid w:val="002E1BCC"/>
    <w:rsid w:val="002E2975"/>
    <w:rsid w:val="002E40F6"/>
    <w:rsid w:val="002E4B95"/>
    <w:rsid w:val="002E63CE"/>
    <w:rsid w:val="002E67DC"/>
    <w:rsid w:val="002E6A9D"/>
    <w:rsid w:val="002E6ABB"/>
    <w:rsid w:val="002E6B35"/>
    <w:rsid w:val="002E6FC3"/>
    <w:rsid w:val="002E705A"/>
    <w:rsid w:val="002E7A0C"/>
    <w:rsid w:val="002F0432"/>
    <w:rsid w:val="002F1CEB"/>
    <w:rsid w:val="002F2802"/>
    <w:rsid w:val="002F2C47"/>
    <w:rsid w:val="002F2D90"/>
    <w:rsid w:val="002F3035"/>
    <w:rsid w:val="002F5282"/>
    <w:rsid w:val="002F5EA7"/>
    <w:rsid w:val="002F5FAD"/>
    <w:rsid w:val="002F6064"/>
    <w:rsid w:val="00300579"/>
    <w:rsid w:val="00300681"/>
    <w:rsid w:val="003022B0"/>
    <w:rsid w:val="00303377"/>
    <w:rsid w:val="00303FD7"/>
    <w:rsid w:val="0030431E"/>
    <w:rsid w:val="00304B02"/>
    <w:rsid w:val="00306A68"/>
    <w:rsid w:val="0030789C"/>
    <w:rsid w:val="00307BCD"/>
    <w:rsid w:val="00307CB0"/>
    <w:rsid w:val="00310175"/>
    <w:rsid w:val="003101F1"/>
    <w:rsid w:val="003108B9"/>
    <w:rsid w:val="00311D21"/>
    <w:rsid w:val="003121CF"/>
    <w:rsid w:val="00312260"/>
    <w:rsid w:val="00312DE0"/>
    <w:rsid w:val="00313500"/>
    <w:rsid w:val="00313B13"/>
    <w:rsid w:val="0031493E"/>
    <w:rsid w:val="00314B6C"/>
    <w:rsid w:val="00315467"/>
    <w:rsid w:val="00316ACF"/>
    <w:rsid w:val="0031796E"/>
    <w:rsid w:val="003208A8"/>
    <w:rsid w:val="00320C2F"/>
    <w:rsid w:val="003218D3"/>
    <w:rsid w:val="00321978"/>
    <w:rsid w:val="00322971"/>
    <w:rsid w:val="00322AA7"/>
    <w:rsid w:val="00322ECE"/>
    <w:rsid w:val="0032344C"/>
    <w:rsid w:val="003235BB"/>
    <w:rsid w:val="00324BE6"/>
    <w:rsid w:val="0032543A"/>
    <w:rsid w:val="003254C3"/>
    <w:rsid w:val="00325B23"/>
    <w:rsid w:val="003275F6"/>
    <w:rsid w:val="00330C22"/>
    <w:rsid w:val="00330F9B"/>
    <w:rsid w:val="00331EDE"/>
    <w:rsid w:val="00331F5A"/>
    <w:rsid w:val="00332469"/>
    <w:rsid w:val="003331EC"/>
    <w:rsid w:val="00333300"/>
    <w:rsid w:val="00333648"/>
    <w:rsid w:val="0033377C"/>
    <w:rsid w:val="003341A1"/>
    <w:rsid w:val="003362A4"/>
    <w:rsid w:val="00336BB8"/>
    <w:rsid w:val="00337AB7"/>
    <w:rsid w:val="00340116"/>
    <w:rsid w:val="00340720"/>
    <w:rsid w:val="00340BF6"/>
    <w:rsid w:val="00340D7B"/>
    <w:rsid w:val="00341036"/>
    <w:rsid w:val="003411C5"/>
    <w:rsid w:val="00341299"/>
    <w:rsid w:val="003418F6"/>
    <w:rsid w:val="00341C86"/>
    <w:rsid w:val="003424D3"/>
    <w:rsid w:val="00342683"/>
    <w:rsid w:val="00343174"/>
    <w:rsid w:val="00343679"/>
    <w:rsid w:val="00343C96"/>
    <w:rsid w:val="00343CE0"/>
    <w:rsid w:val="003445AF"/>
    <w:rsid w:val="00344695"/>
    <w:rsid w:val="0034489C"/>
    <w:rsid w:val="00345BC9"/>
    <w:rsid w:val="003462AB"/>
    <w:rsid w:val="00346969"/>
    <w:rsid w:val="00346D64"/>
    <w:rsid w:val="0034769E"/>
    <w:rsid w:val="00350042"/>
    <w:rsid w:val="00350909"/>
    <w:rsid w:val="0035108A"/>
    <w:rsid w:val="00351C3A"/>
    <w:rsid w:val="00351CBF"/>
    <w:rsid w:val="003527B1"/>
    <w:rsid w:val="00353288"/>
    <w:rsid w:val="003535D7"/>
    <w:rsid w:val="00353AB5"/>
    <w:rsid w:val="0035428C"/>
    <w:rsid w:val="00354553"/>
    <w:rsid w:val="003572AD"/>
    <w:rsid w:val="00357D5B"/>
    <w:rsid w:val="00360ECF"/>
    <w:rsid w:val="00360FE7"/>
    <w:rsid w:val="00361083"/>
    <w:rsid w:val="003613B9"/>
    <w:rsid w:val="00362157"/>
    <w:rsid w:val="00362CED"/>
    <w:rsid w:val="0036331E"/>
    <w:rsid w:val="003636E9"/>
    <w:rsid w:val="00363D0F"/>
    <w:rsid w:val="003648E2"/>
    <w:rsid w:val="00364E1D"/>
    <w:rsid w:val="0036529F"/>
    <w:rsid w:val="003663AF"/>
    <w:rsid w:val="0036642C"/>
    <w:rsid w:val="00367D11"/>
    <w:rsid w:val="00373935"/>
    <w:rsid w:val="003746C7"/>
    <w:rsid w:val="00374A6C"/>
    <w:rsid w:val="00375257"/>
    <w:rsid w:val="00375388"/>
    <w:rsid w:val="00375900"/>
    <w:rsid w:val="00375940"/>
    <w:rsid w:val="00375D4C"/>
    <w:rsid w:val="0037662E"/>
    <w:rsid w:val="0037662F"/>
    <w:rsid w:val="003806D1"/>
    <w:rsid w:val="00380D6D"/>
    <w:rsid w:val="003814C7"/>
    <w:rsid w:val="00382238"/>
    <w:rsid w:val="00382545"/>
    <w:rsid w:val="00383E44"/>
    <w:rsid w:val="0038449F"/>
    <w:rsid w:val="0038457C"/>
    <w:rsid w:val="0038549A"/>
    <w:rsid w:val="003861EF"/>
    <w:rsid w:val="00386F20"/>
    <w:rsid w:val="0038715A"/>
    <w:rsid w:val="00387B92"/>
    <w:rsid w:val="00387DE6"/>
    <w:rsid w:val="00387E58"/>
    <w:rsid w:val="003912A9"/>
    <w:rsid w:val="00392320"/>
    <w:rsid w:val="00393486"/>
    <w:rsid w:val="0039379C"/>
    <w:rsid w:val="0039383D"/>
    <w:rsid w:val="003940B0"/>
    <w:rsid w:val="0039560F"/>
    <w:rsid w:val="0039563E"/>
    <w:rsid w:val="0039683B"/>
    <w:rsid w:val="00396A69"/>
    <w:rsid w:val="00397FF4"/>
    <w:rsid w:val="003A11A3"/>
    <w:rsid w:val="003A13CE"/>
    <w:rsid w:val="003A1663"/>
    <w:rsid w:val="003A1FCF"/>
    <w:rsid w:val="003A233C"/>
    <w:rsid w:val="003A3F98"/>
    <w:rsid w:val="003A4DD0"/>
    <w:rsid w:val="003A4E3E"/>
    <w:rsid w:val="003A4F68"/>
    <w:rsid w:val="003A5558"/>
    <w:rsid w:val="003A55BB"/>
    <w:rsid w:val="003A5DC0"/>
    <w:rsid w:val="003A60E1"/>
    <w:rsid w:val="003A65E7"/>
    <w:rsid w:val="003A6C2A"/>
    <w:rsid w:val="003A7DA2"/>
    <w:rsid w:val="003A7E46"/>
    <w:rsid w:val="003A7EDA"/>
    <w:rsid w:val="003B0ED3"/>
    <w:rsid w:val="003B0FC0"/>
    <w:rsid w:val="003B1514"/>
    <w:rsid w:val="003B1518"/>
    <w:rsid w:val="003B1AA1"/>
    <w:rsid w:val="003B36A9"/>
    <w:rsid w:val="003B385B"/>
    <w:rsid w:val="003B3B06"/>
    <w:rsid w:val="003B40AD"/>
    <w:rsid w:val="003B462F"/>
    <w:rsid w:val="003B5D3F"/>
    <w:rsid w:val="003B5E5D"/>
    <w:rsid w:val="003B6153"/>
    <w:rsid w:val="003B68C9"/>
    <w:rsid w:val="003B7B6A"/>
    <w:rsid w:val="003C0ABF"/>
    <w:rsid w:val="003C2BBD"/>
    <w:rsid w:val="003C2F63"/>
    <w:rsid w:val="003C31E9"/>
    <w:rsid w:val="003C3548"/>
    <w:rsid w:val="003C366E"/>
    <w:rsid w:val="003C3B07"/>
    <w:rsid w:val="003C3C92"/>
    <w:rsid w:val="003C4255"/>
    <w:rsid w:val="003C438E"/>
    <w:rsid w:val="003C4430"/>
    <w:rsid w:val="003C4579"/>
    <w:rsid w:val="003C468D"/>
    <w:rsid w:val="003C6597"/>
    <w:rsid w:val="003C7306"/>
    <w:rsid w:val="003C7534"/>
    <w:rsid w:val="003C780D"/>
    <w:rsid w:val="003C7F14"/>
    <w:rsid w:val="003D1AE3"/>
    <w:rsid w:val="003D23B2"/>
    <w:rsid w:val="003D2856"/>
    <w:rsid w:val="003D28D3"/>
    <w:rsid w:val="003D2D74"/>
    <w:rsid w:val="003D34C0"/>
    <w:rsid w:val="003D37C0"/>
    <w:rsid w:val="003D46B5"/>
    <w:rsid w:val="003D489D"/>
    <w:rsid w:val="003D4A9F"/>
    <w:rsid w:val="003D4AB4"/>
    <w:rsid w:val="003D59AB"/>
    <w:rsid w:val="003D5A06"/>
    <w:rsid w:val="003D66CA"/>
    <w:rsid w:val="003D6C0D"/>
    <w:rsid w:val="003D70E0"/>
    <w:rsid w:val="003D7DF3"/>
    <w:rsid w:val="003D7E7A"/>
    <w:rsid w:val="003E02EA"/>
    <w:rsid w:val="003E0D26"/>
    <w:rsid w:val="003E4E2B"/>
    <w:rsid w:val="003E50BB"/>
    <w:rsid w:val="003E5D08"/>
    <w:rsid w:val="003E6B94"/>
    <w:rsid w:val="003E71C8"/>
    <w:rsid w:val="003E7839"/>
    <w:rsid w:val="003E7F0D"/>
    <w:rsid w:val="003F021D"/>
    <w:rsid w:val="003F0788"/>
    <w:rsid w:val="003F0983"/>
    <w:rsid w:val="003F1257"/>
    <w:rsid w:val="003F142D"/>
    <w:rsid w:val="003F1707"/>
    <w:rsid w:val="003F2983"/>
    <w:rsid w:val="003F2B9E"/>
    <w:rsid w:val="003F2F5F"/>
    <w:rsid w:val="003F3BAB"/>
    <w:rsid w:val="003F3C09"/>
    <w:rsid w:val="003F41AC"/>
    <w:rsid w:val="003F4720"/>
    <w:rsid w:val="003F588B"/>
    <w:rsid w:val="003F5C4A"/>
    <w:rsid w:val="003F6306"/>
    <w:rsid w:val="003F63E9"/>
    <w:rsid w:val="003F650F"/>
    <w:rsid w:val="003F744B"/>
    <w:rsid w:val="003F7AC9"/>
    <w:rsid w:val="003F7B38"/>
    <w:rsid w:val="003F7D60"/>
    <w:rsid w:val="0040006A"/>
    <w:rsid w:val="00401600"/>
    <w:rsid w:val="00403399"/>
    <w:rsid w:val="004053F7"/>
    <w:rsid w:val="004059AD"/>
    <w:rsid w:val="00405C7B"/>
    <w:rsid w:val="004061CD"/>
    <w:rsid w:val="00406218"/>
    <w:rsid w:val="00406404"/>
    <w:rsid w:val="00407F2D"/>
    <w:rsid w:val="004111C6"/>
    <w:rsid w:val="00412071"/>
    <w:rsid w:val="00413084"/>
    <w:rsid w:val="0041308A"/>
    <w:rsid w:val="00413165"/>
    <w:rsid w:val="00413591"/>
    <w:rsid w:val="004135E2"/>
    <w:rsid w:val="004137F5"/>
    <w:rsid w:val="00413EA7"/>
    <w:rsid w:val="00414D26"/>
    <w:rsid w:val="0041580F"/>
    <w:rsid w:val="00415BC5"/>
    <w:rsid w:val="00416594"/>
    <w:rsid w:val="00416602"/>
    <w:rsid w:val="004167B0"/>
    <w:rsid w:val="00417AD5"/>
    <w:rsid w:val="00420B4A"/>
    <w:rsid w:val="004211A2"/>
    <w:rsid w:val="00422057"/>
    <w:rsid w:val="00422222"/>
    <w:rsid w:val="004223CA"/>
    <w:rsid w:val="00424DB8"/>
    <w:rsid w:val="00425E8A"/>
    <w:rsid w:val="0042652A"/>
    <w:rsid w:val="004266D8"/>
    <w:rsid w:val="004269E9"/>
    <w:rsid w:val="00427A68"/>
    <w:rsid w:val="0043006E"/>
    <w:rsid w:val="00430E50"/>
    <w:rsid w:val="00431A1A"/>
    <w:rsid w:val="0043237C"/>
    <w:rsid w:val="0043294A"/>
    <w:rsid w:val="00433B74"/>
    <w:rsid w:val="0043464C"/>
    <w:rsid w:val="0043498E"/>
    <w:rsid w:val="004350A2"/>
    <w:rsid w:val="004359D0"/>
    <w:rsid w:val="00436692"/>
    <w:rsid w:val="00436959"/>
    <w:rsid w:val="00436F86"/>
    <w:rsid w:val="004407C9"/>
    <w:rsid w:val="00440B25"/>
    <w:rsid w:val="004410CD"/>
    <w:rsid w:val="004410F7"/>
    <w:rsid w:val="004413BE"/>
    <w:rsid w:val="00442386"/>
    <w:rsid w:val="004448E6"/>
    <w:rsid w:val="00444B22"/>
    <w:rsid w:val="00445D34"/>
    <w:rsid w:val="0044642F"/>
    <w:rsid w:val="004465CD"/>
    <w:rsid w:val="00447A95"/>
    <w:rsid w:val="00447B85"/>
    <w:rsid w:val="004501B2"/>
    <w:rsid w:val="00450435"/>
    <w:rsid w:val="00450985"/>
    <w:rsid w:val="00450D4A"/>
    <w:rsid w:val="00450F43"/>
    <w:rsid w:val="004529EF"/>
    <w:rsid w:val="00452EAE"/>
    <w:rsid w:val="0045395C"/>
    <w:rsid w:val="0045476A"/>
    <w:rsid w:val="004549DD"/>
    <w:rsid w:val="00454D86"/>
    <w:rsid w:val="00454E63"/>
    <w:rsid w:val="0045512B"/>
    <w:rsid w:val="0045542A"/>
    <w:rsid w:val="004556AD"/>
    <w:rsid w:val="00455A0E"/>
    <w:rsid w:val="004573B9"/>
    <w:rsid w:val="0045778C"/>
    <w:rsid w:val="004577C9"/>
    <w:rsid w:val="004578BE"/>
    <w:rsid w:val="00457D33"/>
    <w:rsid w:val="00460AEF"/>
    <w:rsid w:val="0046285E"/>
    <w:rsid w:val="00463D4A"/>
    <w:rsid w:val="00464F15"/>
    <w:rsid w:val="00465224"/>
    <w:rsid w:val="00465A32"/>
    <w:rsid w:val="00466BB5"/>
    <w:rsid w:val="004679C0"/>
    <w:rsid w:val="00467B91"/>
    <w:rsid w:val="00467E15"/>
    <w:rsid w:val="004711EB"/>
    <w:rsid w:val="00471672"/>
    <w:rsid w:val="004722BD"/>
    <w:rsid w:val="00472CB5"/>
    <w:rsid w:val="00473711"/>
    <w:rsid w:val="00475127"/>
    <w:rsid w:val="00476624"/>
    <w:rsid w:val="004768D8"/>
    <w:rsid w:val="004769E8"/>
    <w:rsid w:val="00476D4F"/>
    <w:rsid w:val="00477144"/>
    <w:rsid w:val="00477184"/>
    <w:rsid w:val="0047737C"/>
    <w:rsid w:val="00477B60"/>
    <w:rsid w:val="00480072"/>
    <w:rsid w:val="0048035D"/>
    <w:rsid w:val="00480532"/>
    <w:rsid w:val="00480C19"/>
    <w:rsid w:val="00480EA4"/>
    <w:rsid w:val="00481503"/>
    <w:rsid w:val="00481B94"/>
    <w:rsid w:val="004821A5"/>
    <w:rsid w:val="00482D4E"/>
    <w:rsid w:val="00483700"/>
    <w:rsid w:val="004843B3"/>
    <w:rsid w:val="00484D94"/>
    <w:rsid w:val="00484F2B"/>
    <w:rsid w:val="004861DB"/>
    <w:rsid w:val="00486AD4"/>
    <w:rsid w:val="00486EAE"/>
    <w:rsid w:val="00486FDA"/>
    <w:rsid w:val="004874B5"/>
    <w:rsid w:val="00487958"/>
    <w:rsid w:val="00487AD4"/>
    <w:rsid w:val="004903CC"/>
    <w:rsid w:val="004903FB"/>
    <w:rsid w:val="0049061E"/>
    <w:rsid w:val="00491451"/>
    <w:rsid w:val="004916D4"/>
    <w:rsid w:val="00491B03"/>
    <w:rsid w:val="00491DC0"/>
    <w:rsid w:val="004942EF"/>
    <w:rsid w:val="0049435A"/>
    <w:rsid w:val="0049460E"/>
    <w:rsid w:val="00496CA5"/>
    <w:rsid w:val="00497B3D"/>
    <w:rsid w:val="00497F1C"/>
    <w:rsid w:val="004A17C4"/>
    <w:rsid w:val="004A1C17"/>
    <w:rsid w:val="004A1FB4"/>
    <w:rsid w:val="004A2B68"/>
    <w:rsid w:val="004A2CAC"/>
    <w:rsid w:val="004A31FB"/>
    <w:rsid w:val="004A32E9"/>
    <w:rsid w:val="004A3A98"/>
    <w:rsid w:val="004A3B8D"/>
    <w:rsid w:val="004A3D78"/>
    <w:rsid w:val="004A3E3D"/>
    <w:rsid w:val="004A4C88"/>
    <w:rsid w:val="004A4F49"/>
    <w:rsid w:val="004A6752"/>
    <w:rsid w:val="004A6D53"/>
    <w:rsid w:val="004A70A7"/>
    <w:rsid w:val="004A71A5"/>
    <w:rsid w:val="004A728E"/>
    <w:rsid w:val="004A731A"/>
    <w:rsid w:val="004A78F6"/>
    <w:rsid w:val="004A7C9F"/>
    <w:rsid w:val="004A7CED"/>
    <w:rsid w:val="004B05FF"/>
    <w:rsid w:val="004B0D6F"/>
    <w:rsid w:val="004B1246"/>
    <w:rsid w:val="004B19D6"/>
    <w:rsid w:val="004B2660"/>
    <w:rsid w:val="004B27A2"/>
    <w:rsid w:val="004B2CE9"/>
    <w:rsid w:val="004B38C6"/>
    <w:rsid w:val="004B4602"/>
    <w:rsid w:val="004B59C7"/>
    <w:rsid w:val="004B6E46"/>
    <w:rsid w:val="004B7C4A"/>
    <w:rsid w:val="004C02E2"/>
    <w:rsid w:val="004C095E"/>
    <w:rsid w:val="004C0BAC"/>
    <w:rsid w:val="004C1A49"/>
    <w:rsid w:val="004C4A2A"/>
    <w:rsid w:val="004C5B71"/>
    <w:rsid w:val="004C6CFC"/>
    <w:rsid w:val="004C6D2A"/>
    <w:rsid w:val="004D057B"/>
    <w:rsid w:val="004D0BF4"/>
    <w:rsid w:val="004D129E"/>
    <w:rsid w:val="004D185A"/>
    <w:rsid w:val="004D189A"/>
    <w:rsid w:val="004D1D7C"/>
    <w:rsid w:val="004D21CF"/>
    <w:rsid w:val="004D244A"/>
    <w:rsid w:val="004D251E"/>
    <w:rsid w:val="004D2E34"/>
    <w:rsid w:val="004D549A"/>
    <w:rsid w:val="004D77F5"/>
    <w:rsid w:val="004D7914"/>
    <w:rsid w:val="004E0313"/>
    <w:rsid w:val="004E133C"/>
    <w:rsid w:val="004E197D"/>
    <w:rsid w:val="004E3243"/>
    <w:rsid w:val="004E3971"/>
    <w:rsid w:val="004E4E85"/>
    <w:rsid w:val="004E56D0"/>
    <w:rsid w:val="004E6546"/>
    <w:rsid w:val="004E6B7A"/>
    <w:rsid w:val="004E7283"/>
    <w:rsid w:val="004F0644"/>
    <w:rsid w:val="004F0C2A"/>
    <w:rsid w:val="004F101A"/>
    <w:rsid w:val="004F14B4"/>
    <w:rsid w:val="004F358D"/>
    <w:rsid w:val="004F380D"/>
    <w:rsid w:val="004F3E53"/>
    <w:rsid w:val="004F4D94"/>
    <w:rsid w:val="004F5114"/>
    <w:rsid w:val="004F5711"/>
    <w:rsid w:val="004F5B78"/>
    <w:rsid w:val="004F7472"/>
    <w:rsid w:val="004F7507"/>
    <w:rsid w:val="004F7515"/>
    <w:rsid w:val="00500130"/>
    <w:rsid w:val="0050036E"/>
    <w:rsid w:val="005003C9"/>
    <w:rsid w:val="00500485"/>
    <w:rsid w:val="0050139F"/>
    <w:rsid w:val="005023F2"/>
    <w:rsid w:val="00502A3F"/>
    <w:rsid w:val="00503ADB"/>
    <w:rsid w:val="005045A2"/>
    <w:rsid w:val="0050474F"/>
    <w:rsid w:val="00505C26"/>
    <w:rsid w:val="00506F92"/>
    <w:rsid w:val="0050757A"/>
    <w:rsid w:val="0050792A"/>
    <w:rsid w:val="00510ECF"/>
    <w:rsid w:val="00510EDF"/>
    <w:rsid w:val="00510FA0"/>
    <w:rsid w:val="00510FC1"/>
    <w:rsid w:val="0051135A"/>
    <w:rsid w:val="0051154A"/>
    <w:rsid w:val="0051196E"/>
    <w:rsid w:val="00511E6C"/>
    <w:rsid w:val="00511FBA"/>
    <w:rsid w:val="0051227F"/>
    <w:rsid w:val="0051275A"/>
    <w:rsid w:val="0051355D"/>
    <w:rsid w:val="005140AE"/>
    <w:rsid w:val="0051500A"/>
    <w:rsid w:val="00515056"/>
    <w:rsid w:val="005154A8"/>
    <w:rsid w:val="00515964"/>
    <w:rsid w:val="0051633D"/>
    <w:rsid w:val="00516FDE"/>
    <w:rsid w:val="00517B8A"/>
    <w:rsid w:val="00520766"/>
    <w:rsid w:val="00520BA4"/>
    <w:rsid w:val="00520C1C"/>
    <w:rsid w:val="005218C8"/>
    <w:rsid w:val="00521FB6"/>
    <w:rsid w:val="00522417"/>
    <w:rsid w:val="005237A3"/>
    <w:rsid w:val="005242D0"/>
    <w:rsid w:val="00524D6F"/>
    <w:rsid w:val="005250B7"/>
    <w:rsid w:val="00526782"/>
    <w:rsid w:val="00527397"/>
    <w:rsid w:val="00527EA1"/>
    <w:rsid w:val="00527F8E"/>
    <w:rsid w:val="00530854"/>
    <w:rsid w:val="00530BF1"/>
    <w:rsid w:val="00530CD6"/>
    <w:rsid w:val="005310F9"/>
    <w:rsid w:val="005313B9"/>
    <w:rsid w:val="00531509"/>
    <w:rsid w:val="00531B40"/>
    <w:rsid w:val="00531D86"/>
    <w:rsid w:val="0053210A"/>
    <w:rsid w:val="00533F16"/>
    <w:rsid w:val="00534C13"/>
    <w:rsid w:val="005352D4"/>
    <w:rsid w:val="0053588D"/>
    <w:rsid w:val="00536003"/>
    <w:rsid w:val="0053638C"/>
    <w:rsid w:val="00536521"/>
    <w:rsid w:val="005365B7"/>
    <w:rsid w:val="005375F1"/>
    <w:rsid w:val="00540A9C"/>
    <w:rsid w:val="00540EDE"/>
    <w:rsid w:val="005418BF"/>
    <w:rsid w:val="00542791"/>
    <w:rsid w:val="00542838"/>
    <w:rsid w:val="00542FC4"/>
    <w:rsid w:val="005430E7"/>
    <w:rsid w:val="0054377C"/>
    <w:rsid w:val="005439A5"/>
    <w:rsid w:val="00543EB9"/>
    <w:rsid w:val="00545DDE"/>
    <w:rsid w:val="00546429"/>
    <w:rsid w:val="00546581"/>
    <w:rsid w:val="005465D8"/>
    <w:rsid w:val="005468CB"/>
    <w:rsid w:val="00546BEA"/>
    <w:rsid w:val="00547094"/>
    <w:rsid w:val="00547D7F"/>
    <w:rsid w:val="00550BE0"/>
    <w:rsid w:val="00551510"/>
    <w:rsid w:val="00552E32"/>
    <w:rsid w:val="00553299"/>
    <w:rsid w:val="00553711"/>
    <w:rsid w:val="00553A2C"/>
    <w:rsid w:val="00553B7D"/>
    <w:rsid w:val="00553EE0"/>
    <w:rsid w:val="005543BB"/>
    <w:rsid w:val="00554482"/>
    <w:rsid w:val="0055516D"/>
    <w:rsid w:val="005553B2"/>
    <w:rsid w:val="005554B4"/>
    <w:rsid w:val="00555F25"/>
    <w:rsid w:val="00556F89"/>
    <w:rsid w:val="00557C01"/>
    <w:rsid w:val="00557E35"/>
    <w:rsid w:val="00557FBB"/>
    <w:rsid w:val="00560263"/>
    <w:rsid w:val="0056059D"/>
    <w:rsid w:val="0056069A"/>
    <w:rsid w:val="00561355"/>
    <w:rsid w:val="00561F88"/>
    <w:rsid w:val="00562243"/>
    <w:rsid w:val="00563463"/>
    <w:rsid w:val="005634A4"/>
    <w:rsid w:val="005636BC"/>
    <w:rsid w:val="00563F51"/>
    <w:rsid w:val="005641DA"/>
    <w:rsid w:val="00564247"/>
    <w:rsid w:val="00564D89"/>
    <w:rsid w:val="00566771"/>
    <w:rsid w:val="00566BAD"/>
    <w:rsid w:val="00566E44"/>
    <w:rsid w:val="0057091A"/>
    <w:rsid w:val="00570DD9"/>
    <w:rsid w:val="0057178A"/>
    <w:rsid w:val="005718BC"/>
    <w:rsid w:val="00571FE1"/>
    <w:rsid w:val="0057213E"/>
    <w:rsid w:val="005725A3"/>
    <w:rsid w:val="005726FB"/>
    <w:rsid w:val="00572CE6"/>
    <w:rsid w:val="00574188"/>
    <w:rsid w:val="00574AE3"/>
    <w:rsid w:val="00575B78"/>
    <w:rsid w:val="00575E1A"/>
    <w:rsid w:val="0057700B"/>
    <w:rsid w:val="005800BB"/>
    <w:rsid w:val="005802FA"/>
    <w:rsid w:val="0058125A"/>
    <w:rsid w:val="00582036"/>
    <w:rsid w:val="0058226A"/>
    <w:rsid w:val="00583114"/>
    <w:rsid w:val="005834AE"/>
    <w:rsid w:val="00583A69"/>
    <w:rsid w:val="00583C2B"/>
    <w:rsid w:val="0058444A"/>
    <w:rsid w:val="00584C0C"/>
    <w:rsid w:val="005852C3"/>
    <w:rsid w:val="0058639F"/>
    <w:rsid w:val="005865F9"/>
    <w:rsid w:val="00586ABB"/>
    <w:rsid w:val="005873CC"/>
    <w:rsid w:val="00590C1A"/>
    <w:rsid w:val="005918B9"/>
    <w:rsid w:val="005930D0"/>
    <w:rsid w:val="005937FA"/>
    <w:rsid w:val="005948BC"/>
    <w:rsid w:val="00595CF4"/>
    <w:rsid w:val="00595D6F"/>
    <w:rsid w:val="00595F39"/>
    <w:rsid w:val="0059692A"/>
    <w:rsid w:val="00596DCF"/>
    <w:rsid w:val="0059775C"/>
    <w:rsid w:val="005979E5"/>
    <w:rsid w:val="00597D7E"/>
    <w:rsid w:val="005A0563"/>
    <w:rsid w:val="005A0AF5"/>
    <w:rsid w:val="005A14DC"/>
    <w:rsid w:val="005A1524"/>
    <w:rsid w:val="005A1631"/>
    <w:rsid w:val="005A28B3"/>
    <w:rsid w:val="005A38F9"/>
    <w:rsid w:val="005A3AEF"/>
    <w:rsid w:val="005A3EC3"/>
    <w:rsid w:val="005A3FD1"/>
    <w:rsid w:val="005A4926"/>
    <w:rsid w:val="005A5837"/>
    <w:rsid w:val="005A5B0C"/>
    <w:rsid w:val="005A6563"/>
    <w:rsid w:val="005A6AD8"/>
    <w:rsid w:val="005A70DD"/>
    <w:rsid w:val="005A7884"/>
    <w:rsid w:val="005A7B1A"/>
    <w:rsid w:val="005B03CC"/>
    <w:rsid w:val="005B264D"/>
    <w:rsid w:val="005B2AC8"/>
    <w:rsid w:val="005B39B5"/>
    <w:rsid w:val="005B3B84"/>
    <w:rsid w:val="005B3D5D"/>
    <w:rsid w:val="005B40BF"/>
    <w:rsid w:val="005B413E"/>
    <w:rsid w:val="005B48A1"/>
    <w:rsid w:val="005B4A6D"/>
    <w:rsid w:val="005B4C7D"/>
    <w:rsid w:val="005B4D4A"/>
    <w:rsid w:val="005B5CF5"/>
    <w:rsid w:val="005B620C"/>
    <w:rsid w:val="005B66E1"/>
    <w:rsid w:val="005B6A7E"/>
    <w:rsid w:val="005C0590"/>
    <w:rsid w:val="005C0CA5"/>
    <w:rsid w:val="005C155E"/>
    <w:rsid w:val="005C237A"/>
    <w:rsid w:val="005C320C"/>
    <w:rsid w:val="005C35F6"/>
    <w:rsid w:val="005C3A8C"/>
    <w:rsid w:val="005C59BD"/>
    <w:rsid w:val="005C5F67"/>
    <w:rsid w:val="005C6F54"/>
    <w:rsid w:val="005D011A"/>
    <w:rsid w:val="005D05AA"/>
    <w:rsid w:val="005D0FE8"/>
    <w:rsid w:val="005D15F8"/>
    <w:rsid w:val="005D1A28"/>
    <w:rsid w:val="005D1B90"/>
    <w:rsid w:val="005D1CD5"/>
    <w:rsid w:val="005D1D99"/>
    <w:rsid w:val="005D1E69"/>
    <w:rsid w:val="005D2FA2"/>
    <w:rsid w:val="005D31D0"/>
    <w:rsid w:val="005D32D8"/>
    <w:rsid w:val="005D33D0"/>
    <w:rsid w:val="005D35B6"/>
    <w:rsid w:val="005D3646"/>
    <w:rsid w:val="005D3989"/>
    <w:rsid w:val="005D549B"/>
    <w:rsid w:val="005D5EE6"/>
    <w:rsid w:val="005D6887"/>
    <w:rsid w:val="005D6AF4"/>
    <w:rsid w:val="005D6CF7"/>
    <w:rsid w:val="005D7710"/>
    <w:rsid w:val="005D7BF4"/>
    <w:rsid w:val="005E085D"/>
    <w:rsid w:val="005E0AA8"/>
    <w:rsid w:val="005E1111"/>
    <w:rsid w:val="005E12B6"/>
    <w:rsid w:val="005E144D"/>
    <w:rsid w:val="005E2192"/>
    <w:rsid w:val="005E2844"/>
    <w:rsid w:val="005E30C9"/>
    <w:rsid w:val="005E3D07"/>
    <w:rsid w:val="005E473C"/>
    <w:rsid w:val="005E5E9F"/>
    <w:rsid w:val="005E63D2"/>
    <w:rsid w:val="005E6820"/>
    <w:rsid w:val="005E6A89"/>
    <w:rsid w:val="005E6AE0"/>
    <w:rsid w:val="005E6C45"/>
    <w:rsid w:val="005E7765"/>
    <w:rsid w:val="005E77E8"/>
    <w:rsid w:val="005E7934"/>
    <w:rsid w:val="005E7EB3"/>
    <w:rsid w:val="005F0684"/>
    <w:rsid w:val="005F1A2D"/>
    <w:rsid w:val="005F1B02"/>
    <w:rsid w:val="005F202E"/>
    <w:rsid w:val="005F2097"/>
    <w:rsid w:val="005F2323"/>
    <w:rsid w:val="005F2CB0"/>
    <w:rsid w:val="005F2CC3"/>
    <w:rsid w:val="005F2F12"/>
    <w:rsid w:val="005F3672"/>
    <w:rsid w:val="005F46B3"/>
    <w:rsid w:val="005F58A2"/>
    <w:rsid w:val="005F7A03"/>
    <w:rsid w:val="005F7DF8"/>
    <w:rsid w:val="005F7E40"/>
    <w:rsid w:val="006003E7"/>
    <w:rsid w:val="006004A7"/>
    <w:rsid w:val="006004AE"/>
    <w:rsid w:val="00600C4D"/>
    <w:rsid w:val="00600C67"/>
    <w:rsid w:val="00600EC9"/>
    <w:rsid w:val="00601073"/>
    <w:rsid w:val="00601534"/>
    <w:rsid w:val="00601EC7"/>
    <w:rsid w:val="00601F69"/>
    <w:rsid w:val="006020E8"/>
    <w:rsid w:val="006029E5"/>
    <w:rsid w:val="006035EF"/>
    <w:rsid w:val="0060365F"/>
    <w:rsid w:val="006037F2"/>
    <w:rsid w:val="00603920"/>
    <w:rsid w:val="00604AAC"/>
    <w:rsid w:val="00604CF2"/>
    <w:rsid w:val="0060599E"/>
    <w:rsid w:val="006060F8"/>
    <w:rsid w:val="00606572"/>
    <w:rsid w:val="006067D0"/>
    <w:rsid w:val="00606BFD"/>
    <w:rsid w:val="00606D2F"/>
    <w:rsid w:val="00606EF9"/>
    <w:rsid w:val="00607A03"/>
    <w:rsid w:val="00610933"/>
    <w:rsid w:val="00611A3F"/>
    <w:rsid w:val="00611C1D"/>
    <w:rsid w:val="00611F68"/>
    <w:rsid w:val="00612F03"/>
    <w:rsid w:val="0061394A"/>
    <w:rsid w:val="00613B1D"/>
    <w:rsid w:val="006140BF"/>
    <w:rsid w:val="006153C7"/>
    <w:rsid w:val="00616222"/>
    <w:rsid w:val="006163F2"/>
    <w:rsid w:val="006168AD"/>
    <w:rsid w:val="00616B1E"/>
    <w:rsid w:val="00616D43"/>
    <w:rsid w:val="00617D43"/>
    <w:rsid w:val="00620E2F"/>
    <w:rsid w:val="00621945"/>
    <w:rsid w:val="006227BF"/>
    <w:rsid w:val="006233BC"/>
    <w:rsid w:val="00623964"/>
    <w:rsid w:val="00623E15"/>
    <w:rsid w:val="006243BF"/>
    <w:rsid w:val="00624CE3"/>
    <w:rsid w:val="0062557B"/>
    <w:rsid w:val="00625734"/>
    <w:rsid w:val="0062627A"/>
    <w:rsid w:val="006266E0"/>
    <w:rsid w:val="00627FA3"/>
    <w:rsid w:val="0063039D"/>
    <w:rsid w:val="00630521"/>
    <w:rsid w:val="00630C69"/>
    <w:rsid w:val="006315A7"/>
    <w:rsid w:val="00631BE4"/>
    <w:rsid w:val="00631CB8"/>
    <w:rsid w:val="00632250"/>
    <w:rsid w:val="00632605"/>
    <w:rsid w:val="0063282E"/>
    <w:rsid w:val="00632BE9"/>
    <w:rsid w:val="00634863"/>
    <w:rsid w:val="00634916"/>
    <w:rsid w:val="00636FB9"/>
    <w:rsid w:val="00637ADA"/>
    <w:rsid w:val="00641EBE"/>
    <w:rsid w:val="00642751"/>
    <w:rsid w:val="00642913"/>
    <w:rsid w:val="00643416"/>
    <w:rsid w:val="006445C5"/>
    <w:rsid w:val="0064500A"/>
    <w:rsid w:val="006455B5"/>
    <w:rsid w:val="00645F97"/>
    <w:rsid w:val="00646140"/>
    <w:rsid w:val="006469DA"/>
    <w:rsid w:val="00646B9B"/>
    <w:rsid w:val="00646F30"/>
    <w:rsid w:val="0064780B"/>
    <w:rsid w:val="0065027A"/>
    <w:rsid w:val="0065090E"/>
    <w:rsid w:val="00650E19"/>
    <w:rsid w:val="00651105"/>
    <w:rsid w:val="0065160C"/>
    <w:rsid w:val="00651636"/>
    <w:rsid w:val="00651B6C"/>
    <w:rsid w:val="00651BAE"/>
    <w:rsid w:val="00651C79"/>
    <w:rsid w:val="00652778"/>
    <w:rsid w:val="006530C9"/>
    <w:rsid w:val="006533ED"/>
    <w:rsid w:val="00653BC9"/>
    <w:rsid w:val="00653E27"/>
    <w:rsid w:val="006558C7"/>
    <w:rsid w:val="00655E34"/>
    <w:rsid w:val="006573C8"/>
    <w:rsid w:val="00657B39"/>
    <w:rsid w:val="00661258"/>
    <w:rsid w:val="00661296"/>
    <w:rsid w:val="006612BE"/>
    <w:rsid w:val="00661F4C"/>
    <w:rsid w:val="006629D1"/>
    <w:rsid w:val="006630F2"/>
    <w:rsid w:val="0066353C"/>
    <w:rsid w:val="006643C0"/>
    <w:rsid w:val="006644B9"/>
    <w:rsid w:val="00664F49"/>
    <w:rsid w:val="0066566F"/>
    <w:rsid w:val="006656C0"/>
    <w:rsid w:val="00665815"/>
    <w:rsid w:val="006665AC"/>
    <w:rsid w:val="00666F06"/>
    <w:rsid w:val="00667840"/>
    <w:rsid w:val="006679F2"/>
    <w:rsid w:val="00670D62"/>
    <w:rsid w:val="006719C1"/>
    <w:rsid w:val="00671DFF"/>
    <w:rsid w:val="006724C0"/>
    <w:rsid w:val="00672885"/>
    <w:rsid w:val="00672D54"/>
    <w:rsid w:val="00672E37"/>
    <w:rsid w:val="0067399B"/>
    <w:rsid w:val="0067467B"/>
    <w:rsid w:val="00674B00"/>
    <w:rsid w:val="006753C5"/>
    <w:rsid w:val="00675C5A"/>
    <w:rsid w:val="00675D6C"/>
    <w:rsid w:val="00676B9A"/>
    <w:rsid w:val="00677A89"/>
    <w:rsid w:val="00677B96"/>
    <w:rsid w:val="00680632"/>
    <w:rsid w:val="00680D12"/>
    <w:rsid w:val="006814B2"/>
    <w:rsid w:val="00681A81"/>
    <w:rsid w:val="006821B2"/>
    <w:rsid w:val="00683BC0"/>
    <w:rsid w:val="00683D85"/>
    <w:rsid w:val="00683FD7"/>
    <w:rsid w:val="006848DF"/>
    <w:rsid w:val="00684E14"/>
    <w:rsid w:val="006858E4"/>
    <w:rsid w:val="00685CC4"/>
    <w:rsid w:val="006860F5"/>
    <w:rsid w:val="006865C2"/>
    <w:rsid w:val="0068690E"/>
    <w:rsid w:val="0068753B"/>
    <w:rsid w:val="006901DE"/>
    <w:rsid w:val="006902B3"/>
    <w:rsid w:val="00690362"/>
    <w:rsid w:val="00690FDA"/>
    <w:rsid w:val="00692685"/>
    <w:rsid w:val="00692C1F"/>
    <w:rsid w:val="00692C7C"/>
    <w:rsid w:val="00692DE6"/>
    <w:rsid w:val="00693C10"/>
    <w:rsid w:val="0069400B"/>
    <w:rsid w:val="00694036"/>
    <w:rsid w:val="0069458A"/>
    <w:rsid w:val="00694683"/>
    <w:rsid w:val="00694EA0"/>
    <w:rsid w:val="00695201"/>
    <w:rsid w:val="0069547C"/>
    <w:rsid w:val="00695F41"/>
    <w:rsid w:val="0069672A"/>
    <w:rsid w:val="006968F4"/>
    <w:rsid w:val="00696B46"/>
    <w:rsid w:val="00696C82"/>
    <w:rsid w:val="00697B83"/>
    <w:rsid w:val="00697BBB"/>
    <w:rsid w:val="00697EC8"/>
    <w:rsid w:val="006A01E3"/>
    <w:rsid w:val="006A08C8"/>
    <w:rsid w:val="006A1AF8"/>
    <w:rsid w:val="006A1D7C"/>
    <w:rsid w:val="006A1E7D"/>
    <w:rsid w:val="006A21F4"/>
    <w:rsid w:val="006A2ADE"/>
    <w:rsid w:val="006A2FE5"/>
    <w:rsid w:val="006A34A8"/>
    <w:rsid w:val="006A36DA"/>
    <w:rsid w:val="006A4231"/>
    <w:rsid w:val="006A46D5"/>
    <w:rsid w:val="006A4D44"/>
    <w:rsid w:val="006A5C48"/>
    <w:rsid w:val="006A5EE9"/>
    <w:rsid w:val="006A63C0"/>
    <w:rsid w:val="006A63E3"/>
    <w:rsid w:val="006A6C11"/>
    <w:rsid w:val="006A6C88"/>
    <w:rsid w:val="006A7079"/>
    <w:rsid w:val="006B1E55"/>
    <w:rsid w:val="006B2772"/>
    <w:rsid w:val="006B459E"/>
    <w:rsid w:val="006B47E5"/>
    <w:rsid w:val="006B6669"/>
    <w:rsid w:val="006B74BE"/>
    <w:rsid w:val="006B751E"/>
    <w:rsid w:val="006B7A1C"/>
    <w:rsid w:val="006B7A60"/>
    <w:rsid w:val="006B7B70"/>
    <w:rsid w:val="006B7C7E"/>
    <w:rsid w:val="006C128D"/>
    <w:rsid w:val="006C19BA"/>
    <w:rsid w:val="006C1DAB"/>
    <w:rsid w:val="006C1E9A"/>
    <w:rsid w:val="006C2151"/>
    <w:rsid w:val="006C256B"/>
    <w:rsid w:val="006C2E9D"/>
    <w:rsid w:val="006C351B"/>
    <w:rsid w:val="006C3736"/>
    <w:rsid w:val="006C58AC"/>
    <w:rsid w:val="006C599C"/>
    <w:rsid w:val="006C6A0E"/>
    <w:rsid w:val="006C6F26"/>
    <w:rsid w:val="006C7286"/>
    <w:rsid w:val="006D03CE"/>
    <w:rsid w:val="006D198B"/>
    <w:rsid w:val="006D1DF7"/>
    <w:rsid w:val="006D2391"/>
    <w:rsid w:val="006D2979"/>
    <w:rsid w:val="006D42F5"/>
    <w:rsid w:val="006D49AC"/>
    <w:rsid w:val="006D4E59"/>
    <w:rsid w:val="006D51E2"/>
    <w:rsid w:val="006D5764"/>
    <w:rsid w:val="006D5B4E"/>
    <w:rsid w:val="006D638C"/>
    <w:rsid w:val="006D6EFD"/>
    <w:rsid w:val="006D76D2"/>
    <w:rsid w:val="006D7D0D"/>
    <w:rsid w:val="006E13B4"/>
    <w:rsid w:val="006E1984"/>
    <w:rsid w:val="006E2325"/>
    <w:rsid w:val="006E25D0"/>
    <w:rsid w:val="006E3395"/>
    <w:rsid w:val="006E3416"/>
    <w:rsid w:val="006E43FE"/>
    <w:rsid w:val="006E65AA"/>
    <w:rsid w:val="006E687D"/>
    <w:rsid w:val="006E6ACB"/>
    <w:rsid w:val="006E7DFF"/>
    <w:rsid w:val="006F043B"/>
    <w:rsid w:val="006F149A"/>
    <w:rsid w:val="006F1F39"/>
    <w:rsid w:val="006F30E3"/>
    <w:rsid w:val="006F401F"/>
    <w:rsid w:val="006F4637"/>
    <w:rsid w:val="006F5B74"/>
    <w:rsid w:val="006F64B5"/>
    <w:rsid w:val="006F7ADA"/>
    <w:rsid w:val="006F7DA0"/>
    <w:rsid w:val="0070132C"/>
    <w:rsid w:val="00701C6A"/>
    <w:rsid w:val="0070218A"/>
    <w:rsid w:val="007024CC"/>
    <w:rsid w:val="00702572"/>
    <w:rsid w:val="007027C2"/>
    <w:rsid w:val="00702D39"/>
    <w:rsid w:val="007037B1"/>
    <w:rsid w:val="0070384D"/>
    <w:rsid w:val="007043CC"/>
    <w:rsid w:val="007047A5"/>
    <w:rsid w:val="00704C34"/>
    <w:rsid w:val="00705BA9"/>
    <w:rsid w:val="00710116"/>
    <w:rsid w:val="00711D14"/>
    <w:rsid w:val="00712793"/>
    <w:rsid w:val="00714BEA"/>
    <w:rsid w:val="007151DB"/>
    <w:rsid w:val="00715D47"/>
    <w:rsid w:val="007162DB"/>
    <w:rsid w:val="007166D7"/>
    <w:rsid w:val="00716F9A"/>
    <w:rsid w:val="00717893"/>
    <w:rsid w:val="00717AC2"/>
    <w:rsid w:val="00720BB2"/>
    <w:rsid w:val="00720E13"/>
    <w:rsid w:val="00721779"/>
    <w:rsid w:val="007217B4"/>
    <w:rsid w:val="00722821"/>
    <w:rsid w:val="00723D7F"/>
    <w:rsid w:val="00724868"/>
    <w:rsid w:val="007249F2"/>
    <w:rsid w:val="00724AE6"/>
    <w:rsid w:val="007254D9"/>
    <w:rsid w:val="00725CF0"/>
    <w:rsid w:val="00725D22"/>
    <w:rsid w:val="00726182"/>
    <w:rsid w:val="00727AF2"/>
    <w:rsid w:val="00727EF9"/>
    <w:rsid w:val="00730000"/>
    <w:rsid w:val="00730446"/>
    <w:rsid w:val="00730F3B"/>
    <w:rsid w:val="007311E8"/>
    <w:rsid w:val="00731A91"/>
    <w:rsid w:val="00732003"/>
    <w:rsid w:val="00732A24"/>
    <w:rsid w:val="00734674"/>
    <w:rsid w:val="00735655"/>
    <w:rsid w:val="007370D2"/>
    <w:rsid w:val="0073762C"/>
    <w:rsid w:val="00740220"/>
    <w:rsid w:val="00740448"/>
    <w:rsid w:val="00740EF4"/>
    <w:rsid w:val="00741546"/>
    <w:rsid w:val="007418B0"/>
    <w:rsid w:val="00741E1C"/>
    <w:rsid w:val="00742C44"/>
    <w:rsid w:val="0074375C"/>
    <w:rsid w:val="00745527"/>
    <w:rsid w:val="00745FF2"/>
    <w:rsid w:val="00747545"/>
    <w:rsid w:val="007478D0"/>
    <w:rsid w:val="00747F02"/>
    <w:rsid w:val="00750568"/>
    <w:rsid w:val="0075121C"/>
    <w:rsid w:val="00751D30"/>
    <w:rsid w:val="007521F3"/>
    <w:rsid w:val="00752ECA"/>
    <w:rsid w:val="00753C7C"/>
    <w:rsid w:val="00753E84"/>
    <w:rsid w:val="00754006"/>
    <w:rsid w:val="00754982"/>
    <w:rsid w:val="00754B2A"/>
    <w:rsid w:val="007551EF"/>
    <w:rsid w:val="0075522E"/>
    <w:rsid w:val="0075573F"/>
    <w:rsid w:val="007562A4"/>
    <w:rsid w:val="007563C5"/>
    <w:rsid w:val="0075746C"/>
    <w:rsid w:val="00760274"/>
    <w:rsid w:val="00760FA8"/>
    <w:rsid w:val="00761766"/>
    <w:rsid w:val="0076335C"/>
    <w:rsid w:val="0076348A"/>
    <w:rsid w:val="00763E58"/>
    <w:rsid w:val="00764325"/>
    <w:rsid w:val="007643A0"/>
    <w:rsid w:val="00764EA3"/>
    <w:rsid w:val="0076515D"/>
    <w:rsid w:val="00767C4E"/>
    <w:rsid w:val="00767CDB"/>
    <w:rsid w:val="0077035D"/>
    <w:rsid w:val="00770498"/>
    <w:rsid w:val="0077053F"/>
    <w:rsid w:val="00771231"/>
    <w:rsid w:val="00771293"/>
    <w:rsid w:val="00771CED"/>
    <w:rsid w:val="00772985"/>
    <w:rsid w:val="00772CAD"/>
    <w:rsid w:val="00772E03"/>
    <w:rsid w:val="00773ADA"/>
    <w:rsid w:val="00773C81"/>
    <w:rsid w:val="007741DD"/>
    <w:rsid w:val="007744BE"/>
    <w:rsid w:val="007746DE"/>
    <w:rsid w:val="0077519F"/>
    <w:rsid w:val="00775A41"/>
    <w:rsid w:val="0077628D"/>
    <w:rsid w:val="007768C6"/>
    <w:rsid w:val="007768FC"/>
    <w:rsid w:val="00777853"/>
    <w:rsid w:val="00777A44"/>
    <w:rsid w:val="00777EC0"/>
    <w:rsid w:val="00780F59"/>
    <w:rsid w:val="00781089"/>
    <w:rsid w:val="0078194D"/>
    <w:rsid w:val="00782F5F"/>
    <w:rsid w:val="007844F2"/>
    <w:rsid w:val="007850EF"/>
    <w:rsid w:val="00785CA9"/>
    <w:rsid w:val="00787444"/>
    <w:rsid w:val="00787451"/>
    <w:rsid w:val="0079013F"/>
    <w:rsid w:val="00790F82"/>
    <w:rsid w:val="00791C3B"/>
    <w:rsid w:val="007929EE"/>
    <w:rsid w:val="00793045"/>
    <w:rsid w:val="007930D3"/>
    <w:rsid w:val="007933B0"/>
    <w:rsid w:val="00793683"/>
    <w:rsid w:val="00794468"/>
    <w:rsid w:val="00794FE2"/>
    <w:rsid w:val="00794FFE"/>
    <w:rsid w:val="00795E96"/>
    <w:rsid w:val="00796AFC"/>
    <w:rsid w:val="00796ECA"/>
    <w:rsid w:val="00796F45"/>
    <w:rsid w:val="007972A4"/>
    <w:rsid w:val="0079774F"/>
    <w:rsid w:val="00797AAB"/>
    <w:rsid w:val="00797C1E"/>
    <w:rsid w:val="007A01D5"/>
    <w:rsid w:val="007A036C"/>
    <w:rsid w:val="007A0F46"/>
    <w:rsid w:val="007A10FB"/>
    <w:rsid w:val="007A12BA"/>
    <w:rsid w:val="007A19AF"/>
    <w:rsid w:val="007A31C6"/>
    <w:rsid w:val="007A3621"/>
    <w:rsid w:val="007A4CC9"/>
    <w:rsid w:val="007A4E85"/>
    <w:rsid w:val="007A4F01"/>
    <w:rsid w:val="007A55D0"/>
    <w:rsid w:val="007A5DB4"/>
    <w:rsid w:val="007A67A2"/>
    <w:rsid w:val="007A71AD"/>
    <w:rsid w:val="007A7322"/>
    <w:rsid w:val="007A770C"/>
    <w:rsid w:val="007A7DE6"/>
    <w:rsid w:val="007B02A5"/>
    <w:rsid w:val="007B0545"/>
    <w:rsid w:val="007B0BA4"/>
    <w:rsid w:val="007B0CDD"/>
    <w:rsid w:val="007B23E1"/>
    <w:rsid w:val="007B45B8"/>
    <w:rsid w:val="007B48FE"/>
    <w:rsid w:val="007B4BA8"/>
    <w:rsid w:val="007B4E25"/>
    <w:rsid w:val="007B5C12"/>
    <w:rsid w:val="007B5D14"/>
    <w:rsid w:val="007B5F28"/>
    <w:rsid w:val="007B6159"/>
    <w:rsid w:val="007B6335"/>
    <w:rsid w:val="007B7531"/>
    <w:rsid w:val="007B7AED"/>
    <w:rsid w:val="007B7B5F"/>
    <w:rsid w:val="007C0325"/>
    <w:rsid w:val="007C0A17"/>
    <w:rsid w:val="007C0ACF"/>
    <w:rsid w:val="007C130D"/>
    <w:rsid w:val="007C1565"/>
    <w:rsid w:val="007C2B22"/>
    <w:rsid w:val="007C50AF"/>
    <w:rsid w:val="007C566F"/>
    <w:rsid w:val="007C6AFE"/>
    <w:rsid w:val="007C6E66"/>
    <w:rsid w:val="007D028F"/>
    <w:rsid w:val="007D0915"/>
    <w:rsid w:val="007D0B3F"/>
    <w:rsid w:val="007D0F3F"/>
    <w:rsid w:val="007D1D7F"/>
    <w:rsid w:val="007D2C05"/>
    <w:rsid w:val="007D31D6"/>
    <w:rsid w:val="007D365A"/>
    <w:rsid w:val="007D45E8"/>
    <w:rsid w:val="007D5431"/>
    <w:rsid w:val="007D65EB"/>
    <w:rsid w:val="007D754F"/>
    <w:rsid w:val="007D7CB8"/>
    <w:rsid w:val="007D7E71"/>
    <w:rsid w:val="007E0042"/>
    <w:rsid w:val="007E0EA1"/>
    <w:rsid w:val="007E106C"/>
    <w:rsid w:val="007E18ED"/>
    <w:rsid w:val="007E1EBF"/>
    <w:rsid w:val="007E3974"/>
    <w:rsid w:val="007E444D"/>
    <w:rsid w:val="007E48BE"/>
    <w:rsid w:val="007E494B"/>
    <w:rsid w:val="007E49D1"/>
    <w:rsid w:val="007E572B"/>
    <w:rsid w:val="007E5828"/>
    <w:rsid w:val="007E5C81"/>
    <w:rsid w:val="007E6622"/>
    <w:rsid w:val="007E6898"/>
    <w:rsid w:val="007E6A06"/>
    <w:rsid w:val="007F0E39"/>
    <w:rsid w:val="007F184E"/>
    <w:rsid w:val="007F1A0C"/>
    <w:rsid w:val="007F2012"/>
    <w:rsid w:val="007F230B"/>
    <w:rsid w:val="007F27D8"/>
    <w:rsid w:val="007F2F4E"/>
    <w:rsid w:val="007F3381"/>
    <w:rsid w:val="007F3F5B"/>
    <w:rsid w:val="007F5222"/>
    <w:rsid w:val="007F534C"/>
    <w:rsid w:val="007F5AB2"/>
    <w:rsid w:val="007F5DB4"/>
    <w:rsid w:val="007F663A"/>
    <w:rsid w:val="00800C3E"/>
    <w:rsid w:val="00801274"/>
    <w:rsid w:val="00802627"/>
    <w:rsid w:val="008027F5"/>
    <w:rsid w:val="008037F7"/>
    <w:rsid w:val="008047B2"/>
    <w:rsid w:val="00804BCF"/>
    <w:rsid w:val="008051A9"/>
    <w:rsid w:val="00805498"/>
    <w:rsid w:val="008057C5"/>
    <w:rsid w:val="008070A7"/>
    <w:rsid w:val="00807945"/>
    <w:rsid w:val="008101AD"/>
    <w:rsid w:val="008106E8"/>
    <w:rsid w:val="00810BC8"/>
    <w:rsid w:val="00810D97"/>
    <w:rsid w:val="008114FA"/>
    <w:rsid w:val="00811D5D"/>
    <w:rsid w:val="00812A14"/>
    <w:rsid w:val="00812A3C"/>
    <w:rsid w:val="00812B55"/>
    <w:rsid w:val="00812E6F"/>
    <w:rsid w:val="00813261"/>
    <w:rsid w:val="0081365A"/>
    <w:rsid w:val="0081390E"/>
    <w:rsid w:val="00814685"/>
    <w:rsid w:val="008149D8"/>
    <w:rsid w:val="00814F02"/>
    <w:rsid w:val="008151F0"/>
    <w:rsid w:val="00815475"/>
    <w:rsid w:val="00815936"/>
    <w:rsid w:val="00820164"/>
    <w:rsid w:val="008204EF"/>
    <w:rsid w:val="00820E86"/>
    <w:rsid w:val="00820EBD"/>
    <w:rsid w:val="00822C5D"/>
    <w:rsid w:val="00822D42"/>
    <w:rsid w:val="008236F9"/>
    <w:rsid w:val="008237BF"/>
    <w:rsid w:val="00823F40"/>
    <w:rsid w:val="00824314"/>
    <w:rsid w:val="00824BC0"/>
    <w:rsid w:val="0082571E"/>
    <w:rsid w:val="00825AD4"/>
    <w:rsid w:val="0082660E"/>
    <w:rsid w:val="00826E52"/>
    <w:rsid w:val="00827782"/>
    <w:rsid w:val="0083007D"/>
    <w:rsid w:val="008300B5"/>
    <w:rsid w:val="00830460"/>
    <w:rsid w:val="00830528"/>
    <w:rsid w:val="00832B58"/>
    <w:rsid w:val="008336B5"/>
    <w:rsid w:val="00834634"/>
    <w:rsid w:val="00835462"/>
    <w:rsid w:val="00836BEA"/>
    <w:rsid w:val="00836C70"/>
    <w:rsid w:val="008403D8"/>
    <w:rsid w:val="008409E5"/>
    <w:rsid w:val="00840A7D"/>
    <w:rsid w:val="008410BD"/>
    <w:rsid w:val="0084195B"/>
    <w:rsid w:val="00841F2F"/>
    <w:rsid w:val="00842746"/>
    <w:rsid w:val="00842CFA"/>
    <w:rsid w:val="00842EBC"/>
    <w:rsid w:val="00844FB9"/>
    <w:rsid w:val="00845414"/>
    <w:rsid w:val="00845465"/>
    <w:rsid w:val="008457AB"/>
    <w:rsid w:val="00845E63"/>
    <w:rsid w:val="00846596"/>
    <w:rsid w:val="00846BE5"/>
    <w:rsid w:val="008476E7"/>
    <w:rsid w:val="00850788"/>
    <w:rsid w:val="00850869"/>
    <w:rsid w:val="00852609"/>
    <w:rsid w:val="00852C11"/>
    <w:rsid w:val="0085405C"/>
    <w:rsid w:val="00855072"/>
    <w:rsid w:val="00855329"/>
    <w:rsid w:val="00855BF4"/>
    <w:rsid w:val="00855DBE"/>
    <w:rsid w:val="00856870"/>
    <w:rsid w:val="00856BC8"/>
    <w:rsid w:val="00856E74"/>
    <w:rsid w:val="008577D2"/>
    <w:rsid w:val="00860493"/>
    <w:rsid w:val="00860637"/>
    <w:rsid w:val="00860B9B"/>
    <w:rsid w:val="0086256A"/>
    <w:rsid w:val="00862A5C"/>
    <w:rsid w:val="00862D74"/>
    <w:rsid w:val="00863852"/>
    <w:rsid w:val="008652D2"/>
    <w:rsid w:val="008657AD"/>
    <w:rsid w:val="00865B9B"/>
    <w:rsid w:val="008661BB"/>
    <w:rsid w:val="00866743"/>
    <w:rsid w:val="00866BDA"/>
    <w:rsid w:val="008677CF"/>
    <w:rsid w:val="00870E3D"/>
    <w:rsid w:val="008710CC"/>
    <w:rsid w:val="0087150B"/>
    <w:rsid w:val="00872E5D"/>
    <w:rsid w:val="00873A38"/>
    <w:rsid w:val="00874545"/>
    <w:rsid w:val="008745F3"/>
    <w:rsid w:val="00874AC6"/>
    <w:rsid w:val="008766B4"/>
    <w:rsid w:val="00877124"/>
    <w:rsid w:val="008777C2"/>
    <w:rsid w:val="008779B9"/>
    <w:rsid w:val="00877A65"/>
    <w:rsid w:val="00877B3A"/>
    <w:rsid w:val="00877EFE"/>
    <w:rsid w:val="008804CD"/>
    <w:rsid w:val="00880CA3"/>
    <w:rsid w:val="00880E3C"/>
    <w:rsid w:val="008812E3"/>
    <w:rsid w:val="00882A91"/>
    <w:rsid w:val="00882F2D"/>
    <w:rsid w:val="008837BB"/>
    <w:rsid w:val="008841C2"/>
    <w:rsid w:val="00885034"/>
    <w:rsid w:val="008854C0"/>
    <w:rsid w:val="0088560B"/>
    <w:rsid w:val="00885FBC"/>
    <w:rsid w:val="008861C4"/>
    <w:rsid w:val="0088741D"/>
    <w:rsid w:val="00887D1C"/>
    <w:rsid w:val="0089068E"/>
    <w:rsid w:val="0089161C"/>
    <w:rsid w:val="00891F7B"/>
    <w:rsid w:val="00892274"/>
    <w:rsid w:val="00892D47"/>
    <w:rsid w:val="008930E4"/>
    <w:rsid w:val="008936DA"/>
    <w:rsid w:val="00893F5A"/>
    <w:rsid w:val="00893F74"/>
    <w:rsid w:val="0089418C"/>
    <w:rsid w:val="00895280"/>
    <w:rsid w:val="008954BF"/>
    <w:rsid w:val="0089713D"/>
    <w:rsid w:val="008971AF"/>
    <w:rsid w:val="008978BF"/>
    <w:rsid w:val="00897CDE"/>
    <w:rsid w:val="00897CE4"/>
    <w:rsid w:val="008A0A01"/>
    <w:rsid w:val="008A14CF"/>
    <w:rsid w:val="008A18E9"/>
    <w:rsid w:val="008A31C7"/>
    <w:rsid w:val="008A32F5"/>
    <w:rsid w:val="008A4121"/>
    <w:rsid w:val="008A42BF"/>
    <w:rsid w:val="008A45A3"/>
    <w:rsid w:val="008A4A95"/>
    <w:rsid w:val="008A5389"/>
    <w:rsid w:val="008A5530"/>
    <w:rsid w:val="008A5AA7"/>
    <w:rsid w:val="008A5BDF"/>
    <w:rsid w:val="008A67AB"/>
    <w:rsid w:val="008A700B"/>
    <w:rsid w:val="008B0042"/>
    <w:rsid w:val="008B0B45"/>
    <w:rsid w:val="008B2420"/>
    <w:rsid w:val="008B2426"/>
    <w:rsid w:val="008B3673"/>
    <w:rsid w:val="008B395F"/>
    <w:rsid w:val="008B3DD4"/>
    <w:rsid w:val="008B3F5F"/>
    <w:rsid w:val="008B4090"/>
    <w:rsid w:val="008B503B"/>
    <w:rsid w:val="008B5048"/>
    <w:rsid w:val="008B5D1B"/>
    <w:rsid w:val="008B6D02"/>
    <w:rsid w:val="008B793C"/>
    <w:rsid w:val="008C00D9"/>
    <w:rsid w:val="008C026F"/>
    <w:rsid w:val="008C0B89"/>
    <w:rsid w:val="008C0F5C"/>
    <w:rsid w:val="008C1476"/>
    <w:rsid w:val="008C1522"/>
    <w:rsid w:val="008C5367"/>
    <w:rsid w:val="008C55D8"/>
    <w:rsid w:val="008C6286"/>
    <w:rsid w:val="008C6F72"/>
    <w:rsid w:val="008C7498"/>
    <w:rsid w:val="008C7555"/>
    <w:rsid w:val="008D14D8"/>
    <w:rsid w:val="008D16FB"/>
    <w:rsid w:val="008D1E2F"/>
    <w:rsid w:val="008D2AF7"/>
    <w:rsid w:val="008D3278"/>
    <w:rsid w:val="008D3760"/>
    <w:rsid w:val="008D404D"/>
    <w:rsid w:val="008D4BAC"/>
    <w:rsid w:val="008D4E72"/>
    <w:rsid w:val="008D5B4E"/>
    <w:rsid w:val="008D6016"/>
    <w:rsid w:val="008D77F2"/>
    <w:rsid w:val="008E1A11"/>
    <w:rsid w:val="008E23DC"/>
    <w:rsid w:val="008E2A2E"/>
    <w:rsid w:val="008E3967"/>
    <w:rsid w:val="008E44A4"/>
    <w:rsid w:val="008E44CA"/>
    <w:rsid w:val="008E44E4"/>
    <w:rsid w:val="008E503D"/>
    <w:rsid w:val="008E53C4"/>
    <w:rsid w:val="008E5AEE"/>
    <w:rsid w:val="008E7BAD"/>
    <w:rsid w:val="008F095A"/>
    <w:rsid w:val="008F11A6"/>
    <w:rsid w:val="008F2494"/>
    <w:rsid w:val="008F2D22"/>
    <w:rsid w:val="008F2D67"/>
    <w:rsid w:val="008F4452"/>
    <w:rsid w:val="008F4816"/>
    <w:rsid w:val="008F5507"/>
    <w:rsid w:val="008F71FA"/>
    <w:rsid w:val="00900C33"/>
    <w:rsid w:val="00900CD4"/>
    <w:rsid w:val="00901243"/>
    <w:rsid w:val="009016E8"/>
    <w:rsid w:val="00901E7A"/>
    <w:rsid w:val="00902642"/>
    <w:rsid w:val="00902731"/>
    <w:rsid w:val="009029FF"/>
    <w:rsid w:val="00902ACA"/>
    <w:rsid w:val="00904176"/>
    <w:rsid w:val="0090463A"/>
    <w:rsid w:val="009047BB"/>
    <w:rsid w:val="00904886"/>
    <w:rsid w:val="00904911"/>
    <w:rsid w:val="00904B12"/>
    <w:rsid w:val="00904E71"/>
    <w:rsid w:val="00905E86"/>
    <w:rsid w:val="00905EBB"/>
    <w:rsid w:val="00907180"/>
    <w:rsid w:val="00907845"/>
    <w:rsid w:val="009078E4"/>
    <w:rsid w:val="00907DE8"/>
    <w:rsid w:val="00910079"/>
    <w:rsid w:val="00910722"/>
    <w:rsid w:val="00911D82"/>
    <w:rsid w:val="0091211E"/>
    <w:rsid w:val="009127C2"/>
    <w:rsid w:val="0091322D"/>
    <w:rsid w:val="00913CF3"/>
    <w:rsid w:val="009149ED"/>
    <w:rsid w:val="0091528A"/>
    <w:rsid w:val="0091544F"/>
    <w:rsid w:val="00915858"/>
    <w:rsid w:val="0091710F"/>
    <w:rsid w:val="009178E8"/>
    <w:rsid w:val="00917C6B"/>
    <w:rsid w:val="00917EB4"/>
    <w:rsid w:val="0092038B"/>
    <w:rsid w:val="00921B31"/>
    <w:rsid w:val="00921BFE"/>
    <w:rsid w:val="00921D5E"/>
    <w:rsid w:val="0092233B"/>
    <w:rsid w:val="009224C6"/>
    <w:rsid w:val="00922CCA"/>
    <w:rsid w:val="009230DC"/>
    <w:rsid w:val="009230E6"/>
    <w:rsid w:val="00925397"/>
    <w:rsid w:val="00925AE4"/>
    <w:rsid w:val="00925C10"/>
    <w:rsid w:val="0092604A"/>
    <w:rsid w:val="0092759A"/>
    <w:rsid w:val="00930826"/>
    <w:rsid w:val="00930B13"/>
    <w:rsid w:val="0093121D"/>
    <w:rsid w:val="00932B75"/>
    <w:rsid w:val="00933BA0"/>
    <w:rsid w:val="009349DF"/>
    <w:rsid w:val="00934AD1"/>
    <w:rsid w:val="00935011"/>
    <w:rsid w:val="00935019"/>
    <w:rsid w:val="009352AE"/>
    <w:rsid w:val="009359B8"/>
    <w:rsid w:val="00935ED9"/>
    <w:rsid w:val="00935F13"/>
    <w:rsid w:val="00937271"/>
    <w:rsid w:val="00941391"/>
    <w:rsid w:val="00941423"/>
    <w:rsid w:val="00942428"/>
    <w:rsid w:val="00942A85"/>
    <w:rsid w:val="00942B04"/>
    <w:rsid w:val="00943EC0"/>
    <w:rsid w:val="00944003"/>
    <w:rsid w:val="00944217"/>
    <w:rsid w:val="009450E5"/>
    <w:rsid w:val="00945EDA"/>
    <w:rsid w:val="009468C3"/>
    <w:rsid w:val="00946C17"/>
    <w:rsid w:val="00947207"/>
    <w:rsid w:val="0095026F"/>
    <w:rsid w:val="00950BE6"/>
    <w:rsid w:val="009510FB"/>
    <w:rsid w:val="009524CE"/>
    <w:rsid w:val="00953009"/>
    <w:rsid w:val="00953AFB"/>
    <w:rsid w:val="0095490B"/>
    <w:rsid w:val="00954E2B"/>
    <w:rsid w:val="00955F02"/>
    <w:rsid w:val="00956D14"/>
    <w:rsid w:val="0095717D"/>
    <w:rsid w:val="009574B3"/>
    <w:rsid w:val="00957D24"/>
    <w:rsid w:val="009605BF"/>
    <w:rsid w:val="009605EB"/>
    <w:rsid w:val="00961A89"/>
    <w:rsid w:val="00963DA2"/>
    <w:rsid w:val="00964295"/>
    <w:rsid w:val="009644BF"/>
    <w:rsid w:val="00964A54"/>
    <w:rsid w:val="0096517C"/>
    <w:rsid w:val="00965192"/>
    <w:rsid w:val="00965459"/>
    <w:rsid w:val="009655A1"/>
    <w:rsid w:val="00965975"/>
    <w:rsid w:val="009666EF"/>
    <w:rsid w:val="00966FEE"/>
    <w:rsid w:val="009708C6"/>
    <w:rsid w:val="0097100D"/>
    <w:rsid w:val="0097151E"/>
    <w:rsid w:val="00971DB4"/>
    <w:rsid w:val="00971E84"/>
    <w:rsid w:val="009739BA"/>
    <w:rsid w:val="009743E6"/>
    <w:rsid w:val="00974EA5"/>
    <w:rsid w:val="00975CED"/>
    <w:rsid w:val="00975FD7"/>
    <w:rsid w:val="00976867"/>
    <w:rsid w:val="00976A2A"/>
    <w:rsid w:val="009772D6"/>
    <w:rsid w:val="0098018C"/>
    <w:rsid w:val="00980B94"/>
    <w:rsid w:val="0098285A"/>
    <w:rsid w:val="00982B57"/>
    <w:rsid w:val="00982D70"/>
    <w:rsid w:val="009832EC"/>
    <w:rsid w:val="00983E9B"/>
    <w:rsid w:val="00983F31"/>
    <w:rsid w:val="0098428A"/>
    <w:rsid w:val="00984F2E"/>
    <w:rsid w:val="00985BC8"/>
    <w:rsid w:val="00986060"/>
    <w:rsid w:val="00986790"/>
    <w:rsid w:val="00986CEB"/>
    <w:rsid w:val="00987162"/>
    <w:rsid w:val="009875CF"/>
    <w:rsid w:val="00987816"/>
    <w:rsid w:val="00990248"/>
    <w:rsid w:val="0099059D"/>
    <w:rsid w:val="00990DBA"/>
    <w:rsid w:val="00990F07"/>
    <w:rsid w:val="009914C2"/>
    <w:rsid w:val="009916EC"/>
    <w:rsid w:val="00991C94"/>
    <w:rsid w:val="00991F17"/>
    <w:rsid w:val="00992724"/>
    <w:rsid w:val="00992FA5"/>
    <w:rsid w:val="00993661"/>
    <w:rsid w:val="00993791"/>
    <w:rsid w:val="00993D67"/>
    <w:rsid w:val="00993F25"/>
    <w:rsid w:val="00994835"/>
    <w:rsid w:val="009948B2"/>
    <w:rsid w:val="00994A09"/>
    <w:rsid w:val="0099518F"/>
    <w:rsid w:val="00995DE8"/>
    <w:rsid w:val="0099624A"/>
    <w:rsid w:val="00996E8F"/>
    <w:rsid w:val="0099778C"/>
    <w:rsid w:val="00997A79"/>
    <w:rsid w:val="009A0155"/>
    <w:rsid w:val="009A0354"/>
    <w:rsid w:val="009A263D"/>
    <w:rsid w:val="009A362D"/>
    <w:rsid w:val="009A37DB"/>
    <w:rsid w:val="009A396F"/>
    <w:rsid w:val="009A3A09"/>
    <w:rsid w:val="009A4597"/>
    <w:rsid w:val="009A5CD7"/>
    <w:rsid w:val="009A5D70"/>
    <w:rsid w:val="009A5EBA"/>
    <w:rsid w:val="009A6123"/>
    <w:rsid w:val="009A62A7"/>
    <w:rsid w:val="009A666B"/>
    <w:rsid w:val="009A6B70"/>
    <w:rsid w:val="009A6CE5"/>
    <w:rsid w:val="009A7B50"/>
    <w:rsid w:val="009A7CAA"/>
    <w:rsid w:val="009B01E8"/>
    <w:rsid w:val="009B0E4B"/>
    <w:rsid w:val="009B1221"/>
    <w:rsid w:val="009B1A30"/>
    <w:rsid w:val="009B2864"/>
    <w:rsid w:val="009B37F8"/>
    <w:rsid w:val="009B419B"/>
    <w:rsid w:val="009B4C50"/>
    <w:rsid w:val="009B4F8D"/>
    <w:rsid w:val="009B57A8"/>
    <w:rsid w:val="009B5D4A"/>
    <w:rsid w:val="009B5F43"/>
    <w:rsid w:val="009B5F4B"/>
    <w:rsid w:val="009B6480"/>
    <w:rsid w:val="009B67F4"/>
    <w:rsid w:val="009B6C65"/>
    <w:rsid w:val="009B772D"/>
    <w:rsid w:val="009B77D1"/>
    <w:rsid w:val="009C05F9"/>
    <w:rsid w:val="009C0880"/>
    <w:rsid w:val="009C1ABE"/>
    <w:rsid w:val="009C20E5"/>
    <w:rsid w:val="009C2500"/>
    <w:rsid w:val="009C2F72"/>
    <w:rsid w:val="009C2F73"/>
    <w:rsid w:val="009C32D7"/>
    <w:rsid w:val="009C362A"/>
    <w:rsid w:val="009C3697"/>
    <w:rsid w:val="009C3940"/>
    <w:rsid w:val="009C405D"/>
    <w:rsid w:val="009C41B4"/>
    <w:rsid w:val="009C4506"/>
    <w:rsid w:val="009C4F65"/>
    <w:rsid w:val="009C53D9"/>
    <w:rsid w:val="009C58BC"/>
    <w:rsid w:val="009C64C7"/>
    <w:rsid w:val="009C6AB2"/>
    <w:rsid w:val="009C731D"/>
    <w:rsid w:val="009C7A3A"/>
    <w:rsid w:val="009C7D88"/>
    <w:rsid w:val="009D011E"/>
    <w:rsid w:val="009D038E"/>
    <w:rsid w:val="009D0522"/>
    <w:rsid w:val="009D0645"/>
    <w:rsid w:val="009D07A8"/>
    <w:rsid w:val="009D088C"/>
    <w:rsid w:val="009D143E"/>
    <w:rsid w:val="009D16C4"/>
    <w:rsid w:val="009D1943"/>
    <w:rsid w:val="009D1DC0"/>
    <w:rsid w:val="009D2040"/>
    <w:rsid w:val="009D2DD7"/>
    <w:rsid w:val="009D338D"/>
    <w:rsid w:val="009D33D9"/>
    <w:rsid w:val="009D3E80"/>
    <w:rsid w:val="009D4426"/>
    <w:rsid w:val="009D45AA"/>
    <w:rsid w:val="009D547A"/>
    <w:rsid w:val="009D563C"/>
    <w:rsid w:val="009D5DD9"/>
    <w:rsid w:val="009D711C"/>
    <w:rsid w:val="009E0031"/>
    <w:rsid w:val="009E0212"/>
    <w:rsid w:val="009E15BE"/>
    <w:rsid w:val="009E1D9A"/>
    <w:rsid w:val="009E3333"/>
    <w:rsid w:val="009E3526"/>
    <w:rsid w:val="009E455F"/>
    <w:rsid w:val="009E5685"/>
    <w:rsid w:val="009E605A"/>
    <w:rsid w:val="009E67DB"/>
    <w:rsid w:val="009E6FC5"/>
    <w:rsid w:val="009E7613"/>
    <w:rsid w:val="009E7B64"/>
    <w:rsid w:val="009E7DBE"/>
    <w:rsid w:val="009F1D5F"/>
    <w:rsid w:val="009F21B4"/>
    <w:rsid w:val="009F288A"/>
    <w:rsid w:val="009F2ECE"/>
    <w:rsid w:val="009F3037"/>
    <w:rsid w:val="009F424E"/>
    <w:rsid w:val="009F46DC"/>
    <w:rsid w:val="009F4E2B"/>
    <w:rsid w:val="009F63EB"/>
    <w:rsid w:val="009F65B2"/>
    <w:rsid w:val="009F6B37"/>
    <w:rsid w:val="009F7383"/>
    <w:rsid w:val="009F7D53"/>
    <w:rsid w:val="00A00AAD"/>
    <w:rsid w:val="00A00B2A"/>
    <w:rsid w:val="00A0110F"/>
    <w:rsid w:val="00A01A1D"/>
    <w:rsid w:val="00A034E1"/>
    <w:rsid w:val="00A03546"/>
    <w:rsid w:val="00A03FEA"/>
    <w:rsid w:val="00A0410B"/>
    <w:rsid w:val="00A04E8A"/>
    <w:rsid w:val="00A074EF"/>
    <w:rsid w:val="00A07625"/>
    <w:rsid w:val="00A078F2"/>
    <w:rsid w:val="00A1010E"/>
    <w:rsid w:val="00A10CA2"/>
    <w:rsid w:val="00A11194"/>
    <w:rsid w:val="00A114E3"/>
    <w:rsid w:val="00A11602"/>
    <w:rsid w:val="00A118AF"/>
    <w:rsid w:val="00A11ECA"/>
    <w:rsid w:val="00A121D3"/>
    <w:rsid w:val="00A12AD9"/>
    <w:rsid w:val="00A13126"/>
    <w:rsid w:val="00A13349"/>
    <w:rsid w:val="00A13550"/>
    <w:rsid w:val="00A13836"/>
    <w:rsid w:val="00A13E52"/>
    <w:rsid w:val="00A140BF"/>
    <w:rsid w:val="00A14A7A"/>
    <w:rsid w:val="00A14CB6"/>
    <w:rsid w:val="00A202B1"/>
    <w:rsid w:val="00A21811"/>
    <w:rsid w:val="00A21F4F"/>
    <w:rsid w:val="00A225DB"/>
    <w:rsid w:val="00A229DD"/>
    <w:rsid w:val="00A22DC1"/>
    <w:rsid w:val="00A22E67"/>
    <w:rsid w:val="00A23E18"/>
    <w:rsid w:val="00A24098"/>
    <w:rsid w:val="00A241F1"/>
    <w:rsid w:val="00A24777"/>
    <w:rsid w:val="00A25932"/>
    <w:rsid w:val="00A262F5"/>
    <w:rsid w:val="00A26C3C"/>
    <w:rsid w:val="00A2799E"/>
    <w:rsid w:val="00A27E82"/>
    <w:rsid w:val="00A304DD"/>
    <w:rsid w:val="00A304FB"/>
    <w:rsid w:val="00A30601"/>
    <w:rsid w:val="00A30618"/>
    <w:rsid w:val="00A30F5D"/>
    <w:rsid w:val="00A32340"/>
    <w:rsid w:val="00A3234F"/>
    <w:rsid w:val="00A32537"/>
    <w:rsid w:val="00A3457F"/>
    <w:rsid w:val="00A34B81"/>
    <w:rsid w:val="00A34C1D"/>
    <w:rsid w:val="00A35693"/>
    <w:rsid w:val="00A35C7B"/>
    <w:rsid w:val="00A36897"/>
    <w:rsid w:val="00A36BC7"/>
    <w:rsid w:val="00A37F7F"/>
    <w:rsid w:val="00A41117"/>
    <w:rsid w:val="00A412F6"/>
    <w:rsid w:val="00A41ACB"/>
    <w:rsid w:val="00A42024"/>
    <w:rsid w:val="00A4293F"/>
    <w:rsid w:val="00A42B1A"/>
    <w:rsid w:val="00A42D7D"/>
    <w:rsid w:val="00A45373"/>
    <w:rsid w:val="00A45829"/>
    <w:rsid w:val="00A45E5F"/>
    <w:rsid w:val="00A45FE7"/>
    <w:rsid w:val="00A46A0E"/>
    <w:rsid w:val="00A46A98"/>
    <w:rsid w:val="00A476B9"/>
    <w:rsid w:val="00A51315"/>
    <w:rsid w:val="00A517F1"/>
    <w:rsid w:val="00A51CFC"/>
    <w:rsid w:val="00A51F2A"/>
    <w:rsid w:val="00A52E2E"/>
    <w:rsid w:val="00A52F5E"/>
    <w:rsid w:val="00A53713"/>
    <w:rsid w:val="00A5378D"/>
    <w:rsid w:val="00A53863"/>
    <w:rsid w:val="00A53C00"/>
    <w:rsid w:val="00A53C98"/>
    <w:rsid w:val="00A54E26"/>
    <w:rsid w:val="00A553DC"/>
    <w:rsid w:val="00A55B63"/>
    <w:rsid w:val="00A5782F"/>
    <w:rsid w:val="00A6036E"/>
    <w:rsid w:val="00A605F9"/>
    <w:rsid w:val="00A61C8D"/>
    <w:rsid w:val="00A62CD5"/>
    <w:rsid w:val="00A6304E"/>
    <w:rsid w:val="00A63DF1"/>
    <w:rsid w:val="00A64E06"/>
    <w:rsid w:val="00A66344"/>
    <w:rsid w:val="00A6635C"/>
    <w:rsid w:val="00A665C0"/>
    <w:rsid w:val="00A666CE"/>
    <w:rsid w:val="00A66EED"/>
    <w:rsid w:val="00A67707"/>
    <w:rsid w:val="00A67E5F"/>
    <w:rsid w:val="00A70FA7"/>
    <w:rsid w:val="00A71050"/>
    <w:rsid w:val="00A71D20"/>
    <w:rsid w:val="00A71EB8"/>
    <w:rsid w:val="00A72143"/>
    <w:rsid w:val="00A7276F"/>
    <w:rsid w:val="00A72864"/>
    <w:rsid w:val="00A73323"/>
    <w:rsid w:val="00A73480"/>
    <w:rsid w:val="00A738A5"/>
    <w:rsid w:val="00A73B3A"/>
    <w:rsid w:val="00A73F7D"/>
    <w:rsid w:val="00A742A4"/>
    <w:rsid w:val="00A745E7"/>
    <w:rsid w:val="00A746AD"/>
    <w:rsid w:val="00A74ADE"/>
    <w:rsid w:val="00A757F3"/>
    <w:rsid w:val="00A75AE5"/>
    <w:rsid w:val="00A75E07"/>
    <w:rsid w:val="00A75E18"/>
    <w:rsid w:val="00A775BB"/>
    <w:rsid w:val="00A7771E"/>
    <w:rsid w:val="00A77970"/>
    <w:rsid w:val="00A77D6C"/>
    <w:rsid w:val="00A80113"/>
    <w:rsid w:val="00A80BD3"/>
    <w:rsid w:val="00A81167"/>
    <w:rsid w:val="00A8177A"/>
    <w:rsid w:val="00A81B28"/>
    <w:rsid w:val="00A81CC3"/>
    <w:rsid w:val="00A82C2F"/>
    <w:rsid w:val="00A82E7E"/>
    <w:rsid w:val="00A82F7B"/>
    <w:rsid w:val="00A83670"/>
    <w:rsid w:val="00A83E4F"/>
    <w:rsid w:val="00A83F0C"/>
    <w:rsid w:val="00A8459A"/>
    <w:rsid w:val="00A84E70"/>
    <w:rsid w:val="00A859A7"/>
    <w:rsid w:val="00A85A1A"/>
    <w:rsid w:val="00A865E4"/>
    <w:rsid w:val="00A86B5F"/>
    <w:rsid w:val="00A87903"/>
    <w:rsid w:val="00A87A9A"/>
    <w:rsid w:val="00A87AD6"/>
    <w:rsid w:val="00A9034C"/>
    <w:rsid w:val="00A91941"/>
    <w:rsid w:val="00A925AB"/>
    <w:rsid w:val="00A92700"/>
    <w:rsid w:val="00A92744"/>
    <w:rsid w:val="00A92CEF"/>
    <w:rsid w:val="00A92DF9"/>
    <w:rsid w:val="00A93B6F"/>
    <w:rsid w:val="00A93F69"/>
    <w:rsid w:val="00A93FE8"/>
    <w:rsid w:val="00A9464D"/>
    <w:rsid w:val="00A947E5"/>
    <w:rsid w:val="00A9527A"/>
    <w:rsid w:val="00A95715"/>
    <w:rsid w:val="00A96216"/>
    <w:rsid w:val="00A9652A"/>
    <w:rsid w:val="00A965DB"/>
    <w:rsid w:val="00A96917"/>
    <w:rsid w:val="00A96CA9"/>
    <w:rsid w:val="00A974E9"/>
    <w:rsid w:val="00A9780C"/>
    <w:rsid w:val="00AA017A"/>
    <w:rsid w:val="00AA022E"/>
    <w:rsid w:val="00AA0BE1"/>
    <w:rsid w:val="00AA14E4"/>
    <w:rsid w:val="00AA15D2"/>
    <w:rsid w:val="00AA1633"/>
    <w:rsid w:val="00AA2336"/>
    <w:rsid w:val="00AA2417"/>
    <w:rsid w:val="00AA2617"/>
    <w:rsid w:val="00AA29E5"/>
    <w:rsid w:val="00AA2DE4"/>
    <w:rsid w:val="00AA2E5A"/>
    <w:rsid w:val="00AA342D"/>
    <w:rsid w:val="00AA35E8"/>
    <w:rsid w:val="00AA4FD8"/>
    <w:rsid w:val="00AA670C"/>
    <w:rsid w:val="00AA6790"/>
    <w:rsid w:val="00AA69D5"/>
    <w:rsid w:val="00AA6C6E"/>
    <w:rsid w:val="00AA783F"/>
    <w:rsid w:val="00AB003A"/>
    <w:rsid w:val="00AB007D"/>
    <w:rsid w:val="00AB17F5"/>
    <w:rsid w:val="00AB2333"/>
    <w:rsid w:val="00AB3027"/>
    <w:rsid w:val="00AB31A3"/>
    <w:rsid w:val="00AB429E"/>
    <w:rsid w:val="00AB5323"/>
    <w:rsid w:val="00AB5752"/>
    <w:rsid w:val="00AB5E4A"/>
    <w:rsid w:val="00AB7C7B"/>
    <w:rsid w:val="00AC05AD"/>
    <w:rsid w:val="00AC0D37"/>
    <w:rsid w:val="00AC0D57"/>
    <w:rsid w:val="00AC0ECE"/>
    <w:rsid w:val="00AC2A3A"/>
    <w:rsid w:val="00AC38B4"/>
    <w:rsid w:val="00AC3B21"/>
    <w:rsid w:val="00AC3BA8"/>
    <w:rsid w:val="00AC44D9"/>
    <w:rsid w:val="00AC47BE"/>
    <w:rsid w:val="00AC492E"/>
    <w:rsid w:val="00AC52BA"/>
    <w:rsid w:val="00AC53C4"/>
    <w:rsid w:val="00AC58ED"/>
    <w:rsid w:val="00AC708E"/>
    <w:rsid w:val="00AD015B"/>
    <w:rsid w:val="00AD095D"/>
    <w:rsid w:val="00AD1304"/>
    <w:rsid w:val="00AD1D1C"/>
    <w:rsid w:val="00AD447D"/>
    <w:rsid w:val="00AD4C82"/>
    <w:rsid w:val="00AD71F3"/>
    <w:rsid w:val="00AD7352"/>
    <w:rsid w:val="00AE0171"/>
    <w:rsid w:val="00AE02AD"/>
    <w:rsid w:val="00AE0529"/>
    <w:rsid w:val="00AE09E7"/>
    <w:rsid w:val="00AE0ACE"/>
    <w:rsid w:val="00AE0B91"/>
    <w:rsid w:val="00AE18C3"/>
    <w:rsid w:val="00AE1FE9"/>
    <w:rsid w:val="00AE246F"/>
    <w:rsid w:val="00AE3607"/>
    <w:rsid w:val="00AE3E02"/>
    <w:rsid w:val="00AE4B28"/>
    <w:rsid w:val="00AE51CF"/>
    <w:rsid w:val="00AE597A"/>
    <w:rsid w:val="00AE638F"/>
    <w:rsid w:val="00AE63BE"/>
    <w:rsid w:val="00AE758B"/>
    <w:rsid w:val="00AE75A3"/>
    <w:rsid w:val="00AE794A"/>
    <w:rsid w:val="00AF0526"/>
    <w:rsid w:val="00AF114D"/>
    <w:rsid w:val="00AF1B88"/>
    <w:rsid w:val="00AF2B9C"/>
    <w:rsid w:val="00AF462F"/>
    <w:rsid w:val="00AF47E2"/>
    <w:rsid w:val="00AF4D47"/>
    <w:rsid w:val="00AF55EC"/>
    <w:rsid w:val="00AF585C"/>
    <w:rsid w:val="00AF5CDE"/>
    <w:rsid w:val="00AF5E2E"/>
    <w:rsid w:val="00AF62E3"/>
    <w:rsid w:val="00AF69D3"/>
    <w:rsid w:val="00AF6B25"/>
    <w:rsid w:val="00B0054E"/>
    <w:rsid w:val="00B00ABD"/>
    <w:rsid w:val="00B00C45"/>
    <w:rsid w:val="00B00DAE"/>
    <w:rsid w:val="00B00F22"/>
    <w:rsid w:val="00B01113"/>
    <w:rsid w:val="00B02541"/>
    <w:rsid w:val="00B02D91"/>
    <w:rsid w:val="00B02E34"/>
    <w:rsid w:val="00B0364D"/>
    <w:rsid w:val="00B03655"/>
    <w:rsid w:val="00B03729"/>
    <w:rsid w:val="00B037F6"/>
    <w:rsid w:val="00B0453F"/>
    <w:rsid w:val="00B05312"/>
    <w:rsid w:val="00B056D9"/>
    <w:rsid w:val="00B06345"/>
    <w:rsid w:val="00B07026"/>
    <w:rsid w:val="00B073CA"/>
    <w:rsid w:val="00B078EC"/>
    <w:rsid w:val="00B07A42"/>
    <w:rsid w:val="00B101D1"/>
    <w:rsid w:val="00B102B9"/>
    <w:rsid w:val="00B104A0"/>
    <w:rsid w:val="00B105E3"/>
    <w:rsid w:val="00B10D75"/>
    <w:rsid w:val="00B1206D"/>
    <w:rsid w:val="00B12227"/>
    <w:rsid w:val="00B1231D"/>
    <w:rsid w:val="00B1514F"/>
    <w:rsid w:val="00B15601"/>
    <w:rsid w:val="00B16B44"/>
    <w:rsid w:val="00B16C76"/>
    <w:rsid w:val="00B17159"/>
    <w:rsid w:val="00B1759C"/>
    <w:rsid w:val="00B20ADC"/>
    <w:rsid w:val="00B21192"/>
    <w:rsid w:val="00B219AC"/>
    <w:rsid w:val="00B21D5B"/>
    <w:rsid w:val="00B22176"/>
    <w:rsid w:val="00B22292"/>
    <w:rsid w:val="00B223BA"/>
    <w:rsid w:val="00B22719"/>
    <w:rsid w:val="00B22C0E"/>
    <w:rsid w:val="00B22DB1"/>
    <w:rsid w:val="00B23AF1"/>
    <w:rsid w:val="00B24D69"/>
    <w:rsid w:val="00B261D5"/>
    <w:rsid w:val="00B2644C"/>
    <w:rsid w:val="00B2675D"/>
    <w:rsid w:val="00B2700E"/>
    <w:rsid w:val="00B275CF"/>
    <w:rsid w:val="00B27D13"/>
    <w:rsid w:val="00B30187"/>
    <w:rsid w:val="00B32CD6"/>
    <w:rsid w:val="00B32D5D"/>
    <w:rsid w:val="00B331C0"/>
    <w:rsid w:val="00B33EAA"/>
    <w:rsid w:val="00B33FBD"/>
    <w:rsid w:val="00B33FD9"/>
    <w:rsid w:val="00B340F8"/>
    <w:rsid w:val="00B3446C"/>
    <w:rsid w:val="00B3452F"/>
    <w:rsid w:val="00B3522E"/>
    <w:rsid w:val="00B367B7"/>
    <w:rsid w:val="00B36E4A"/>
    <w:rsid w:val="00B36FE6"/>
    <w:rsid w:val="00B377E3"/>
    <w:rsid w:val="00B377E8"/>
    <w:rsid w:val="00B3790B"/>
    <w:rsid w:val="00B405C4"/>
    <w:rsid w:val="00B41097"/>
    <w:rsid w:val="00B4166C"/>
    <w:rsid w:val="00B41911"/>
    <w:rsid w:val="00B41D41"/>
    <w:rsid w:val="00B41E8F"/>
    <w:rsid w:val="00B42679"/>
    <w:rsid w:val="00B42F68"/>
    <w:rsid w:val="00B4359E"/>
    <w:rsid w:val="00B444C3"/>
    <w:rsid w:val="00B459CA"/>
    <w:rsid w:val="00B46465"/>
    <w:rsid w:val="00B473BD"/>
    <w:rsid w:val="00B47859"/>
    <w:rsid w:val="00B47D14"/>
    <w:rsid w:val="00B52737"/>
    <w:rsid w:val="00B52921"/>
    <w:rsid w:val="00B53CAD"/>
    <w:rsid w:val="00B54903"/>
    <w:rsid w:val="00B54994"/>
    <w:rsid w:val="00B5527F"/>
    <w:rsid w:val="00B553E6"/>
    <w:rsid w:val="00B5614A"/>
    <w:rsid w:val="00B5657C"/>
    <w:rsid w:val="00B56833"/>
    <w:rsid w:val="00B56C38"/>
    <w:rsid w:val="00B60494"/>
    <w:rsid w:val="00B61433"/>
    <w:rsid w:val="00B626BA"/>
    <w:rsid w:val="00B62BB7"/>
    <w:rsid w:val="00B6324F"/>
    <w:rsid w:val="00B632F0"/>
    <w:rsid w:val="00B63574"/>
    <w:rsid w:val="00B64007"/>
    <w:rsid w:val="00B65A28"/>
    <w:rsid w:val="00B65A34"/>
    <w:rsid w:val="00B6603F"/>
    <w:rsid w:val="00B66778"/>
    <w:rsid w:val="00B6705B"/>
    <w:rsid w:val="00B6711F"/>
    <w:rsid w:val="00B676E0"/>
    <w:rsid w:val="00B678BC"/>
    <w:rsid w:val="00B67B5E"/>
    <w:rsid w:val="00B67DB0"/>
    <w:rsid w:val="00B706D0"/>
    <w:rsid w:val="00B707CC"/>
    <w:rsid w:val="00B71B8C"/>
    <w:rsid w:val="00B71D2C"/>
    <w:rsid w:val="00B72162"/>
    <w:rsid w:val="00B728FD"/>
    <w:rsid w:val="00B72D87"/>
    <w:rsid w:val="00B72EC6"/>
    <w:rsid w:val="00B72F40"/>
    <w:rsid w:val="00B72F88"/>
    <w:rsid w:val="00B73738"/>
    <w:rsid w:val="00B73A13"/>
    <w:rsid w:val="00B73BA4"/>
    <w:rsid w:val="00B75357"/>
    <w:rsid w:val="00B765AE"/>
    <w:rsid w:val="00B7677A"/>
    <w:rsid w:val="00B805E3"/>
    <w:rsid w:val="00B8181D"/>
    <w:rsid w:val="00B81FDB"/>
    <w:rsid w:val="00B820BD"/>
    <w:rsid w:val="00B82615"/>
    <w:rsid w:val="00B8270A"/>
    <w:rsid w:val="00B82805"/>
    <w:rsid w:val="00B83041"/>
    <w:rsid w:val="00B83784"/>
    <w:rsid w:val="00B83AEC"/>
    <w:rsid w:val="00B84669"/>
    <w:rsid w:val="00B85D11"/>
    <w:rsid w:val="00B85EDB"/>
    <w:rsid w:val="00B8609E"/>
    <w:rsid w:val="00B865AB"/>
    <w:rsid w:val="00B86767"/>
    <w:rsid w:val="00B90825"/>
    <w:rsid w:val="00B92C2D"/>
    <w:rsid w:val="00B92D0B"/>
    <w:rsid w:val="00B92E45"/>
    <w:rsid w:val="00B93047"/>
    <w:rsid w:val="00B93304"/>
    <w:rsid w:val="00B94061"/>
    <w:rsid w:val="00B95244"/>
    <w:rsid w:val="00B95927"/>
    <w:rsid w:val="00B95AD4"/>
    <w:rsid w:val="00B95AFB"/>
    <w:rsid w:val="00B95B19"/>
    <w:rsid w:val="00B96619"/>
    <w:rsid w:val="00B97249"/>
    <w:rsid w:val="00BA163F"/>
    <w:rsid w:val="00BA1A45"/>
    <w:rsid w:val="00BA1C4C"/>
    <w:rsid w:val="00BA2185"/>
    <w:rsid w:val="00BA24EB"/>
    <w:rsid w:val="00BA28CF"/>
    <w:rsid w:val="00BA2C39"/>
    <w:rsid w:val="00BA2E89"/>
    <w:rsid w:val="00BA3120"/>
    <w:rsid w:val="00BA3445"/>
    <w:rsid w:val="00BA3E1F"/>
    <w:rsid w:val="00BA50E9"/>
    <w:rsid w:val="00BA58E8"/>
    <w:rsid w:val="00BA5E1E"/>
    <w:rsid w:val="00BA6155"/>
    <w:rsid w:val="00BA64D2"/>
    <w:rsid w:val="00BB00F8"/>
    <w:rsid w:val="00BB0115"/>
    <w:rsid w:val="00BB0BB8"/>
    <w:rsid w:val="00BB0EE2"/>
    <w:rsid w:val="00BB1857"/>
    <w:rsid w:val="00BB2476"/>
    <w:rsid w:val="00BB28B8"/>
    <w:rsid w:val="00BB2EAC"/>
    <w:rsid w:val="00BB38AC"/>
    <w:rsid w:val="00BB43FE"/>
    <w:rsid w:val="00BB44F0"/>
    <w:rsid w:val="00BB4919"/>
    <w:rsid w:val="00BB4CD9"/>
    <w:rsid w:val="00BB4CE3"/>
    <w:rsid w:val="00BB4DFC"/>
    <w:rsid w:val="00BB5076"/>
    <w:rsid w:val="00BB5A28"/>
    <w:rsid w:val="00BB5AAA"/>
    <w:rsid w:val="00BB5E20"/>
    <w:rsid w:val="00BB6AF9"/>
    <w:rsid w:val="00BB774B"/>
    <w:rsid w:val="00BB7FA9"/>
    <w:rsid w:val="00BB7FF8"/>
    <w:rsid w:val="00BC0FF1"/>
    <w:rsid w:val="00BC1112"/>
    <w:rsid w:val="00BC235D"/>
    <w:rsid w:val="00BC3196"/>
    <w:rsid w:val="00BC3D7E"/>
    <w:rsid w:val="00BC3E5F"/>
    <w:rsid w:val="00BC4916"/>
    <w:rsid w:val="00BC5A68"/>
    <w:rsid w:val="00BC65C8"/>
    <w:rsid w:val="00BC72BC"/>
    <w:rsid w:val="00BC73C2"/>
    <w:rsid w:val="00BC7D0D"/>
    <w:rsid w:val="00BD0168"/>
    <w:rsid w:val="00BD1C0E"/>
    <w:rsid w:val="00BD1E7F"/>
    <w:rsid w:val="00BD2431"/>
    <w:rsid w:val="00BD301E"/>
    <w:rsid w:val="00BD3B72"/>
    <w:rsid w:val="00BD4225"/>
    <w:rsid w:val="00BD5048"/>
    <w:rsid w:val="00BD6C25"/>
    <w:rsid w:val="00BD7295"/>
    <w:rsid w:val="00BD74EB"/>
    <w:rsid w:val="00BE000D"/>
    <w:rsid w:val="00BE023A"/>
    <w:rsid w:val="00BE04EB"/>
    <w:rsid w:val="00BE090D"/>
    <w:rsid w:val="00BE0A6E"/>
    <w:rsid w:val="00BE0C26"/>
    <w:rsid w:val="00BE0D36"/>
    <w:rsid w:val="00BE1026"/>
    <w:rsid w:val="00BE1ABA"/>
    <w:rsid w:val="00BE2511"/>
    <w:rsid w:val="00BE275E"/>
    <w:rsid w:val="00BE2E70"/>
    <w:rsid w:val="00BE3144"/>
    <w:rsid w:val="00BE32D4"/>
    <w:rsid w:val="00BE34EA"/>
    <w:rsid w:val="00BE3922"/>
    <w:rsid w:val="00BE4EA0"/>
    <w:rsid w:val="00BE5139"/>
    <w:rsid w:val="00BE610B"/>
    <w:rsid w:val="00BE61F1"/>
    <w:rsid w:val="00BE6DC1"/>
    <w:rsid w:val="00BE79EE"/>
    <w:rsid w:val="00BE7B30"/>
    <w:rsid w:val="00BF0886"/>
    <w:rsid w:val="00BF0A0D"/>
    <w:rsid w:val="00BF0D77"/>
    <w:rsid w:val="00BF1D60"/>
    <w:rsid w:val="00BF1D71"/>
    <w:rsid w:val="00BF2A0B"/>
    <w:rsid w:val="00BF369D"/>
    <w:rsid w:val="00BF3A2E"/>
    <w:rsid w:val="00BF3D4C"/>
    <w:rsid w:val="00BF3EE9"/>
    <w:rsid w:val="00BF4120"/>
    <w:rsid w:val="00BF438F"/>
    <w:rsid w:val="00BF474C"/>
    <w:rsid w:val="00BF4CAD"/>
    <w:rsid w:val="00BF574A"/>
    <w:rsid w:val="00BF6A10"/>
    <w:rsid w:val="00BF6BFA"/>
    <w:rsid w:val="00BF6E62"/>
    <w:rsid w:val="00BF765C"/>
    <w:rsid w:val="00C00179"/>
    <w:rsid w:val="00C00336"/>
    <w:rsid w:val="00C00A7A"/>
    <w:rsid w:val="00C00BA3"/>
    <w:rsid w:val="00C011C4"/>
    <w:rsid w:val="00C029FC"/>
    <w:rsid w:val="00C03595"/>
    <w:rsid w:val="00C0426D"/>
    <w:rsid w:val="00C04B1D"/>
    <w:rsid w:val="00C04DF3"/>
    <w:rsid w:val="00C04E61"/>
    <w:rsid w:val="00C051A2"/>
    <w:rsid w:val="00C052E2"/>
    <w:rsid w:val="00C055B1"/>
    <w:rsid w:val="00C055C7"/>
    <w:rsid w:val="00C05F5E"/>
    <w:rsid w:val="00C0680D"/>
    <w:rsid w:val="00C06CE8"/>
    <w:rsid w:val="00C06F3B"/>
    <w:rsid w:val="00C1168C"/>
    <w:rsid w:val="00C119A3"/>
    <w:rsid w:val="00C11F3B"/>
    <w:rsid w:val="00C11FF4"/>
    <w:rsid w:val="00C123F5"/>
    <w:rsid w:val="00C12E1C"/>
    <w:rsid w:val="00C13849"/>
    <w:rsid w:val="00C139FF"/>
    <w:rsid w:val="00C146B6"/>
    <w:rsid w:val="00C14E7A"/>
    <w:rsid w:val="00C154A8"/>
    <w:rsid w:val="00C15EA2"/>
    <w:rsid w:val="00C15FF3"/>
    <w:rsid w:val="00C16048"/>
    <w:rsid w:val="00C17202"/>
    <w:rsid w:val="00C1770B"/>
    <w:rsid w:val="00C17AF3"/>
    <w:rsid w:val="00C17BD8"/>
    <w:rsid w:val="00C21FA2"/>
    <w:rsid w:val="00C229A8"/>
    <w:rsid w:val="00C23056"/>
    <w:rsid w:val="00C24702"/>
    <w:rsid w:val="00C2562E"/>
    <w:rsid w:val="00C263D6"/>
    <w:rsid w:val="00C26E84"/>
    <w:rsid w:val="00C26F34"/>
    <w:rsid w:val="00C27AA7"/>
    <w:rsid w:val="00C27D60"/>
    <w:rsid w:val="00C305C6"/>
    <w:rsid w:val="00C3076D"/>
    <w:rsid w:val="00C31418"/>
    <w:rsid w:val="00C3402E"/>
    <w:rsid w:val="00C34D3E"/>
    <w:rsid w:val="00C3510E"/>
    <w:rsid w:val="00C355E1"/>
    <w:rsid w:val="00C36800"/>
    <w:rsid w:val="00C3697D"/>
    <w:rsid w:val="00C36B85"/>
    <w:rsid w:val="00C40500"/>
    <w:rsid w:val="00C4209F"/>
    <w:rsid w:val="00C42B6E"/>
    <w:rsid w:val="00C42D75"/>
    <w:rsid w:val="00C4347F"/>
    <w:rsid w:val="00C43C8A"/>
    <w:rsid w:val="00C43CF1"/>
    <w:rsid w:val="00C444AE"/>
    <w:rsid w:val="00C44B88"/>
    <w:rsid w:val="00C44ECC"/>
    <w:rsid w:val="00C45FD9"/>
    <w:rsid w:val="00C4600E"/>
    <w:rsid w:val="00C46897"/>
    <w:rsid w:val="00C475F5"/>
    <w:rsid w:val="00C51AC3"/>
    <w:rsid w:val="00C523BB"/>
    <w:rsid w:val="00C52BC0"/>
    <w:rsid w:val="00C52D1D"/>
    <w:rsid w:val="00C53A4E"/>
    <w:rsid w:val="00C53BD2"/>
    <w:rsid w:val="00C54BBE"/>
    <w:rsid w:val="00C55C8F"/>
    <w:rsid w:val="00C55EF3"/>
    <w:rsid w:val="00C56B0C"/>
    <w:rsid w:val="00C57074"/>
    <w:rsid w:val="00C57116"/>
    <w:rsid w:val="00C60907"/>
    <w:rsid w:val="00C613A4"/>
    <w:rsid w:val="00C61423"/>
    <w:rsid w:val="00C61A14"/>
    <w:rsid w:val="00C61F1A"/>
    <w:rsid w:val="00C6256F"/>
    <w:rsid w:val="00C63185"/>
    <w:rsid w:val="00C63D1D"/>
    <w:rsid w:val="00C646F5"/>
    <w:rsid w:val="00C64CC5"/>
    <w:rsid w:val="00C65C7A"/>
    <w:rsid w:val="00C65D23"/>
    <w:rsid w:val="00C66268"/>
    <w:rsid w:val="00C664F3"/>
    <w:rsid w:val="00C66792"/>
    <w:rsid w:val="00C66ACA"/>
    <w:rsid w:val="00C712DF"/>
    <w:rsid w:val="00C71AB9"/>
    <w:rsid w:val="00C726A0"/>
    <w:rsid w:val="00C730F3"/>
    <w:rsid w:val="00C731F3"/>
    <w:rsid w:val="00C7380C"/>
    <w:rsid w:val="00C73878"/>
    <w:rsid w:val="00C742C9"/>
    <w:rsid w:val="00C74BEC"/>
    <w:rsid w:val="00C74E6B"/>
    <w:rsid w:val="00C75E7B"/>
    <w:rsid w:val="00C76AF0"/>
    <w:rsid w:val="00C76C37"/>
    <w:rsid w:val="00C76EC0"/>
    <w:rsid w:val="00C76FE7"/>
    <w:rsid w:val="00C77A92"/>
    <w:rsid w:val="00C80A9A"/>
    <w:rsid w:val="00C80BB9"/>
    <w:rsid w:val="00C81657"/>
    <w:rsid w:val="00C81829"/>
    <w:rsid w:val="00C81E49"/>
    <w:rsid w:val="00C82F3D"/>
    <w:rsid w:val="00C8351B"/>
    <w:rsid w:val="00C84371"/>
    <w:rsid w:val="00C84380"/>
    <w:rsid w:val="00C8609E"/>
    <w:rsid w:val="00C86666"/>
    <w:rsid w:val="00C86761"/>
    <w:rsid w:val="00C8758B"/>
    <w:rsid w:val="00C90542"/>
    <w:rsid w:val="00C905AC"/>
    <w:rsid w:val="00C9141E"/>
    <w:rsid w:val="00C923BB"/>
    <w:rsid w:val="00C924CE"/>
    <w:rsid w:val="00C92BA0"/>
    <w:rsid w:val="00C92C36"/>
    <w:rsid w:val="00C93C6F"/>
    <w:rsid w:val="00C948A1"/>
    <w:rsid w:val="00C95022"/>
    <w:rsid w:val="00C95DB8"/>
    <w:rsid w:val="00C9601A"/>
    <w:rsid w:val="00C96067"/>
    <w:rsid w:val="00C961E7"/>
    <w:rsid w:val="00C96BE2"/>
    <w:rsid w:val="00C97B0E"/>
    <w:rsid w:val="00CA06BC"/>
    <w:rsid w:val="00CA281A"/>
    <w:rsid w:val="00CA2EE7"/>
    <w:rsid w:val="00CA353F"/>
    <w:rsid w:val="00CA44EC"/>
    <w:rsid w:val="00CA460B"/>
    <w:rsid w:val="00CA4AB7"/>
    <w:rsid w:val="00CA5A8F"/>
    <w:rsid w:val="00CA61B0"/>
    <w:rsid w:val="00CA6BC6"/>
    <w:rsid w:val="00CA6D37"/>
    <w:rsid w:val="00CB0FC6"/>
    <w:rsid w:val="00CB23ED"/>
    <w:rsid w:val="00CB25F1"/>
    <w:rsid w:val="00CB3029"/>
    <w:rsid w:val="00CB3946"/>
    <w:rsid w:val="00CB3998"/>
    <w:rsid w:val="00CB42D0"/>
    <w:rsid w:val="00CB4733"/>
    <w:rsid w:val="00CB4EC1"/>
    <w:rsid w:val="00CB55BF"/>
    <w:rsid w:val="00CB5AFB"/>
    <w:rsid w:val="00CB65F2"/>
    <w:rsid w:val="00CB7697"/>
    <w:rsid w:val="00CB78B3"/>
    <w:rsid w:val="00CC00C1"/>
    <w:rsid w:val="00CC10F1"/>
    <w:rsid w:val="00CC1AE4"/>
    <w:rsid w:val="00CC2113"/>
    <w:rsid w:val="00CC2381"/>
    <w:rsid w:val="00CC2E5C"/>
    <w:rsid w:val="00CC55B1"/>
    <w:rsid w:val="00CC56B2"/>
    <w:rsid w:val="00CC57A8"/>
    <w:rsid w:val="00CC58B9"/>
    <w:rsid w:val="00CC6E79"/>
    <w:rsid w:val="00CC779A"/>
    <w:rsid w:val="00CC7EFA"/>
    <w:rsid w:val="00CD0014"/>
    <w:rsid w:val="00CD002D"/>
    <w:rsid w:val="00CD096D"/>
    <w:rsid w:val="00CD0E4C"/>
    <w:rsid w:val="00CD160D"/>
    <w:rsid w:val="00CD1CF5"/>
    <w:rsid w:val="00CD2C63"/>
    <w:rsid w:val="00CD381B"/>
    <w:rsid w:val="00CD3A4B"/>
    <w:rsid w:val="00CD4302"/>
    <w:rsid w:val="00CD4373"/>
    <w:rsid w:val="00CD4B8A"/>
    <w:rsid w:val="00CD4F4E"/>
    <w:rsid w:val="00CD545B"/>
    <w:rsid w:val="00CD55AB"/>
    <w:rsid w:val="00CD59C3"/>
    <w:rsid w:val="00CD61B9"/>
    <w:rsid w:val="00CD6422"/>
    <w:rsid w:val="00CD68BF"/>
    <w:rsid w:val="00CD69AE"/>
    <w:rsid w:val="00CD6E6C"/>
    <w:rsid w:val="00CD7F71"/>
    <w:rsid w:val="00CE007B"/>
    <w:rsid w:val="00CE1597"/>
    <w:rsid w:val="00CE1DE7"/>
    <w:rsid w:val="00CE26DE"/>
    <w:rsid w:val="00CE32E3"/>
    <w:rsid w:val="00CE33A5"/>
    <w:rsid w:val="00CE45EF"/>
    <w:rsid w:val="00CE519B"/>
    <w:rsid w:val="00CE62AA"/>
    <w:rsid w:val="00CE6673"/>
    <w:rsid w:val="00CE6C23"/>
    <w:rsid w:val="00CE714D"/>
    <w:rsid w:val="00CE716C"/>
    <w:rsid w:val="00CE7828"/>
    <w:rsid w:val="00CF02AE"/>
    <w:rsid w:val="00CF02D5"/>
    <w:rsid w:val="00CF03C3"/>
    <w:rsid w:val="00CF0658"/>
    <w:rsid w:val="00CF15A7"/>
    <w:rsid w:val="00CF2462"/>
    <w:rsid w:val="00CF3006"/>
    <w:rsid w:val="00CF3067"/>
    <w:rsid w:val="00CF4418"/>
    <w:rsid w:val="00CF4708"/>
    <w:rsid w:val="00CF4E17"/>
    <w:rsid w:val="00CF67B6"/>
    <w:rsid w:val="00CF6F93"/>
    <w:rsid w:val="00CF7111"/>
    <w:rsid w:val="00CF7A08"/>
    <w:rsid w:val="00D00C0F"/>
    <w:rsid w:val="00D01705"/>
    <w:rsid w:val="00D023B1"/>
    <w:rsid w:val="00D0280C"/>
    <w:rsid w:val="00D02EBA"/>
    <w:rsid w:val="00D0321B"/>
    <w:rsid w:val="00D03A8D"/>
    <w:rsid w:val="00D03AFD"/>
    <w:rsid w:val="00D03BC7"/>
    <w:rsid w:val="00D0419A"/>
    <w:rsid w:val="00D05A3F"/>
    <w:rsid w:val="00D05AE9"/>
    <w:rsid w:val="00D05D28"/>
    <w:rsid w:val="00D06FED"/>
    <w:rsid w:val="00D07368"/>
    <w:rsid w:val="00D07B23"/>
    <w:rsid w:val="00D07CDB"/>
    <w:rsid w:val="00D107D9"/>
    <w:rsid w:val="00D11E00"/>
    <w:rsid w:val="00D11E94"/>
    <w:rsid w:val="00D13C9F"/>
    <w:rsid w:val="00D16A81"/>
    <w:rsid w:val="00D170ED"/>
    <w:rsid w:val="00D1739D"/>
    <w:rsid w:val="00D17595"/>
    <w:rsid w:val="00D17622"/>
    <w:rsid w:val="00D179B7"/>
    <w:rsid w:val="00D20E9E"/>
    <w:rsid w:val="00D21356"/>
    <w:rsid w:val="00D213F3"/>
    <w:rsid w:val="00D21D00"/>
    <w:rsid w:val="00D21D54"/>
    <w:rsid w:val="00D22E00"/>
    <w:rsid w:val="00D22E0C"/>
    <w:rsid w:val="00D23599"/>
    <w:rsid w:val="00D235B2"/>
    <w:rsid w:val="00D241E9"/>
    <w:rsid w:val="00D24363"/>
    <w:rsid w:val="00D25214"/>
    <w:rsid w:val="00D2587C"/>
    <w:rsid w:val="00D25BB5"/>
    <w:rsid w:val="00D25DD2"/>
    <w:rsid w:val="00D267E0"/>
    <w:rsid w:val="00D26DA7"/>
    <w:rsid w:val="00D271D1"/>
    <w:rsid w:val="00D27588"/>
    <w:rsid w:val="00D277C2"/>
    <w:rsid w:val="00D27F44"/>
    <w:rsid w:val="00D30122"/>
    <w:rsid w:val="00D3012B"/>
    <w:rsid w:val="00D3076E"/>
    <w:rsid w:val="00D30C2B"/>
    <w:rsid w:val="00D316EB"/>
    <w:rsid w:val="00D322EB"/>
    <w:rsid w:val="00D3275E"/>
    <w:rsid w:val="00D32F36"/>
    <w:rsid w:val="00D330B9"/>
    <w:rsid w:val="00D337A7"/>
    <w:rsid w:val="00D33803"/>
    <w:rsid w:val="00D347EB"/>
    <w:rsid w:val="00D35429"/>
    <w:rsid w:val="00D36364"/>
    <w:rsid w:val="00D36634"/>
    <w:rsid w:val="00D37831"/>
    <w:rsid w:val="00D407FD"/>
    <w:rsid w:val="00D40B47"/>
    <w:rsid w:val="00D41454"/>
    <w:rsid w:val="00D41BFB"/>
    <w:rsid w:val="00D42866"/>
    <w:rsid w:val="00D42C86"/>
    <w:rsid w:val="00D42E25"/>
    <w:rsid w:val="00D4346D"/>
    <w:rsid w:val="00D434E7"/>
    <w:rsid w:val="00D43C97"/>
    <w:rsid w:val="00D43DB2"/>
    <w:rsid w:val="00D443AE"/>
    <w:rsid w:val="00D44E2C"/>
    <w:rsid w:val="00D4599B"/>
    <w:rsid w:val="00D461FC"/>
    <w:rsid w:val="00D4693F"/>
    <w:rsid w:val="00D46B51"/>
    <w:rsid w:val="00D46DB4"/>
    <w:rsid w:val="00D47888"/>
    <w:rsid w:val="00D47C60"/>
    <w:rsid w:val="00D50190"/>
    <w:rsid w:val="00D507E2"/>
    <w:rsid w:val="00D50955"/>
    <w:rsid w:val="00D50A3C"/>
    <w:rsid w:val="00D51681"/>
    <w:rsid w:val="00D51903"/>
    <w:rsid w:val="00D51A5C"/>
    <w:rsid w:val="00D51AD6"/>
    <w:rsid w:val="00D51CBB"/>
    <w:rsid w:val="00D53AB2"/>
    <w:rsid w:val="00D543C0"/>
    <w:rsid w:val="00D54672"/>
    <w:rsid w:val="00D547A0"/>
    <w:rsid w:val="00D55A4E"/>
    <w:rsid w:val="00D55E53"/>
    <w:rsid w:val="00D56910"/>
    <w:rsid w:val="00D573F7"/>
    <w:rsid w:val="00D5783F"/>
    <w:rsid w:val="00D608EA"/>
    <w:rsid w:val="00D60CD3"/>
    <w:rsid w:val="00D60D24"/>
    <w:rsid w:val="00D61558"/>
    <w:rsid w:val="00D61C9B"/>
    <w:rsid w:val="00D6245C"/>
    <w:rsid w:val="00D624D9"/>
    <w:rsid w:val="00D62601"/>
    <w:rsid w:val="00D62A54"/>
    <w:rsid w:val="00D64D4B"/>
    <w:rsid w:val="00D65468"/>
    <w:rsid w:val="00D66569"/>
    <w:rsid w:val="00D669F6"/>
    <w:rsid w:val="00D66D0C"/>
    <w:rsid w:val="00D6704E"/>
    <w:rsid w:val="00D67139"/>
    <w:rsid w:val="00D70450"/>
    <w:rsid w:val="00D7073C"/>
    <w:rsid w:val="00D70A8B"/>
    <w:rsid w:val="00D717F2"/>
    <w:rsid w:val="00D71E6D"/>
    <w:rsid w:val="00D721BA"/>
    <w:rsid w:val="00D72427"/>
    <w:rsid w:val="00D727A0"/>
    <w:rsid w:val="00D73201"/>
    <w:rsid w:val="00D7334A"/>
    <w:rsid w:val="00D73FB0"/>
    <w:rsid w:val="00D74E3D"/>
    <w:rsid w:val="00D75AF2"/>
    <w:rsid w:val="00D75CB9"/>
    <w:rsid w:val="00D76356"/>
    <w:rsid w:val="00D7699F"/>
    <w:rsid w:val="00D76B9F"/>
    <w:rsid w:val="00D7750D"/>
    <w:rsid w:val="00D777B7"/>
    <w:rsid w:val="00D80391"/>
    <w:rsid w:val="00D804BE"/>
    <w:rsid w:val="00D80E70"/>
    <w:rsid w:val="00D827F9"/>
    <w:rsid w:val="00D8532C"/>
    <w:rsid w:val="00D85811"/>
    <w:rsid w:val="00D86677"/>
    <w:rsid w:val="00D870D7"/>
    <w:rsid w:val="00D878CB"/>
    <w:rsid w:val="00D87CB2"/>
    <w:rsid w:val="00D904AB"/>
    <w:rsid w:val="00D910F3"/>
    <w:rsid w:val="00D910F7"/>
    <w:rsid w:val="00D921A8"/>
    <w:rsid w:val="00D92310"/>
    <w:rsid w:val="00D9474B"/>
    <w:rsid w:val="00D953DE"/>
    <w:rsid w:val="00D95546"/>
    <w:rsid w:val="00D95CCE"/>
    <w:rsid w:val="00D95E3C"/>
    <w:rsid w:val="00D9609B"/>
    <w:rsid w:val="00D96557"/>
    <w:rsid w:val="00D96E6A"/>
    <w:rsid w:val="00D97222"/>
    <w:rsid w:val="00D975EC"/>
    <w:rsid w:val="00D979BD"/>
    <w:rsid w:val="00D97CC4"/>
    <w:rsid w:val="00D97F45"/>
    <w:rsid w:val="00DA0BB8"/>
    <w:rsid w:val="00DA0F69"/>
    <w:rsid w:val="00DA1C8E"/>
    <w:rsid w:val="00DA2400"/>
    <w:rsid w:val="00DA2979"/>
    <w:rsid w:val="00DA2DD5"/>
    <w:rsid w:val="00DA5840"/>
    <w:rsid w:val="00DA5E7F"/>
    <w:rsid w:val="00DA6ABF"/>
    <w:rsid w:val="00DA6EE8"/>
    <w:rsid w:val="00DB0049"/>
    <w:rsid w:val="00DB113C"/>
    <w:rsid w:val="00DB1546"/>
    <w:rsid w:val="00DB1A72"/>
    <w:rsid w:val="00DB2B06"/>
    <w:rsid w:val="00DB2C58"/>
    <w:rsid w:val="00DB36BF"/>
    <w:rsid w:val="00DB42C4"/>
    <w:rsid w:val="00DB4825"/>
    <w:rsid w:val="00DB4B4C"/>
    <w:rsid w:val="00DB5378"/>
    <w:rsid w:val="00DB5DF3"/>
    <w:rsid w:val="00DB6679"/>
    <w:rsid w:val="00DB71DB"/>
    <w:rsid w:val="00DC072F"/>
    <w:rsid w:val="00DC1567"/>
    <w:rsid w:val="00DC20D8"/>
    <w:rsid w:val="00DC2A93"/>
    <w:rsid w:val="00DC2B5E"/>
    <w:rsid w:val="00DC386D"/>
    <w:rsid w:val="00DC3D79"/>
    <w:rsid w:val="00DC43B3"/>
    <w:rsid w:val="00DC456F"/>
    <w:rsid w:val="00DC4941"/>
    <w:rsid w:val="00DC52CF"/>
    <w:rsid w:val="00DC5653"/>
    <w:rsid w:val="00DC5942"/>
    <w:rsid w:val="00DC5B5C"/>
    <w:rsid w:val="00DC6AC9"/>
    <w:rsid w:val="00DC6E68"/>
    <w:rsid w:val="00DC735E"/>
    <w:rsid w:val="00DC777B"/>
    <w:rsid w:val="00DC7848"/>
    <w:rsid w:val="00DD1FB2"/>
    <w:rsid w:val="00DD28AE"/>
    <w:rsid w:val="00DD297A"/>
    <w:rsid w:val="00DD2EFC"/>
    <w:rsid w:val="00DD2FFF"/>
    <w:rsid w:val="00DD5559"/>
    <w:rsid w:val="00DD5EBB"/>
    <w:rsid w:val="00DD5F05"/>
    <w:rsid w:val="00DD69FF"/>
    <w:rsid w:val="00DD7221"/>
    <w:rsid w:val="00DE1D17"/>
    <w:rsid w:val="00DE2CC4"/>
    <w:rsid w:val="00DE3534"/>
    <w:rsid w:val="00DE35C2"/>
    <w:rsid w:val="00DE371B"/>
    <w:rsid w:val="00DE4BA6"/>
    <w:rsid w:val="00DE4BFC"/>
    <w:rsid w:val="00DE4C83"/>
    <w:rsid w:val="00DE4DEF"/>
    <w:rsid w:val="00DE4F9E"/>
    <w:rsid w:val="00DE5427"/>
    <w:rsid w:val="00DE5EA6"/>
    <w:rsid w:val="00DE621A"/>
    <w:rsid w:val="00DE6BCE"/>
    <w:rsid w:val="00DE7430"/>
    <w:rsid w:val="00DE7CEF"/>
    <w:rsid w:val="00DF0410"/>
    <w:rsid w:val="00DF1AAE"/>
    <w:rsid w:val="00DF1F4D"/>
    <w:rsid w:val="00DF2AB6"/>
    <w:rsid w:val="00DF2F8D"/>
    <w:rsid w:val="00DF3060"/>
    <w:rsid w:val="00DF3242"/>
    <w:rsid w:val="00DF41EC"/>
    <w:rsid w:val="00DF431E"/>
    <w:rsid w:val="00DF4936"/>
    <w:rsid w:val="00DF4F67"/>
    <w:rsid w:val="00DF5212"/>
    <w:rsid w:val="00DF544D"/>
    <w:rsid w:val="00DF5D33"/>
    <w:rsid w:val="00DF6FDE"/>
    <w:rsid w:val="00DF6FE8"/>
    <w:rsid w:val="00DF7919"/>
    <w:rsid w:val="00DF7CF3"/>
    <w:rsid w:val="00E00096"/>
    <w:rsid w:val="00E00640"/>
    <w:rsid w:val="00E00B73"/>
    <w:rsid w:val="00E011DB"/>
    <w:rsid w:val="00E023AE"/>
    <w:rsid w:val="00E02923"/>
    <w:rsid w:val="00E02B59"/>
    <w:rsid w:val="00E03372"/>
    <w:rsid w:val="00E0469D"/>
    <w:rsid w:val="00E0505B"/>
    <w:rsid w:val="00E05535"/>
    <w:rsid w:val="00E05942"/>
    <w:rsid w:val="00E05BE7"/>
    <w:rsid w:val="00E06472"/>
    <w:rsid w:val="00E0685C"/>
    <w:rsid w:val="00E0753A"/>
    <w:rsid w:val="00E10A28"/>
    <w:rsid w:val="00E11489"/>
    <w:rsid w:val="00E11A80"/>
    <w:rsid w:val="00E123C9"/>
    <w:rsid w:val="00E12847"/>
    <w:rsid w:val="00E13201"/>
    <w:rsid w:val="00E13788"/>
    <w:rsid w:val="00E1459E"/>
    <w:rsid w:val="00E14C29"/>
    <w:rsid w:val="00E156A7"/>
    <w:rsid w:val="00E156A8"/>
    <w:rsid w:val="00E15968"/>
    <w:rsid w:val="00E164A2"/>
    <w:rsid w:val="00E16942"/>
    <w:rsid w:val="00E16C00"/>
    <w:rsid w:val="00E1737C"/>
    <w:rsid w:val="00E2040E"/>
    <w:rsid w:val="00E20585"/>
    <w:rsid w:val="00E20B1F"/>
    <w:rsid w:val="00E20BBC"/>
    <w:rsid w:val="00E22301"/>
    <w:rsid w:val="00E22D70"/>
    <w:rsid w:val="00E2429B"/>
    <w:rsid w:val="00E259CB"/>
    <w:rsid w:val="00E25E2F"/>
    <w:rsid w:val="00E261E5"/>
    <w:rsid w:val="00E2623F"/>
    <w:rsid w:val="00E27FC8"/>
    <w:rsid w:val="00E30130"/>
    <w:rsid w:val="00E30342"/>
    <w:rsid w:val="00E325A3"/>
    <w:rsid w:val="00E32AEF"/>
    <w:rsid w:val="00E32F13"/>
    <w:rsid w:val="00E333F8"/>
    <w:rsid w:val="00E342A5"/>
    <w:rsid w:val="00E346C0"/>
    <w:rsid w:val="00E347F1"/>
    <w:rsid w:val="00E34D94"/>
    <w:rsid w:val="00E3518E"/>
    <w:rsid w:val="00E35448"/>
    <w:rsid w:val="00E37321"/>
    <w:rsid w:val="00E374F8"/>
    <w:rsid w:val="00E37701"/>
    <w:rsid w:val="00E4019E"/>
    <w:rsid w:val="00E413AF"/>
    <w:rsid w:val="00E4143E"/>
    <w:rsid w:val="00E41E1D"/>
    <w:rsid w:val="00E42C39"/>
    <w:rsid w:val="00E43CCA"/>
    <w:rsid w:val="00E43ECD"/>
    <w:rsid w:val="00E440B3"/>
    <w:rsid w:val="00E44366"/>
    <w:rsid w:val="00E44430"/>
    <w:rsid w:val="00E44548"/>
    <w:rsid w:val="00E446A9"/>
    <w:rsid w:val="00E44F3B"/>
    <w:rsid w:val="00E450D5"/>
    <w:rsid w:val="00E45564"/>
    <w:rsid w:val="00E46384"/>
    <w:rsid w:val="00E4675A"/>
    <w:rsid w:val="00E46D36"/>
    <w:rsid w:val="00E47A6E"/>
    <w:rsid w:val="00E47B3D"/>
    <w:rsid w:val="00E50BEB"/>
    <w:rsid w:val="00E5101B"/>
    <w:rsid w:val="00E51348"/>
    <w:rsid w:val="00E51416"/>
    <w:rsid w:val="00E5233D"/>
    <w:rsid w:val="00E536BF"/>
    <w:rsid w:val="00E538DE"/>
    <w:rsid w:val="00E53A07"/>
    <w:rsid w:val="00E53FD0"/>
    <w:rsid w:val="00E54840"/>
    <w:rsid w:val="00E54B80"/>
    <w:rsid w:val="00E54E32"/>
    <w:rsid w:val="00E56583"/>
    <w:rsid w:val="00E56F0C"/>
    <w:rsid w:val="00E60000"/>
    <w:rsid w:val="00E6100B"/>
    <w:rsid w:val="00E610A6"/>
    <w:rsid w:val="00E62F76"/>
    <w:rsid w:val="00E64D68"/>
    <w:rsid w:val="00E65645"/>
    <w:rsid w:val="00E658BE"/>
    <w:rsid w:val="00E660A4"/>
    <w:rsid w:val="00E66206"/>
    <w:rsid w:val="00E671A0"/>
    <w:rsid w:val="00E720DC"/>
    <w:rsid w:val="00E7282C"/>
    <w:rsid w:val="00E72CCB"/>
    <w:rsid w:val="00E736B7"/>
    <w:rsid w:val="00E73DF1"/>
    <w:rsid w:val="00E74E3B"/>
    <w:rsid w:val="00E74FAB"/>
    <w:rsid w:val="00E75C6F"/>
    <w:rsid w:val="00E75F97"/>
    <w:rsid w:val="00E768FE"/>
    <w:rsid w:val="00E76AA6"/>
    <w:rsid w:val="00E7735A"/>
    <w:rsid w:val="00E776F0"/>
    <w:rsid w:val="00E80274"/>
    <w:rsid w:val="00E808F9"/>
    <w:rsid w:val="00E80CA2"/>
    <w:rsid w:val="00E81B0A"/>
    <w:rsid w:val="00E81E8B"/>
    <w:rsid w:val="00E83126"/>
    <w:rsid w:val="00E8319D"/>
    <w:rsid w:val="00E83781"/>
    <w:rsid w:val="00E84387"/>
    <w:rsid w:val="00E84BB6"/>
    <w:rsid w:val="00E84C0E"/>
    <w:rsid w:val="00E8697A"/>
    <w:rsid w:val="00E875D0"/>
    <w:rsid w:val="00E87FA3"/>
    <w:rsid w:val="00E90BE4"/>
    <w:rsid w:val="00E9152C"/>
    <w:rsid w:val="00E9174A"/>
    <w:rsid w:val="00E91931"/>
    <w:rsid w:val="00E91C3E"/>
    <w:rsid w:val="00E92244"/>
    <w:rsid w:val="00E9283A"/>
    <w:rsid w:val="00E93818"/>
    <w:rsid w:val="00E9407F"/>
    <w:rsid w:val="00E940C3"/>
    <w:rsid w:val="00E94577"/>
    <w:rsid w:val="00E94753"/>
    <w:rsid w:val="00E96027"/>
    <w:rsid w:val="00E961CC"/>
    <w:rsid w:val="00E964B6"/>
    <w:rsid w:val="00E964F4"/>
    <w:rsid w:val="00E96589"/>
    <w:rsid w:val="00E967C7"/>
    <w:rsid w:val="00E96ACA"/>
    <w:rsid w:val="00E970A4"/>
    <w:rsid w:val="00E97B6A"/>
    <w:rsid w:val="00EA1193"/>
    <w:rsid w:val="00EA1AAF"/>
    <w:rsid w:val="00EA1E06"/>
    <w:rsid w:val="00EA2CEC"/>
    <w:rsid w:val="00EA32B6"/>
    <w:rsid w:val="00EA3403"/>
    <w:rsid w:val="00EA392C"/>
    <w:rsid w:val="00EA3FDC"/>
    <w:rsid w:val="00EA4104"/>
    <w:rsid w:val="00EA51C7"/>
    <w:rsid w:val="00EA54E3"/>
    <w:rsid w:val="00EA5AA9"/>
    <w:rsid w:val="00EA6096"/>
    <w:rsid w:val="00EA6817"/>
    <w:rsid w:val="00EA6F1E"/>
    <w:rsid w:val="00EA79F1"/>
    <w:rsid w:val="00EB1696"/>
    <w:rsid w:val="00EB1DE5"/>
    <w:rsid w:val="00EB1F2A"/>
    <w:rsid w:val="00EB2595"/>
    <w:rsid w:val="00EB2625"/>
    <w:rsid w:val="00EB26A4"/>
    <w:rsid w:val="00EB2880"/>
    <w:rsid w:val="00EB3147"/>
    <w:rsid w:val="00EB340C"/>
    <w:rsid w:val="00EB395C"/>
    <w:rsid w:val="00EB4556"/>
    <w:rsid w:val="00EB4A0A"/>
    <w:rsid w:val="00EB515A"/>
    <w:rsid w:val="00EB5800"/>
    <w:rsid w:val="00EB62C7"/>
    <w:rsid w:val="00EB6385"/>
    <w:rsid w:val="00EB6582"/>
    <w:rsid w:val="00EB669D"/>
    <w:rsid w:val="00EB7D0B"/>
    <w:rsid w:val="00EB7E48"/>
    <w:rsid w:val="00EC0F29"/>
    <w:rsid w:val="00EC1620"/>
    <w:rsid w:val="00EC1A9C"/>
    <w:rsid w:val="00EC2A44"/>
    <w:rsid w:val="00EC3220"/>
    <w:rsid w:val="00EC3BDA"/>
    <w:rsid w:val="00EC47BA"/>
    <w:rsid w:val="00EC5059"/>
    <w:rsid w:val="00EC5D7D"/>
    <w:rsid w:val="00EC6509"/>
    <w:rsid w:val="00EC6A93"/>
    <w:rsid w:val="00ED0E74"/>
    <w:rsid w:val="00ED1416"/>
    <w:rsid w:val="00ED15C6"/>
    <w:rsid w:val="00ED293D"/>
    <w:rsid w:val="00ED346C"/>
    <w:rsid w:val="00ED373D"/>
    <w:rsid w:val="00ED441B"/>
    <w:rsid w:val="00ED4FFD"/>
    <w:rsid w:val="00ED516A"/>
    <w:rsid w:val="00ED5A47"/>
    <w:rsid w:val="00ED6AF6"/>
    <w:rsid w:val="00ED7395"/>
    <w:rsid w:val="00ED788C"/>
    <w:rsid w:val="00ED7A0D"/>
    <w:rsid w:val="00EE0C16"/>
    <w:rsid w:val="00EE0F15"/>
    <w:rsid w:val="00EE0F25"/>
    <w:rsid w:val="00EE1135"/>
    <w:rsid w:val="00EE127A"/>
    <w:rsid w:val="00EE12A8"/>
    <w:rsid w:val="00EE14B2"/>
    <w:rsid w:val="00EE1949"/>
    <w:rsid w:val="00EE21FB"/>
    <w:rsid w:val="00EE2E34"/>
    <w:rsid w:val="00EE316E"/>
    <w:rsid w:val="00EE3A39"/>
    <w:rsid w:val="00EE3B4B"/>
    <w:rsid w:val="00EE4179"/>
    <w:rsid w:val="00EE46AD"/>
    <w:rsid w:val="00EE4925"/>
    <w:rsid w:val="00EE4FDC"/>
    <w:rsid w:val="00EE542B"/>
    <w:rsid w:val="00EE5673"/>
    <w:rsid w:val="00EE58C1"/>
    <w:rsid w:val="00EE6CBD"/>
    <w:rsid w:val="00EE6E48"/>
    <w:rsid w:val="00EE6E52"/>
    <w:rsid w:val="00EE70F5"/>
    <w:rsid w:val="00EF110E"/>
    <w:rsid w:val="00EF1B11"/>
    <w:rsid w:val="00EF1F11"/>
    <w:rsid w:val="00EF3042"/>
    <w:rsid w:val="00EF34DD"/>
    <w:rsid w:val="00EF3916"/>
    <w:rsid w:val="00EF3CC0"/>
    <w:rsid w:val="00EF3E64"/>
    <w:rsid w:val="00EF42E6"/>
    <w:rsid w:val="00EF4E35"/>
    <w:rsid w:val="00EF4FA4"/>
    <w:rsid w:val="00EF5321"/>
    <w:rsid w:val="00EF5716"/>
    <w:rsid w:val="00EF5D0F"/>
    <w:rsid w:val="00EF5DAF"/>
    <w:rsid w:val="00EF70D1"/>
    <w:rsid w:val="00EF7B41"/>
    <w:rsid w:val="00F01122"/>
    <w:rsid w:val="00F0164E"/>
    <w:rsid w:val="00F019EF"/>
    <w:rsid w:val="00F025E2"/>
    <w:rsid w:val="00F02FA1"/>
    <w:rsid w:val="00F032C0"/>
    <w:rsid w:val="00F036E8"/>
    <w:rsid w:val="00F03971"/>
    <w:rsid w:val="00F03DDC"/>
    <w:rsid w:val="00F0411F"/>
    <w:rsid w:val="00F04128"/>
    <w:rsid w:val="00F0477B"/>
    <w:rsid w:val="00F04931"/>
    <w:rsid w:val="00F04EA1"/>
    <w:rsid w:val="00F05407"/>
    <w:rsid w:val="00F074CE"/>
    <w:rsid w:val="00F11474"/>
    <w:rsid w:val="00F1155D"/>
    <w:rsid w:val="00F11A6B"/>
    <w:rsid w:val="00F11DC0"/>
    <w:rsid w:val="00F120B2"/>
    <w:rsid w:val="00F12681"/>
    <w:rsid w:val="00F1301F"/>
    <w:rsid w:val="00F1312F"/>
    <w:rsid w:val="00F138F0"/>
    <w:rsid w:val="00F160B4"/>
    <w:rsid w:val="00F1627E"/>
    <w:rsid w:val="00F166BC"/>
    <w:rsid w:val="00F20A84"/>
    <w:rsid w:val="00F2103C"/>
    <w:rsid w:val="00F217BE"/>
    <w:rsid w:val="00F21FF6"/>
    <w:rsid w:val="00F22D46"/>
    <w:rsid w:val="00F23689"/>
    <w:rsid w:val="00F23A8D"/>
    <w:rsid w:val="00F2469C"/>
    <w:rsid w:val="00F24996"/>
    <w:rsid w:val="00F24FA5"/>
    <w:rsid w:val="00F25C69"/>
    <w:rsid w:val="00F26A4D"/>
    <w:rsid w:val="00F26E20"/>
    <w:rsid w:val="00F27DD0"/>
    <w:rsid w:val="00F30205"/>
    <w:rsid w:val="00F304F5"/>
    <w:rsid w:val="00F309C8"/>
    <w:rsid w:val="00F3111C"/>
    <w:rsid w:val="00F31128"/>
    <w:rsid w:val="00F31279"/>
    <w:rsid w:val="00F31A50"/>
    <w:rsid w:val="00F31C47"/>
    <w:rsid w:val="00F3207C"/>
    <w:rsid w:val="00F32E37"/>
    <w:rsid w:val="00F33762"/>
    <w:rsid w:val="00F34964"/>
    <w:rsid w:val="00F35B28"/>
    <w:rsid w:val="00F36548"/>
    <w:rsid w:val="00F371E8"/>
    <w:rsid w:val="00F37258"/>
    <w:rsid w:val="00F408E2"/>
    <w:rsid w:val="00F40B58"/>
    <w:rsid w:val="00F41126"/>
    <w:rsid w:val="00F419F3"/>
    <w:rsid w:val="00F41CFD"/>
    <w:rsid w:val="00F43FC1"/>
    <w:rsid w:val="00F44260"/>
    <w:rsid w:val="00F4497B"/>
    <w:rsid w:val="00F45749"/>
    <w:rsid w:val="00F4578C"/>
    <w:rsid w:val="00F45BAA"/>
    <w:rsid w:val="00F461AC"/>
    <w:rsid w:val="00F463A3"/>
    <w:rsid w:val="00F463E2"/>
    <w:rsid w:val="00F47013"/>
    <w:rsid w:val="00F51940"/>
    <w:rsid w:val="00F52223"/>
    <w:rsid w:val="00F53668"/>
    <w:rsid w:val="00F53A42"/>
    <w:rsid w:val="00F54A1C"/>
    <w:rsid w:val="00F54A9A"/>
    <w:rsid w:val="00F56BED"/>
    <w:rsid w:val="00F57F8F"/>
    <w:rsid w:val="00F61DE5"/>
    <w:rsid w:val="00F62094"/>
    <w:rsid w:val="00F627B7"/>
    <w:rsid w:val="00F62830"/>
    <w:rsid w:val="00F63CFC"/>
    <w:rsid w:val="00F64088"/>
    <w:rsid w:val="00F64133"/>
    <w:rsid w:val="00F64A7E"/>
    <w:rsid w:val="00F64E50"/>
    <w:rsid w:val="00F656BC"/>
    <w:rsid w:val="00F6591B"/>
    <w:rsid w:val="00F65962"/>
    <w:rsid w:val="00F65E37"/>
    <w:rsid w:val="00F662CA"/>
    <w:rsid w:val="00F664B1"/>
    <w:rsid w:val="00F66596"/>
    <w:rsid w:val="00F6683B"/>
    <w:rsid w:val="00F67984"/>
    <w:rsid w:val="00F70136"/>
    <w:rsid w:val="00F70A6A"/>
    <w:rsid w:val="00F71078"/>
    <w:rsid w:val="00F71C8E"/>
    <w:rsid w:val="00F71DA8"/>
    <w:rsid w:val="00F72352"/>
    <w:rsid w:val="00F7261B"/>
    <w:rsid w:val="00F7274D"/>
    <w:rsid w:val="00F74381"/>
    <w:rsid w:val="00F758E6"/>
    <w:rsid w:val="00F76C8D"/>
    <w:rsid w:val="00F77358"/>
    <w:rsid w:val="00F8002E"/>
    <w:rsid w:val="00F80CB0"/>
    <w:rsid w:val="00F818C4"/>
    <w:rsid w:val="00F81AB4"/>
    <w:rsid w:val="00F82743"/>
    <w:rsid w:val="00F82A57"/>
    <w:rsid w:val="00F83788"/>
    <w:rsid w:val="00F84549"/>
    <w:rsid w:val="00F8516C"/>
    <w:rsid w:val="00F85786"/>
    <w:rsid w:val="00F85910"/>
    <w:rsid w:val="00F864EC"/>
    <w:rsid w:val="00F86915"/>
    <w:rsid w:val="00F87925"/>
    <w:rsid w:val="00F87FFA"/>
    <w:rsid w:val="00F9030A"/>
    <w:rsid w:val="00F90C52"/>
    <w:rsid w:val="00F91F2E"/>
    <w:rsid w:val="00F9203F"/>
    <w:rsid w:val="00F9231F"/>
    <w:rsid w:val="00F92B6B"/>
    <w:rsid w:val="00F93B8E"/>
    <w:rsid w:val="00F9413B"/>
    <w:rsid w:val="00F94DD7"/>
    <w:rsid w:val="00F94F8B"/>
    <w:rsid w:val="00F9782C"/>
    <w:rsid w:val="00F97930"/>
    <w:rsid w:val="00FA011F"/>
    <w:rsid w:val="00FA036C"/>
    <w:rsid w:val="00FA21EB"/>
    <w:rsid w:val="00FA282E"/>
    <w:rsid w:val="00FA3ACA"/>
    <w:rsid w:val="00FA4E6B"/>
    <w:rsid w:val="00FA6804"/>
    <w:rsid w:val="00FA6EF9"/>
    <w:rsid w:val="00FA7097"/>
    <w:rsid w:val="00FA7193"/>
    <w:rsid w:val="00FA7A10"/>
    <w:rsid w:val="00FA7A13"/>
    <w:rsid w:val="00FB0180"/>
    <w:rsid w:val="00FB0366"/>
    <w:rsid w:val="00FB055B"/>
    <w:rsid w:val="00FB11A9"/>
    <w:rsid w:val="00FB1430"/>
    <w:rsid w:val="00FB383B"/>
    <w:rsid w:val="00FB42C9"/>
    <w:rsid w:val="00FB4A89"/>
    <w:rsid w:val="00FB57A5"/>
    <w:rsid w:val="00FB7317"/>
    <w:rsid w:val="00FB7911"/>
    <w:rsid w:val="00FC00B8"/>
    <w:rsid w:val="00FC064E"/>
    <w:rsid w:val="00FC1338"/>
    <w:rsid w:val="00FC1443"/>
    <w:rsid w:val="00FC208A"/>
    <w:rsid w:val="00FC35CE"/>
    <w:rsid w:val="00FC389B"/>
    <w:rsid w:val="00FC38E2"/>
    <w:rsid w:val="00FC3994"/>
    <w:rsid w:val="00FC4C6C"/>
    <w:rsid w:val="00FC4C97"/>
    <w:rsid w:val="00FC57AA"/>
    <w:rsid w:val="00FC5BB0"/>
    <w:rsid w:val="00FC5E6B"/>
    <w:rsid w:val="00FC6A38"/>
    <w:rsid w:val="00FC7045"/>
    <w:rsid w:val="00FC7B83"/>
    <w:rsid w:val="00FC7FCE"/>
    <w:rsid w:val="00FD035E"/>
    <w:rsid w:val="00FD08B1"/>
    <w:rsid w:val="00FD25D0"/>
    <w:rsid w:val="00FD2E39"/>
    <w:rsid w:val="00FD3494"/>
    <w:rsid w:val="00FD402C"/>
    <w:rsid w:val="00FD453C"/>
    <w:rsid w:val="00FD46ED"/>
    <w:rsid w:val="00FD4F45"/>
    <w:rsid w:val="00FD50A5"/>
    <w:rsid w:val="00FD65A4"/>
    <w:rsid w:val="00FD663D"/>
    <w:rsid w:val="00FD6DF9"/>
    <w:rsid w:val="00FD7754"/>
    <w:rsid w:val="00FD7D0F"/>
    <w:rsid w:val="00FE047B"/>
    <w:rsid w:val="00FE1EBD"/>
    <w:rsid w:val="00FE2588"/>
    <w:rsid w:val="00FE27DE"/>
    <w:rsid w:val="00FE280E"/>
    <w:rsid w:val="00FE2EF3"/>
    <w:rsid w:val="00FE2F6C"/>
    <w:rsid w:val="00FE31C7"/>
    <w:rsid w:val="00FE3542"/>
    <w:rsid w:val="00FE354F"/>
    <w:rsid w:val="00FE3E64"/>
    <w:rsid w:val="00FE4752"/>
    <w:rsid w:val="00FE4B54"/>
    <w:rsid w:val="00FE5DDD"/>
    <w:rsid w:val="00FE62F5"/>
    <w:rsid w:val="00FE7331"/>
    <w:rsid w:val="00FF07D3"/>
    <w:rsid w:val="00FF08C7"/>
    <w:rsid w:val="00FF0DD9"/>
    <w:rsid w:val="00FF179C"/>
    <w:rsid w:val="00FF2D19"/>
    <w:rsid w:val="00FF402B"/>
    <w:rsid w:val="00FF4305"/>
    <w:rsid w:val="00FF517A"/>
    <w:rsid w:val="00FF5191"/>
    <w:rsid w:val="00FF566A"/>
    <w:rsid w:val="00FF5931"/>
    <w:rsid w:val="00FF7C4F"/>
  </w:rsids>
  <m:mathPr>
    <m:mathFont m:val="Cambria Math"/>
    <m:brkBin m:val="before"/>
    <m:brkBinSub m:val="--"/>
    <m:smallFrac m:val="0"/>
    <m:dispDef/>
    <m:lMargin m:val="0"/>
    <m:rMargin m:val="0"/>
    <m:defJc m:val="centerGroup"/>
    <m:wrapIndent m:val="1440"/>
    <m:intLim m:val="subSup"/>
    <m:naryLim m:val="undOvr"/>
  </m:mathPr>
  <w:themeFontLang w:val="en-GB"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1B945B"/>
  <w15:docId w15:val="{5A3A8A0D-D2D2-4C36-925B-5B703F4AD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Mincho" w:hAnsi="Arial" w:cstheme="minorHAnsi"/>
        <w:sz w:val="22"/>
        <w:szCs w:val="18"/>
        <w:lang w:val="en-GB" w:eastAsia="en-GB" w:bidi="ar-SA"/>
      </w:rPr>
    </w:rPrDefault>
    <w:pPrDefault>
      <w:pPr>
        <w:spacing w:after="1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D7F"/>
    <w:rPr>
      <w:rFonts w:ascii="Times New Roman" w:eastAsiaTheme="minorHAnsi" w:hAnsi="Times New Roman" w:cstheme="minorBidi"/>
      <w:sz w:val="21"/>
      <w:szCs w:val="22"/>
      <w:lang w:val="en-US" w:eastAsia="en-US"/>
    </w:rPr>
  </w:style>
  <w:style w:type="paragraph" w:styleId="Heading1">
    <w:name w:val="heading 1"/>
    <w:basedOn w:val="Normal"/>
    <w:next w:val="Normal"/>
    <w:link w:val="Heading1Char"/>
    <w:uiPriority w:val="9"/>
    <w:qFormat/>
    <w:rsid w:val="00DC072F"/>
    <w:pPr>
      <w:keepNext/>
      <w:keepLines/>
      <w:outlineLvl w:val="0"/>
    </w:pPr>
    <w:rPr>
      <w:rFonts w:eastAsiaTheme="majorEastAsia" w:cstheme="majorBidi"/>
      <w:sz w:val="22"/>
      <w:szCs w:val="32"/>
    </w:rPr>
  </w:style>
  <w:style w:type="paragraph" w:styleId="Heading2">
    <w:name w:val="heading 2"/>
    <w:basedOn w:val="Normal"/>
    <w:next w:val="Normal"/>
    <w:link w:val="Heading2Char"/>
    <w:uiPriority w:val="9"/>
    <w:unhideWhenUsed/>
    <w:qFormat/>
    <w:rsid w:val="0015074C"/>
    <w:pPr>
      <w:keepNext/>
      <w:keepLines/>
      <w:numPr>
        <w:ilvl w:val="1"/>
        <w:numId w:val="1"/>
      </w:numPr>
      <w:spacing w:before="240"/>
      <w:ind w:left="907" w:hanging="907"/>
      <w:outlineLvl w:val="1"/>
    </w:pPr>
    <w:rPr>
      <w:rFonts w:eastAsiaTheme="majorEastAsia" w:cstheme="majorBidi"/>
      <w:i/>
      <w:sz w:val="22"/>
      <w:szCs w:val="26"/>
    </w:rPr>
  </w:style>
  <w:style w:type="paragraph" w:styleId="Heading3">
    <w:name w:val="heading 3"/>
    <w:aliases w:val=" Centered,Centered, centered,centered"/>
    <w:basedOn w:val="Heading2"/>
    <w:next w:val="Normal"/>
    <w:link w:val="Heading3Char"/>
    <w:uiPriority w:val="9"/>
    <w:unhideWhenUsed/>
    <w:qFormat/>
    <w:rsid w:val="004111C6"/>
    <w:pPr>
      <w:numPr>
        <w:ilvl w:val="2"/>
      </w:numPr>
      <w:outlineLvl w:val="2"/>
    </w:pPr>
    <w:rPr>
      <w:szCs w:val="24"/>
    </w:rPr>
  </w:style>
  <w:style w:type="paragraph" w:styleId="Heading4">
    <w:name w:val="heading 4"/>
    <w:aliases w:val="Centred"/>
    <w:basedOn w:val="Normal"/>
    <w:next w:val="Normal"/>
    <w:link w:val="Heading4Char"/>
    <w:uiPriority w:val="9"/>
    <w:unhideWhenUsed/>
    <w:qFormat/>
    <w:rsid w:val="00F166BC"/>
    <w:pPr>
      <w:outlineLvl w:val="3"/>
    </w:pPr>
    <w:rPr>
      <w:b/>
      <w:i/>
    </w:rPr>
  </w:style>
  <w:style w:type="paragraph" w:styleId="Heading5">
    <w:name w:val="heading 5"/>
    <w:aliases w:val=" Side,Side"/>
    <w:basedOn w:val="Heading3"/>
    <w:next w:val="Normal"/>
    <w:link w:val="Heading5Char"/>
    <w:uiPriority w:val="9"/>
    <w:unhideWhenUsed/>
    <w:qFormat/>
    <w:rsid w:val="00055C86"/>
    <w:pPr>
      <w:numPr>
        <w:ilvl w:val="0"/>
        <w:numId w:val="0"/>
      </w:numPr>
      <w:outlineLvl w:val="4"/>
    </w:pPr>
    <w:rPr>
      <w:b/>
      <w:szCs w:val="22"/>
    </w:rPr>
  </w:style>
  <w:style w:type="paragraph" w:styleId="Heading6">
    <w:name w:val="heading 6"/>
    <w:basedOn w:val="Heading4"/>
    <w:next w:val="Normal"/>
    <w:link w:val="Heading6Char"/>
    <w:uiPriority w:val="9"/>
    <w:unhideWhenUsed/>
    <w:qFormat/>
    <w:rsid w:val="00AC47BE"/>
    <w:pPr>
      <w:outlineLvl w:val="5"/>
    </w:pPr>
  </w:style>
  <w:style w:type="paragraph" w:styleId="Heading7">
    <w:name w:val="heading 7"/>
    <w:basedOn w:val="Normal"/>
    <w:next w:val="Normal"/>
    <w:link w:val="Heading7Char"/>
    <w:uiPriority w:val="9"/>
    <w:qFormat/>
    <w:rsid w:val="00D76B9F"/>
    <w:pPr>
      <w:spacing w:before="240" w:after="60"/>
      <w:ind w:left="1134"/>
      <w:outlineLvl w:val="6"/>
    </w:pPr>
    <w:rPr>
      <w:rFonts w:ascii="Arial" w:eastAsia="Times New Roman" w:hAnsi="Arial" w:cs="Times New Roman"/>
      <w:sz w:val="20"/>
      <w:szCs w:val="24"/>
    </w:rPr>
  </w:style>
  <w:style w:type="paragraph" w:styleId="Heading8">
    <w:name w:val="heading 8"/>
    <w:basedOn w:val="Normal"/>
    <w:next w:val="Normal"/>
    <w:link w:val="Heading8Char"/>
    <w:uiPriority w:val="9"/>
    <w:qFormat/>
    <w:rsid w:val="00D76B9F"/>
    <w:pPr>
      <w:spacing w:before="240" w:after="60"/>
      <w:ind w:left="1134"/>
      <w:outlineLvl w:val="7"/>
    </w:pPr>
    <w:rPr>
      <w:rFonts w:ascii="Arial" w:eastAsia="Times New Roman" w:hAnsi="Arial" w:cs="Times New Roman"/>
      <w:i/>
      <w:sz w:val="20"/>
      <w:szCs w:val="24"/>
    </w:rPr>
  </w:style>
  <w:style w:type="paragraph" w:styleId="Heading9">
    <w:name w:val="heading 9"/>
    <w:basedOn w:val="Normal"/>
    <w:next w:val="Normal"/>
    <w:link w:val="Heading9Char"/>
    <w:uiPriority w:val="99"/>
    <w:qFormat/>
    <w:rsid w:val="00D76B9F"/>
    <w:pPr>
      <w:spacing w:before="240" w:after="60"/>
      <w:ind w:left="1134"/>
      <w:outlineLvl w:val="8"/>
    </w:pPr>
    <w:rPr>
      <w:rFonts w:ascii="Arial" w:eastAsia="Times New Roman" w:hAnsi="Arial" w:cs="Times New Roman"/>
      <w:i/>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S,fn,single space,Footnote Text Char1,Footnote Text Char Char,Char,Char Char,Char Char Char Char,Char Char Char Char Char Char,Char Char2,Char Char21,Char Char211,Footnote Text Char Char Char Char Char,Footnote Text Char1 Char Char"/>
    <w:basedOn w:val="Normal"/>
    <w:link w:val="FootnoteTextChar2"/>
    <w:uiPriority w:val="99"/>
    <w:qFormat/>
    <w:rsid w:val="00DB113C"/>
    <w:rPr>
      <w:rFonts w:eastAsia="Times New Roman" w:cs="Times New Roman"/>
      <w:szCs w:val="24"/>
    </w:rPr>
  </w:style>
  <w:style w:type="character" w:customStyle="1" w:styleId="FootnoteTextChar">
    <w:name w:val="Footnote Text Char"/>
    <w:aliases w:val="Geneva 9 Char,Font: Geneva 9 Char,Boston 10 Char,f Char,otnote Text Char,Footnote Char,Footnote Text Char Char Char Char Char Char Char,Footnote Text Char Char Char Char1 Char,Footnote Text Char Char Char Char Char1 Char,ft Char"/>
    <w:basedOn w:val="DefaultParagraphFont"/>
    <w:uiPriority w:val="99"/>
    <w:rsid w:val="00DB113C"/>
    <w:rPr>
      <w:rFonts w:ascii="Times New Roman" w:eastAsiaTheme="minorHAnsi" w:hAnsi="Times New Roman" w:cstheme="minorBidi"/>
      <w:sz w:val="20"/>
      <w:szCs w:val="20"/>
      <w:lang w:eastAsia="en-US"/>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ftref Carattere"/>
    <w:basedOn w:val="DefaultParagraphFont"/>
    <w:link w:val="BVIfnrCarattereCharCharCharCarattereCharCharCharCharCharChar1CharCharCharCarattereChar"/>
    <w:uiPriority w:val="99"/>
    <w:qFormat/>
    <w:rsid w:val="00DB113C"/>
    <w:rPr>
      <w:vertAlign w:val="superscript"/>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basedOn w:val="DefaultParagraphFont"/>
    <w:link w:val="FootnoteText"/>
    <w:uiPriority w:val="99"/>
    <w:rsid w:val="00DB113C"/>
    <w:rPr>
      <w:rFonts w:ascii="Times New Roman" w:hAnsi="Times New Roman" w:cs="Times New Roman"/>
      <w:sz w:val="24"/>
      <w:szCs w:val="24"/>
      <w:lang w:eastAsia="en-US"/>
    </w:rPr>
  </w:style>
  <w:style w:type="character" w:styleId="Hyperlink">
    <w:name w:val="Hyperlink"/>
    <w:basedOn w:val="DefaultParagraphFont"/>
    <w:uiPriority w:val="99"/>
    <w:rsid w:val="00DB113C"/>
    <w:rPr>
      <w:color w:val="0000FF"/>
      <w:u w:val="single"/>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DB113C"/>
    <w:pPr>
      <w:spacing w:after="160" w:line="240" w:lineRule="exact"/>
    </w:pPr>
    <w:rPr>
      <w:rFonts w:ascii="Arial" w:eastAsia="Times New Roman" w:hAnsi="Arial" w:cstheme="minorHAnsi"/>
      <w:szCs w:val="18"/>
      <w:vertAlign w:val="superscript"/>
      <w:lang w:eastAsia="en-GB"/>
    </w:rPr>
  </w:style>
  <w:style w:type="paragraph" w:styleId="Header">
    <w:name w:val="header"/>
    <w:basedOn w:val="Normal"/>
    <w:link w:val="HeaderChar"/>
    <w:uiPriority w:val="99"/>
    <w:unhideWhenUsed/>
    <w:rsid w:val="00DB113C"/>
    <w:pPr>
      <w:tabs>
        <w:tab w:val="center" w:pos="4513"/>
        <w:tab w:val="right" w:pos="9026"/>
      </w:tabs>
    </w:pPr>
  </w:style>
  <w:style w:type="character" w:customStyle="1" w:styleId="HeaderChar">
    <w:name w:val="Header Char"/>
    <w:basedOn w:val="DefaultParagraphFont"/>
    <w:link w:val="Header"/>
    <w:uiPriority w:val="99"/>
    <w:rsid w:val="00DB113C"/>
    <w:rPr>
      <w:rFonts w:ascii="Times New Roman" w:eastAsiaTheme="minorHAnsi" w:hAnsi="Times New Roman" w:cstheme="minorBidi"/>
      <w:sz w:val="24"/>
      <w:szCs w:val="22"/>
      <w:lang w:eastAsia="en-US"/>
    </w:rPr>
  </w:style>
  <w:style w:type="paragraph" w:styleId="Footer">
    <w:name w:val="footer"/>
    <w:basedOn w:val="Normal"/>
    <w:link w:val="FooterChar"/>
    <w:uiPriority w:val="99"/>
    <w:unhideWhenUsed/>
    <w:rsid w:val="00DB113C"/>
    <w:pPr>
      <w:tabs>
        <w:tab w:val="center" w:pos="4513"/>
        <w:tab w:val="right" w:pos="9026"/>
      </w:tabs>
    </w:pPr>
  </w:style>
  <w:style w:type="character" w:customStyle="1" w:styleId="FooterChar">
    <w:name w:val="Footer Char"/>
    <w:basedOn w:val="DefaultParagraphFont"/>
    <w:link w:val="Footer"/>
    <w:uiPriority w:val="99"/>
    <w:rsid w:val="00DB113C"/>
    <w:rPr>
      <w:rFonts w:ascii="Times New Roman" w:eastAsiaTheme="minorHAnsi" w:hAnsi="Times New Roman" w:cstheme="minorBidi"/>
      <w:sz w:val="24"/>
      <w:szCs w:val="22"/>
      <w:lang w:eastAsia="en-US"/>
    </w:rPr>
  </w:style>
  <w:style w:type="character" w:customStyle="1" w:styleId="Heading1Char">
    <w:name w:val="Heading 1 Char"/>
    <w:basedOn w:val="DefaultParagraphFont"/>
    <w:link w:val="Heading1"/>
    <w:uiPriority w:val="9"/>
    <w:rsid w:val="00DC072F"/>
    <w:rPr>
      <w:rFonts w:ascii="Times New Roman" w:eastAsiaTheme="majorEastAsia" w:hAnsi="Times New Roman" w:cstheme="majorBidi"/>
      <w:szCs w:val="32"/>
      <w:lang w:eastAsia="en-US"/>
    </w:rPr>
  </w:style>
  <w:style w:type="character" w:customStyle="1" w:styleId="Heading2Char">
    <w:name w:val="Heading 2 Char"/>
    <w:basedOn w:val="DefaultParagraphFont"/>
    <w:link w:val="Heading2"/>
    <w:uiPriority w:val="9"/>
    <w:rsid w:val="0015074C"/>
    <w:rPr>
      <w:rFonts w:ascii="Times New Roman" w:eastAsiaTheme="majorEastAsia" w:hAnsi="Times New Roman" w:cstheme="majorBidi"/>
      <w:i/>
      <w:szCs w:val="26"/>
      <w:lang w:val="en-US" w:eastAsia="en-US"/>
    </w:rPr>
  </w:style>
  <w:style w:type="paragraph" w:styleId="ListParagraph">
    <w:name w:val="List Paragraph"/>
    <w:aliases w:val="Titulo 4,TCI Cursive,Bullets,Paragraphe de liste1,ADB paragraph numbering,List Paragraph1,List Paragraph11,Para,Project Profile name,List Paragraph (numbered (a)),Lapis Bulleted List,References,Dot pt,F5 List Paragraph,No Spacing1,bu,B,b1"/>
    <w:basedOn w:val="Normal"/>
    <w:link w:val="ListParagraphChar"/>
    <w:uiPriority w:val="34"/>
    <w:qFormat/>
    <w:rsid w:val="00DB113C"/>
    <w:pPr>
      <w:ind w:left="720"/>
      <w:contextualSpacing/>
    </w:pPr>
  </w:style>
  <w:style w:type="character" w:customStyle="1" w:styleId="Heading3Char">
    <w:name w:val="Heading 3 Char"/>
    <w:aliases w:val=" Centered Char,Centered Char, centered Char,centered Char"/>
    <w:basedOn w:val="DefaultParagraphFont"/>
    <w:link w:val="Heading3"/>
    <w:uiPriority w:val="9"/>
    <w:rsid w:val="004111C6"/>
    <w:rPr>
      <w:rFonts w:ascii="Times New Roman" w:eastAsiaTheme="majorEastAsia" w:hAnsi="Times New Roman" w:cstheme="majorBidi"/>
      <w:i/>
      <w:szCs w:val="24"/>
      <w:lang w:val="en-US" w:eastAsia="en-US"/>
    </w:rPr>
  </w:style>
  <w:style w:type="paragraph" w:styleId="TOC1">
    <w:name w:val="toc 1"/>
    <w:basedOn w:val="Normal"/>
    <w:next w:val="Normal"/>
    <w:autoRedefine/>
    <w:uiPriority w:val="39"/>
    <w:unhideWhenUsed/>
    <w:qFormat/>
    <w:rsid w:val="000F72A3"/>
    <w:pPr>
      <w:tabs>
        <w:tab w:val="right" w:leader="dot" w:pos="9016"/>
      </w:tabs>
      <w:spacing w:after="100"/>
    </w:pPr>
    <w:rPr>
      <w:smallCaps/>
      <w:noProof/>
    </w:rPr>
  </w:style>
  <w:style w:type="paragraph" w:styleId="TOC2">
    <w:name w:val="toc 2"/>
    <w:basedOn w:val="Normal"/>
    <w:next w:val="Normal"/>
    <w:autoRedefine/>
    <w:uiPriority w:val="39"/>
    <w:unhideWhenUsed/>
    <w:rsid w:val="00741546"/>
    <w:pPr>
      <w:spacing w:after="100"/>
      <w:ind w:left="220"/>
    </w:pPr>
  </w:style>
  <w:style w:type="paragraph" w:styleId="TOC3">
    <w:name w:val="toc 3"/>
    <w:basedOn w:val="Normal"/>
    <w:next w:val="Normal"/>
    <w:autoRedefine/>
    <w:uiPriority w:val="39"/>
    <w:unhideWhenUsed/>
    <w:rsid w:val="00741546"/>
    <w:pPr>
      <w:spacing w:after="100"/>
      <w:ind w:left="44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F656BC"/>
    <w:pPr>
      <w:spacing w:after="160" w:line="240" w:lineRule="exact"/>
    </w:pPr>
    <w:rPr>
      <w:rFonts w:ascii="Arial" w:eastAsia="Times New Roman" w:hAnsi="Arial" w:cstheme="minorHAnsi"/>
      <w:szCs w:val="18"/>
      <w:vertAlign w:val="superscript"/>
      <w:lang w:eastAsia="en-GB"/>
    </w:rPr>
  </w:style>
  <w:style w:type="paragraph" w:customStyle="1" w:styleId="NumberedParagraph">
    <w:name w:val="Numbered Paragraph"/>
    <w:basedOn w:val="Normal"/>
    <w:link w:val="NumberedParagraphChar"/>
    <w:qFormat/>
    <w:rsid w:val="00047CD8"/>
    <w:pPr>
      <w:numPr>
        <w:numId w:val="2"/>
      </w:numPr>
      <w:ind w:left="540"/>
    </w:pPr>
    <w:rPr>
      <w:rFonts w:eastAsia="Times New Roman" w:cs="Times New Roman"/>
    </w:rPr>
  </w:style>
  <w:style w:type="character" w:styleId="CommentReference">
    <w:name w:val="annotation reference"/>
    <w:basedOn w:val="DefaultParagraphFont"/>
    <w:uiPriority w:val="99"/>
    <w:unhideWhenUsed/>
    <w:rsid w:val="009D1943"/>
    <w:rPr>
      <w:sz w:val="16"/>
      <w:szCs w:val="16"/>
    </w:rPr>
  </w:style>
  <w:style w:type="paragraph" w:styleId="CommentText">
    <w:name w:val="annotation text"/>
    <w:basedOn w:val="Normal"/>
    <w:link w:val="CommentTextChar"/>
    <w:uiPriority w:val="99"/>
    <w:unhideWhenUsed/>
    <w:rsid w:val="009D1943"/>
    <w:pPr>
      <w:spacing w:after="160"/>
      <w:jc w:val="left"/>
    </w:pPr>
    <w:rPr>
      <w:rFonts w:asciiTheme="minorHAnsi" w:hAnsiTheme="minorHAnsi"/>
      <w:sz w:val="20"/>
      <w:szCs w:val="20"/>
    </w:rPr>
  </w:style>
  <w:style w:type="character" w:customStyle="1" w:styleId="CommentTextChar">
    <w:name w:val="Comment Text Char"/>
    <w:basedOn w:val="DefaultParagraphFont"/>
    <w:link w:val="CommentText"/>
    <w:uiPriority w:val="99"/>
    <w:rsid w:val="009D1943"/>
    <w:rPr>
      <w:rFonts w:asciiTheme="minorHAnsi" w:eastAsiaTheme="minorHAnsi" w:hAnsiTheme="minorHAnsi" w:cstheme="minorBidi"/>
      <w:sz w:val="20"/>
      <w:szCs w:val="20"/>
      <w:lang w:eastAsia="en-US"/>
    </w:rPr>
  </w:style>
  <w:style w:type="paragraph" w:customStyle="1" w:styleId="Default">
    <w:name w:val="Default"/>
    <w:rsid w:val="009D1943"/>
    <w:pPr>
      <w:autoSpaceDE w:val="0"/>
      <w:autoSpaceDN w:val="0"/>
      <w:adjustRightInd w:val="0"/>
    </w:pPr>
    <w:rPr>
      <w:rFonts w:ascii="Calibri" w:eastAsiaTheme="minorHAnsi" w:hAnsi="Calibri" w:cs="Calibri"/>
      <w:color w:val="000000"/>
      <w:sz w:val="24"/>
      <w:szCs w:val="24"/>
      <w:lang w:val="en-ZA" w:eastAsia="en-US"/>
    </w:rPr>
  </w:style>
  <w:style w:type="paragraph" w:styleId="BalloonText">
    <w:name w:val="Balloon Text"/>
    <w:basedOn w:val="Normal"/>
    <w:link w:val="BalloonTextChar"/>
    <w:uiPriority w:val="99"/>
    <w:semiHidden/>
    <w:unhideWhenUsed/>
    <w:rsid w:val="009D194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1943"/>
    <w:rPr>
      <w:rFonts w:ascii="Segoe UI" w:eastAsiaTheme="minorHAnsi" w:hAnsi="Segoe UI" w:cs="Segoe UI"/>
      <w:sz w:val="18"/>
      <w:lang w:eastAsia="en-US"/>
    </w:rPr>
  </w:style>
  <w:style w:type="paragraph" w:customStyle="1" w:styleId="GEFFieldtoFillout">
    <w:name w:val="GEF Field to Fill out"/>
    <w:basedOn w:val="Normal"/>
    <w:link w:val="GEFFieldtoFilloutChar"/>
    <w:qFormat/>
    <w:rsid w:val="009D1943"/>
    <w:pPr>
      <w:ind w:left="-720"/>
      <w:jc w:val="left"/>
    </w:pPr>
    <w:rPr>
      <w:rFonts w:eastAsia="Times New Roman" w:cs="Times New Roman"/>
      <w:color w:val="000000"/>
    </w:rPr>
  </w:style>
  <w:style w:type="character" w:customStyle="1" w:styleId="GEFFieldtoFilloutChar">
    <w:name w:val="GEF Field to Fill out Char"/>
    <w:link w:val="GEFFieldtoFillout"/>
    <w:rsid w:val="009D1943"/>
    <w:rPr>
      <w:rFonts w:ascii="Times New Roman" w:hAnsi="Times New Roman" w:cs="Times New Roman"/>
      <w:color w:val="000000"/>
      <w:szCs w:val="22"/>
      <w:lang w:val="en-US" w:eastAsia="en-US"/>
    </w:rPr>
  </w:style>
  <w:style w:type="paragraph" w:customStyle="1" w:styleId="headinga">
    <w:name w:val="headinga"/>
    <w:basedOn w:val="GEFFieldtoFillout"/>
    <w:link w:val="headingaChar"/>
    <w:rsid w:val="009D1943"/>
    <w:pPr>
      <w:jc w:val="both"/>
    </w:pPr>
    <w:rPr>
      <w:i/>
    </w:rPr>
  </w:style>
  <w:style w:type="character" w:customStyle="1" w:styleId="headingaChar">
    <w:name w:val="headinga Char"/>
    <w:basedOn w:val="GEFFieldtoFilloutChar"/>
    <w:link w:val="headinga"/>
    <w:rsid w:val="009D1943"/>
    <w:rPr>
      <w:rFonts w:ascii="Times New Roman" w:hAnsi="Times New Roman" w:cs="Times New Roman"/>
      <w:i/>
      <w:color w:val="000000"/>
      <w:szCs w:val="22"/>
      <w:lang w:val="en-US" w:eastAsia="en-US"/>
    </w:rPr>
  </w:style>
  <w:style w:type="table" w:customStyle="1" w:styleId="TableGrid1">
    <w:name w:val="Table Grid1"/>
    <w:basedOn w:val="TableNormal"/>
    <w:next w:val="TableGrid"/>
    <w:rsid w:val="00873A38"/>
    <w:rPr>
      <w:rFonts w:asciiTheme="minorHAnsi" w:eastAsiaTheme="minorHAnsi" w:hAnsiTheme="minorHAnsi" w:cstheme="minorBidi"/>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73A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nhideWhenUsed/>
    <w:qFormat/>
    <w:rsid w:val="000F2C28"/>
    <w:pPr>
      <w:spacing w:after="200"/>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D00C0F"/>
    <w:pPr>
      <w:spacing w:after="0"/>
      <w:jc w:val="both"/>
    </w:pPr>
    <w:rPr>
      <w:rFonts w:ascii="Times New Roman" w:hAnsi="Times New Roman"/>
      <w:b/>
      <w:bCs/>
    </w:rPr>
  </w:style>
  <w:style w:type="character" w:customStyle="1" w:styleId="CommentSubjectChar">
    <w:name w:val="Comment Subject Char"/>
    <w:basedOn w:val="CommentTextChar"/>
    <w:link w:val="CommentSubject"/>
    <w:uiPriority w:val="99"/>
    <w:semiHidden/>
    <w:rsid w:val="00D00C0F"/>
    <w:rPr>
      <w:rFonts w:ascii="Times New Roman" w:eastAsiaTheme="minorHAnsi" w:hAnsi="Times New Roman" w:cstheme="minorBidi"/>
      <w:b/>
      <w:bCs/>
      <w:sz w:val="20"/>
      <w:szCs w:val="20"/>
      <w:lang w:eastAsia="en-US"/>
    </w:rPr>
  </w:style>
  <w:style w:type="character" w:customStyle="1" w:styleId="Mention1">
    <w:name w:val="Mention1"/>
    <w:basedOn w:val="DefaultParagraphFont"/>
    <w:uiPriority w:val="99"/>
    <w:semiHidden/>
    <w:unhideWhenUsed/>
    <w:rsid w:val="003411C5"/>
    <w:rPr>
      <w:color w:val="2B579A"/>
      <w:shd w:val="clear" w:color="auto" w:fill="E6E6E6"/>
    </w:rPr>
  </w:style>
  <w:style w:type="character" w:styleId="FollowedHyperlink">
    <w:name w:val="FollowedHyperlink"/>
    <w:basedOn w:val="DefaultParagraphFont"/>
    <w:uiPriority w:val="99"/>
    <w:semiHidden/>
    <w:unhideWhenUsed/>
    <w:rsid w:val="003411C5"/>
    <w:rPr>
      <w:color w:val="954F72" w:themeColor="followedHyperlink"/>
      <w:u w:val="single"/>
    </w:rPr>
  </w:style>
  <w:style w:type="paragraph" w:styleId="TOC4">
    <w:name w:val="toc 4"/>
    <w:basedOn w:val="Normal"/>
    <w:next w:val="Normal"/>
    <w:autoRedefine/>
    <w:uiPriority w:val="39"/>
    <w:unhideWhenUsed/>
    <w:rsid w:val="00043825"/>
    <w:pPr>
      <w:spacing w:after="100" w:line="259" w:lineRule="auto"/>
      <w:ind w:left="660"/>
      <w:jc w:val="left"/>
    </w:pPr>
    <w:rPr>
      <w:rFonts w:asciiTheme="minorHAnsi" w:eastAsiaTheme="minorEastAsia" w:hAnsiTheme="minorHAnsi"/>
      <w:lang w:eastAsia="en-GB"/>
    </w:rPr>
  </w:style>
  <w:style w:type="paragraph" w:styleId="TOC5">
    <w:name w:val="toc 5"/>
    <w:basedOn w:val="Normal"/>
    <w:next w:val="Normal"/>
    <w:autoRedefine/>
    <w:uiPriority w:val="39"/>
    <w:unhideWhenUsed/>
    <w:rsid w:val="00043825"/>
    <w:pPr>
      <w:spacing w:after="100" w:line="259" w:lineRule="auto"/>
      <w:ind w:left="880"/>
      <w:jc w:val="left"/>
    </w:pPr>
    <w:rPr>
      <w:rFonts w:asciiTheme="minorHAnsi" w:eastAsiaTheme="minorEastAsia" w:hAnsiTheme="minorHAnsi"/>
      <w:lang w:eastAsia="en-GB"/>
    </w:rPr>
  </w:style>
  <w:style w:type="paragraph" w:styleId="TOC6">
    <w:name w:val="toc 6"/>
    <w:basedOn w:val="Normal"/>
    <w:next w:val="Normal"/>
    <w:autoRedefine/>
    <w:uiPriority w:val="39"/>
    <w:unhideWhenUsed/>
    <w:rsid w:val="00043825"/>
    <w:pPr>
      <w:spacing w:after="100" w:line="259" w:lineRule="auto"/>
      <w:ind w:left="1100"/>
      <w:jc w:val="left"/>
    </w:pPr>
    <w:rPr>
      <w:rFonts w:asciiTheme="minorHAnsi" w:eastAsiaTheme="minorEastAsia" w:hAnsiTheme="minorHAnsi"/>
      <w:lang w:eastAsia="en-GB"/>
    </w:rPr>
  </w:style>
  <w:style w:type="paragraph" w:styleId="TOC7">
    <w:name w:val="toc 7"/>
    <w:basedOn w:val="Normal"/>
    <w:next w:val="Normal"/>
    <w:autoRedefine/>
    <w:uiPriority w:val="39"/>
    <w:unhideWhenUsed/>
    <w:rsid w:val="00043825"/>
    <w:pPr>
      <w:spacing w:after="100" w:line="259" w:lineRule="auto"/>
      <w:ind w:left="1320"/>
      <w:jc w:val="left"/>
    </w:pPr>
    <w:rPr>
      <w:rFonts w:asciiTheme="minorHAnsi" w:eastAsiaTheme="minorEastAsia" w:hAnsiTheme="minorHAnsi"/>
      <w:lang w:eastAsia="en-GB"/>
    </w:rPr>
  </w:style>
  <w:style w:type="paragraph" w:styleId="TOC8">
    <w:name w:val="toc 8"/>
    <w:basedOn w:val="Normal"/>
    <w:next w:val="Normal"/>
    <w:autoRedefine/>
    <w:uiPriority w:val="39"/>
    <w:unhideWhenUsed/>
    <w:rsid w:val="00043825"/>
    <w:pPr>
      <w:spacing w:after="100" w:line="259" w:lineRule="auto"/>
      <w:ind w:left="1540"/>
      <w:jc w:val="left"/>
    </w:pPr>
    <w:rPr>
      <w:rFonts w:asciiTheme="minorHAnsi" w:eastAsiaTheme="minorEastAsia" w:hAnsiTheme="minorHAnsi"/>
      <w:lang w:eastAsia="en-GB"/>
    </w:rPr>
  </w:style>
  <w:style w:type="paragraph" w:styleId="TOC9">
    <w:name w:val="toc 9"/>
    <w:basedOn w:val="Normal"/>
    <w:next w:val="Normal"/>
    <w:autoRedefine/>
    <w:uiPriority w:val="39"/>
    <w:unhideWhenUsed/>
    <w:rsid w:val="00043825"/>
    <w:pPr>
      <w:spacing w:after="100" w:line="259" w:lineRule="auto"/>
      <w:ind w:left="1760"/>
      <w:jc w:val="left"/>
    </w:pPr>
    <w:rPr>
      <w:rFonts w:asciiTheme="minorHAnsi" w:eastAsiaTheme="minorEastAsia" w:hAnsiTheme="minorHAnsi"/>
      <w:lang w:eastAsia="en-GB"/>
    </w:rPr>
  </w:style>
  <w:style w:type="character" w:customStyle="1" w:styleId="ListParagraphChar">
    <w:name w:val="List Paragraph Char"/>
    <w:aliases w:val="Titulo 4 Char,TCI Cursive Char,Bullets Char,Paragraphe de liste1 Char,ADB paragraph numbering Char,List Paragraph1 Char,List Paragraph11 Char,Para Char,Project Profile name Char,List Paragraph (numbered (a)) Char,References Char"/>
    <w:link w:val="ListParagraph"/>
    <w:uiPriority w:val="34"/>
    <w:qFormat/>
    <w:locked/>
    <w:rsid w:val="002D22EA"/>
    <w:rPr>
      <w:rFonts w:ascii="Times New Roman" w:eastAsiaTheme="minorHAnsi" w:hAnsi="Times New Roman" w:cstheme="minorBidi"/>
      <w:szCs w:val="22"/>
      <w:lang w:eastAsia="en-US"/>
    </w:rPr>
  </w:style>
  <w:style w:type="character" w:customStyle="1" w:styleId="Heading4Char">
    <w:name w:val="Heading 4 Char"/>
    <w:aliases w:val="Centred Char"/>
    <w:basedOn w:val="DefaultParagraphFont"/>
    <w:link w:val="Heading4"/>
    <w:rsid w:val="00F166BC"/>
    <w:rPr>
      <w:rFonts w:ascii="Times New Roman" w:eastAsiaTheme="minorHAnsi" w:hAnsi="Times New Roman" w:cstheme="minorBidi"/>
      <w:b/>
      <w:i/>
      <w:szCs w:val="22"/>
      <w:lang w:eastAsia="en-US"/>
    </w:rPr>
  </w:style>
  <w:style w:type="character" w:customStyle="1" w:styleId="Heading5Char">
    <w:name w:val="Heading 5 Char"/>
    <w:aliases w:val=" Side Char,Side Char"/>
    <w:basedOn w:val="DefaultParagraphFont"/>
    <w:link w:val="Heading5"/>
    <w:rsid w:val="00055C86"/>
    <w:rPr>
      <w:rFonts w:ascii="Times New Roman" w:eastAsiaTheme="majorEastAsia" w:hAnsi="Times New Roman" w:cstheme="majorBidi"/>
      <w:b/>
      <w:sz w:val="24"/>
      <w:szCs w:val="22"/>
      <w:lang w:eastAsia="en-US"/>
    </w:rPr>
  </w:style>
  <w:style w:type="character" w:customStyle="1" w:styleId="Heading6Char">
    <w:name w:val="Heading 6 Char"/>
    <w:basedOn w:val="DefaultParagraphFont"/>
    <w:link w:val="Heading6"/>
    <w:rsid w:val="00AC47BE"/>
    <w:rPr>
      <w:rFonts w:ascii="Times New Roman" w:eastAsiaTheme="minorHAnsi" w:hAnsi="Times New Roman" w:cstheme="minorBidi"/>
      <w:b/>
      <w:i/>
      <w:szCs w:val="22"/>
      <w:lang w:eastAsia="en-US"/>
    </w:rPr>
  </w:style>
  <w:style w:type="character" w:customStyle="1" w:styleId="UnresolvedMention1">
    <w:name w:val="Unresolved Mention1"/>
    <w:basedOn w:val="DefaultParagraphFont"/>
    <w:uiPriority w:val="99"/>
    <w:semiHidden/>
    <w:unhideWhenUsed/>
    <w:rsid w:val="002B55AD"/>
    <w:rPr>
      <w:color w:val="808080"/>
      <w:shd w:val="clear" w:color="auto" w:fill="E6E6E6"/>
    </w:rPr>
  </w:style>
  <w:style w:type="paragraph" w:customStyle="1" w:styleId="Normalnum">
    <w:name w:val="Normal num"/>
    <w:basedOn w:val="Normal"/>
    <w:rsid w:val="00055C86"/>
    <w:pPr>
      <w:numPr>
        <w:numId w:val="6"/>
      </w:numPr>
      <w:ind w:left="340" w:hanging="340"/>
    </w:pPr>
  </w:style>
  <w:style w:type="paragraph" w:customStyle="1" w:styleId="Footnotes">
    <w:name w:val="Footnotes"/>
    <w:basedOn w:val="FootnoteText"/>
    <w:link w:val="FootnotesChar"/>
    <w:qFormat/>
    <w:rsid w:val="00904176"/>
    <w:pPr>
      <w:widowControl w:val="0"/>
      <w:ind w:left="170" w:hanging="170"/>
      <w:contextualSpacing/>
    </w:pPr>
    <w:rPr>
      <w:rFonts w:ascii="Arial" w:hAnsi="Arial"/>
      <w:sz w:val="18"/>
      <w:szCs w:val="18"/>
      <w:lang w:eastAsia="x-none"/>
    </w:rPr>
  </w:style>
  <w:style w:type="character" w:customStyle="1" w:styleId="FootnotesChar">
    <w:name w:val="Footnotes Char"/>
    <w:basedOn w:val="DefaultParagraphFont"/>
    <w:link w:val="Footnotes"/>
    <w:rsid w:val="00904176"/>
    <w:rPr>
      <w:rFonts w:cs="Times New Roman"/>
      <w:sz w:val="18"/>
      <w:lang w:eastAsia="x-none"/>
    </w:rPr>
  </w:style>
  <w:style w:type="paragraph" w:styleId="Title">
    <w:name w:val="Title"/>
    <w:aliases w:val="Heading Level 2"/>
    <w:basedOn w:val="Heading2"/>
    <w:next w:val="Normal"/>
    <w:link w:val="TitleChar"/>
    <w:qFormat/>
    <w:rsid w:val="00A965DB"/>
    <w:pPr>
      <w:numPr>
        <w:numId w:val="7"/>
      </w:numPr>
      <w:spacing w:before="200"/>
    </w:pPr>
    <w:rPr>
      <w:rFonts w:ascii="Garamond" w:hAnsi="Garamond" w:cs="Arial"/>
      <w:b/>
      <w:bCs/>
      <w:szCs w:val="22"/>
    </w:rPr>
  </w:style>
  <w:style w:type="character" w:customStyle="1" w:styleId="TitleChar">
    <w:name w:val="Title Char"/>
    <w:aliases w:val="Heading Level 2 Char"/>
    <w:basedOn w:val="DefaultParagraphFont"/>
    <w:link w:val="Title"/>
    <w:rsid w:val="00A965DB"/>
    <w:rPr>
      <w:rFonts w:ascii="Garamond" w:eastAsiaTheme="majorEastAsia" w:hAnsi="Garamond" w:cs="Arial"/>
      <w:b/>
      <w:bCs/>
      <w:i/>
      <w:szCs w:val="22"/>
      <w:lang w:val="en-US" w:eastAsia="en-US"/>
    </w:rPr>
  </w:style>
  <w:style w:type="paragraph" w:customStyle="1" w:styleId="Heading4mod">
    <w:name w:val="Heading 4 mod"/>
    <w:basedOn w:val="Heading4"/>
    <w:autoRedefine/>
    <w:qFormat/>
    <w:rsid w:val="009A3A09"/>
    <w:pPr>
      <w:numPr>
        <w:ilvl w:val="2"/>
        <w:numId w:val="7"/>
      </w:numPr>
      <w:spacing w:before="120"/>
      <w:ind w:left="907" w:hanging="907"/>
    </w:pPr>
    <w:rPr>
      <w:b w:val="0"/>
      <w:sz w:val="22"/>
    </w:rPr>
  </w:style>
  <w:style w:type="paragraph" w:customStyle="1" w:styleId="numbered">
    <w:name w:val="numbered"/>
    <w:basedOn w:val="ListParagraph"/>
    <w:link w:val="numberedChar"/>
    <w:qFormat/>
    <w:rsid w:val="00A965DB"/>
    <w:pPr>
      <w:numPr>
        <w:numId w:val="8"/>
      </w:numPr>
      <w:spacing w:after="200"/>
      <w:contextualSpacing w:val="0"/>
    </w:pPr>
    <w:rPr>
      <w:rFonts w:ascii="Garamond" w:hAnsi="Garamond" w:cs="Arial"/>
      <w:bCs/>
    </w:rPr>
  </w:style>
  <w:style w:type="character" w:customStyle="1" w:styleId="numberedChar">
    <w:name w:val="numbered Char"/>
    <w:link w:val="numbered"/>
    <w:locked/>
    <w:rsid w:val="00A965DB"/>
    <w:rPr>
      <w:rFonts w:ascii="Garamond" w:eastAsiaTheme="minorHAnsi" w:hAnsi="Garamond" w:cs="Arial"/>
      <w:bCs/>
      <w:sz w:val="21"/>
      <w:szCs w:val="22"/>
      <w:lang w:val="en-US" w:eastAsia="en-US"/>
    </w:rPr>
  </w:style>
  <w:style w:type="character" w:styleId="SubtleEmphasis">
    <w:name w:val="Subtle Emphasis"/>
    <w:uiPriority w:val="19"/>
    <w:qFormat/>
    <w:rsid w:val="005E085D"/>
    <w:rPr>
      <w:i/>
    </w:rPr>
  </w:style>
  <w:style w:type="character" w:customStyle="1" w:styleId="Heading7Char">
    <w:name w:val="Heading 7 Char"/>
    <w:basedOn w:val="DefaultParagraphFont"/>
    <w:link w:val="Heading7"/>
    <w:uiPriority w:val="9"/>
    <w:rsid w:val="00D76B9F"/>
    <w:rPr>
      <w:rFonts w:cs="Times New Roman"/>
      <w:sz w:val="20"/>
      <w:szCs w:val="24"/>
      <w:lang w:eastAsia="en-US"/>
    </w:rPr>
  </w:style>
  <w:style w:type="character" w:customStyle="1" w:styleId="Heading8Char">
    <w:name w:val="Heading 8 Char"/>
    <w:basedOn w:val="DefaultParagraphFont"/>
    <w:link w:val="Heading8"/>
    <w:uiPriority w:val="9"/>
    <w:rsid w:val="00D76B9F"/>
    <w:rPr>
      <w:rFonts w:cs="Times New Roman"/>
      <w:i/>
      <w:sz w:val="20"/>
      <w:szCs w:val="24"/>
      <w:lang w:eastAsia="en-US"/>
    </w:rPr>
  </w:style>
  <w:style w:type="character" w:customStyle="1" w:styleId="Heading9Char">
    <w:name w:val="Heading 9 Char"/>
    <w:basedOn w:val="DefaultParagraphFont"/>
    <w:link w:val="Heading9"/>
    <w:uiPriority w:val="99"/>
    <w:rsid w:val="00D76B9F"/>
    <w:rPr>
      <w:rFonts w:cs="Times New Roman"/>
      <w:i/>
      <w:sz w:val="18"/>
      <w:szCs w:val="24"/>
      <w:lang w:eastAsia="en-US"/>
    </w:rPr>
  </w:style>
  <w:style w:type="paragraph" w:customStyle="1" w:styleId="no-numBodyText4">
    <w:name w:val="no-num Body Text 4"/>
    <w:basedOn w:val="Normal"/>
    <w:link w:val="no-numBodyText4Char"/>
    <w:autoRedefine/>
    <w:qFormat/>
    <w:rsid w:val="00D76B9F"/>
    <w:pPr>
      <w:spacing w:before="80" w:after="80"/>
      <w:ind w:right="128"/>
      <w:jc w:val="right"/>
    </w:pPr>
    <w:rPr>
      <w:rFonts w:eastAsia="Calibri" w:cs="Times New Roman"/>
      <w:color w:val="000000"/>
      <w:lang w:eastAsia="en-GB"/>
    </w:rPr>
  </w:style>
  <w:style w:type="character" w:customStyle="1" w:styleId="no-numBodyText4Char">
    <w:name w:val="no-num Body Text 4 Char"/>
    <w:link w:val="no-numBodyText4"/>
    <w:rsid w:val="00D76B9F"/>
    <w:rPr>
      <w:rFonts w:ascii="Times New Roman" w:eastAsia="Calibri" w:hAnsi="Times New Roman" w:cs="Times New Roman"/>
      <w:color w:val="000000"/>
      <w:szCs w:val="22"/>
    </w:rPr>
  </w:style>
  <w:style w:type="paragraph" w:customStyle="1" w:styleId="ProDocSectionHeading">
    <w:name w:val="ProDoc Section Heading"/>
    <w:basedOn w:val="Heading1"/>
    <w:link w:val="ProDocSectionHeadingChar"/>
    <w:autoRedefine/>
    <w:qFormat/>
    <w:rsid w:val="00C57116"/>
    <w:pPr>
      <w:tabs>
        <w:tab w:val="left" w:pos="270"/>
      </w:tabs>
      <w:spacing w:before="240" w:after="80"/>
      <w:jc w:val="left"/>
    </w:pPr>
    <w:rPr>
      <w:rFonts w:cs="Times New Roman"/>
      <w:b/>
      <w:bCs/>
      <w:smallCaps/>
      <w:szCs w:val="22"/>
    </w:rPr>
  </w:style>
  <w:style w:type="character" w:customStyle="1" w:styleId="ProDocSectionHeadingChar">
    <w:name w:val="ProDoc Section Heading Char"/>
    <w:link w:val="ProDocSectionHeading"/>
    <w:rsid w:val="00C57116"/>
    <w:rPr>
      <w:rFonts w:ascii="Times New Roman" w:eastAsiaTheme="majorEastAsia" w:hAnsi="Times New Roman" w:cs="Times New Roman"/>
      <w:b/>
      <w:bCs/>
      <w:smallCaps/>
      <w:szCs w:val="22"/>
      <w:lang w:val="en-US" w:eastAsia="en-US"/>
    </w:rPr>
  </w:style>
  <w:style w:type="paragraph" w:customStyle="1" w:styleId="font5">
    <w:name w:val="font5"/>
    <w:basedOn w:val="Normal"/>
    <w:rsid w:val="00D76B9F"/>
    <w:pPr>
      <w:spacing w:before="100" w:beforeAutospacing="1" w:after="100" w:afterAutospacing="1"/>
      <w:jc w:val="left"/>
    </w:pPr>
    <w:rPr>
      <w:rFonts w:ascii="Arial" w:eastAsia="Times New Roman" w:hAnsi="Arial" w:cs="Arial"/>
      <w:b/>
      <w:bCs/>
      <w:sz w:val="20"/>
      <w:szCs w:val="20"/>
    </w:rPr>
  </w:style>
  <w:style w:type="paragraph" w:customStyle="1" w:styleId="font6">
    <w:name w:val="font6"/>
    <w:basedOn w:val="Normal"/>
    <w:rsid w:val="00D76B9F"/>
    <w:pPr>
      <w:spacing w:before="100" w:beforeAutospacing="1" w:after="100" w:afterAutospacing="1"/>
      <w:jc w:val="left"/>
    </w:pPr>
    <w:rPr>
      <w:rFonts w:ascii="Arial" w:eastAsia="Times New Roman" w:hAnsi="Arial" w:cs="Arial"/>
      <w:color w:val="DDD9C4"/>
      <w:sz w:val="20"/>
      <w:szCs w:val="20"/>
    </w:rPr>
  </w:style>
  <w:style w:type="paragraph" w:customStyle="1" w:styleId="font7">
    <w:name w:val="font7"/>
    <w:basedOn w:val="Normal"/>
    <w:rsid w:val="00D76B9F"/>
    <w:pPr>
      <w:spacing w:before="100" w:beforeAutospacing="1" w:after="100" w:afterAutospacing="1"/>
      <w:jc w:val="left"/>
    </w:pPr>
    <w:rPr>
      <w:rFonts w:ascii="Arial" w:eastAsia="Times New Roman" w:hAnsi="Arial" w:cs="Arial"/>
      <w:b/>
      <w:bCs/>
      <w:sz w:val="20"/>
      <w:szCs w:val="20"/>
    </w:rPr>
  </w:style>
  <w:style w:type="paragraph" w:customStyle="1" w:styleId="font8">
    <w:name w:val="font8"/>
    <w:basedOn w:val="Normal"/>
    <w:rsid w:val="00D76B9F"/>
    <w:pPr>
      <w:spacing w:before="100" w:beforeAutospacing="1" w:after="100" w:afterAutospacing="1"/>
      <w:jc w:val="left"/>
    </w:pPr>
    <w:rPr>
      <w:rFonts w:ascii="Arial" w:eastAsia="Times New Roman" w:hAnsi="Arial" w:cs="Arial"/>
      <w:b/>
      <w:bCs/>
      <w:color w:val="DDD9C4"/>
      <w:sz w:val="20"/>
      <w:szCs w:val="20"/>
    </w:rPr>
  </w:style>
  <w:style w:type="paragraph" w:customStyle="1" w:styleId="font9">
    <w:name w:val="font9"/>
    <w:basedOn w:val="Normal"/>
    <w:rsid w:val="00D76B9F"/>
    <w:pPr>
      <w:spacing w:before="100" w:beforeAutospacing="1" w:after="100" w:afterAutospacing="1"/>
      <w:jc w:val="left"/>
    </w:pPr>
    <w:rPr>
      <w:rFonts w:ascii="Arial" w:eastAsia="Times New Roman" w:hAnsi="Arial" w:cs="Arial"/>
      <w:b/>
      <w:bCs/>
      <w:color w:val="DDD9C4"/>
      <w:sz w:val="20"/>
      <w:szCs w:val="20"/>
    </w:rPr>
  </w:style>
  <w:style w:type="paragraph" w:customStyle="1" w:styleId="xl75">
    <w:name w:val="xl75"/>
    <w:basedOn w:val="Normal"/>
    <w:rsid w:val="00D76B9F"/>
    <w:pPr>
      <w:shd w:val="clear" w:color="000000" w:fill="DDD9C4"/>
      <w:spacing w:before="100" w:beforeAutospacing="1" w:after="100" w:afterAutospacing="1"/>
      <w:jc w:val="left"/>
    </w:pPr>
    <w:rPr>
      <w:rFonts w:eastAsia="Times New Roman" w:cs="Times New Roman"/>
      <w:sz w:val="24"/>
      <w:szCs w:val="24"/>
    </w:rPr>
  </w:style>
  <w:style w:type="paragraph" w:customStyle="1" w:styleId="xl76">
    <w:name w:val="xl76"/>
    <w:basedOn w:val="Normal"/>
    <w:rsid w:val="00D76B9F"/>
    <w:pPr>
      <w:shd w:val="clear" w:color="000000" w:fill="DDD9C4"/>
      <w:spacing w:before="100" w:beforeAutospacing="1" w:after="100" w:afterAutospacing="1"/>
      <w:jc w:val="left"/>
    </w:pPr>
    <w:rPr>
      <w:rFonts w:ascii="Arial" w:eastAsia="Times New Roman" w:hAnsi="Arial" w:cs="Arial"/>
      <w:b/>
      <w:bCs/>
      <w:sz w:val="24"/>
      <w:szCs w:val="24"/>
    </w:rPr>
  </w:style>
  <w:style w:type="paragraph" w:customStyle="1" w:styleId="xl77">
    <w:name w:val="xl77"/>
    <w:basedOn w:val="Normal"/>
    <w:rsid w:val="00D76B9F"/>
    <w:pPr>
      <w:shd w:val="clear" w:color="000000" w:fill="948A54"/>
      <w:spacing w:before="100" w:beforeAutospacing="1" w:after="100" w:afterAutospacing="1"/>
      <w:jc w:val="left"/>
    </w:pPr>
    <w:rPr>
      <w:rFonts w:eastAsia="Times New Roman" w:cs="Times New Roman"/>
      <w:sz w:val="24"/>
      <w:szCs w:val="24"/>
    </w:rPr>
  </w:style>
  <w:style w:type="paragraph" w:customStyle="1" w:styleId="xl78">
    <w:name w:val="xl78"/>
    <w:basedOn w:val="Normal"/>
    <w:rsid w:val="00D76B9F"/>
    <w:pPr>
      <w:shd w:val="clear" w:color="000000" w:fill="948A54"/>
      <w:spacing w:before="100" w:beforeAutospacing="1" w:after="100" w:afterAutospacing="1"/>
      <w:jc w:val="left"/>
    </w:pPr>
    <w:rPr>
      <w:rFonts w:ascii="Arial" w:eastAsia="Times New Roman" w:hAnsi="Arial" w:cs="Arial"/>
      <w:sz w:val="24"/>
      <w:szCs w:val="24"/>
    </w:rPr>
  </w:style>
  <w:style w:type="paragraph" w:customStyle="1" w:styleId="xl79">
    <w:name w:val="xl79"/>
    <w:basedOn w:val="Normal"/>
    <w:rsid w:val="00D76B9F"/>
    <w:pPr>
      <w:shd w:val="clear" w:color="000000" w:fill="948A54"/>
      <w:spacing w:before="100" w:beforeAutospacing="1" w:after="100" w:afterAutospacing="1"/>
      <w:jc w:val="left"/>
    </w:pPr>
    <w:rPr>
      <w:rFonts w:ascii="Arial" w:eastAsia="Times New Roman" w:hAnsi="Arial" w:cs="Arial"/>
      <w:b/>
      <w:bCs/>
      <w:sz w:val="24"/>
      <w:szCs w:val="24"/>
    </w:rPr>
  </w:style>
  <w:style w:type="paragraph" w:customStyle="1" w:styleId="xl80">
    <w:name w:val="xl80"/>
    <w:basedOn w:val="Normal"/>
    <w:rsid w:val="00D76B9F"/>
    <w:pPr>
      <w:shd w:val="clear" w:color="000000" w:fill="948A54"/>
      <w:spacing w:before="100" w:beforeAutospacing="1" w:after="100" w:afterAutospacing="1"/>
      <w:jc w:val="center"/>
    </w:pPr>
    <w:rPr>
      <w:rFonts w:ascii="Arial" w:eastAsia="Times New Roman" w:hAnsi="Arial" w:cs="Arial"/>
      <w:b/>
      <w:bCs/>
      <w:sz w:val="24"/>
      <w:szCs w:val="24"/>
    </w:rPr>
  </w:style>
  <w:style w:type="paragraph" w:customStyle="1" w:styleId="xl81">
    <w:name w:val="xl81"/>
    <w:basedOn w:val="Normal"/>
    <w:rsid w:val="00D76B9F"/>
    <w:pPr>
      <w:shd w:val="clear" w:color="000000" w:fill="C4BD97"/>
      <w:spacing w:before="100" w:beforeAutospacing="1" w:after="100" w:afterAutospacing="1"/>
      <w:jc w:val="left"/>
    </w:pPr>
    <w:rPr>
      <w:rFonts w:ascii="Arial" w:eastAsia="Times New Roman" w:hAnsi="Arial" w:cs="Arial"/>
      <w:b/>
      <w:bCs/>
      <w:sz w:val="24"/>
      <w:szCs w:val="24"/>
    </w:rPr>
  </w:style>
  <w:style w:type="paragraph" w:customStyle="1" w:styleId="xl82">
    <w:name w:val="xl82"/>
    <w:basedOn w:val="Normal"/>
    <w:rsid w:val="00D76B9F"/>
    <w:pPr>
      <w:shd w:val="clear" w:color="000000" w:fill="DDD9C4"/>
      <w:spacing w:before="100" w:beforeAutospacing="1" w:after="100" w:afterAutospacing="1"/>
      <w:jc w:val="left"/>
    </w:pPr>
    <w:rPr>
      <w:rFonts w:ascii="Arial" w:eastAsia="Times New Roman" w:hAnsi="Arial" w:cs="Arial"/>
      <w:sz w:val="24"/>
      <w:szCs w:val="24"/>
    </w:rPr>
  </w:style>
  <w:style w:type="paragraph" w:customStyle="1" w:styleId="xl83">
    <w:name w:val="xl83"/>
    <w:basedOn w:val="Normal"/>
    <w:rsid w:val="00D76B9F"/>
    <w:pPr>
      <w:shd w:val="clear" w:color="000000" w:fill="C4D79B"/>
      <w:spacing w:before="100" w:beforeAutospacing="1" w:after="100" w:afterAutospacing="1"/>
      <w:jc w:val="left"/>
    </w:pPr>
    <w:rPr>
      <w:rFonts w:eastAsia="Times New Roman" w:cs="Times New Roman"/>
      <w:sz w:val="24"/>
      <w:szCs w:val="24"/>
    </w:rPr>
  </w:style>
  <w:style w:type="paragraph" w:customStyle="1" w:styleId="xl84">
    <w:name w:val="xl84"/>
    <w:basedOn w:val="Normal"/>
    <w:rsid w:val="00D76B9F"/>
    <w:pPr>
      <w:shd w:val="clear" w:color="000000" w:fill="C4BD97"/>
      <w:spacing w:before="100" w:beforeAutospacing="1" w:after="100" w:afterAutospacing="1"/>
      <w:jc w:val="right"/>
    </w:pPr>
    <w:rPr>
      <w:rFonts w:ascii="Arial" w:eastAsia="Times New Roman" w:hAnsi="Arial" w:cs="Arial"/>
      <w:sz w:val="24"/>
      <w:szCs w:val="24"/>
    </w:rPr>
  </w:style>
  <w:style w:type="paragraph" w:customStyle="1" w:styleId="xl85">
    <w:name w:val="xl85"/>
    <w:basedOn w:val="Normal"/>
    <w:rsid w:val="00D76B9F"/>
    <w:pPr>
      <w:shd w:val="clear" w:color="000000" w:fill="DDD9C4"/>
      <w:spacing w:before="100" w:beforeAutospacing="1" w:after="100" w:afterAutospacing="1"/>
      <w:jc w:val="center"/>
    </w:pPr>
    <w:rPr>
      <w:rFonts w:eastAsia="Times New Roman" w:cs="Times New Roman"/>
      <w:sz w:val="24"/>
      <w:szCs w:val="24"/>
    </w:rPr>
  </w:style>
  <w:style w:type="paragraph" w:customStyle="1" w:styleId="xl86">
    <w:name w:val="xl86"/>
    <w:basedOn w:val="Normal"/>
    <w:rsid w:val="00D76B9F"/>
    <w:pPr>
      <w:shd w:val="clear" w:color="000000" w:fill="DDD9C4"/>
      <w:spacing w:before="100" w:beforeAutospacing="1" w:after="100" w:afterAutospacing="1"/>
      <w:jc w:val="center"/>
    </w:pPr>
    <w:rPr>
      <w:rFonts w:eastAsia="Times New Roman" w:cs="Times New Roman"/>
      <w:sz w:val="24"/>
      <w:szCs w:val="24"/>
    </w:rPr>
  </w:style>
  <w:style w:type="paragraph" w:customStyle="1" w:styleId="xl87">
    <w:name w:val="xl87"/>
    <w:basedOn w:val="Normal"/>
    <w:rsid w:val="00D76B9F"/>
    <w:pPr>
      <w:shd w:val="clear" w:color="000000" w:fill="DDD9C4"/>
      <w:spacing w:before="100" w:beforeAutospacing="1" w:after="100" w:afterAutospacing="1"/>
      <w:jc w:val="left"/>
    </w:pPr>
    <w:rPr>
      <w:rFonts w:eastAsia="Times New Roman" w:cs="Times New Roman"/>
      <w:sz w:val="24"/>
      <w:szCs w:val="24"/>
    </w:rPr>
  </w:style>
  <w:style w:type="paragraph" w:customStyle="1" w:styleId="xl88">
    <w:name w:val="xl88"/>
    <w:basedOn w:val="Normal"/>
    <w:rsid w:val="00D76B9F"/>
    <w:pPr>
      <w:shd w:val="clear" w:color="000000" w:fill="DDD9C4"/>
      <w:spacing w:before="100" w:beforeAutospacing="1" w:after="100" w:afterAutospacing="1"/>
      <w:jc w:val="left"/>
    </w:pPr>
    <w:rPr>
      <w:rFonts w:eastAsia="Times New Roman" w:cs="Times New Roman"/>
      <w:sz w:val="24"/>
      <w:szCs w:val="24"/>
    </w:rPr>
  </w:style>
  <w:style w:type="paragraph" w:customStyle="1" w:styleId="xl89">
    <w:name w:val="xl89"/>
    <w:basedOn w:val="Normal"/>
    <w:rsid w:val="00D76B9F"/>
    <w:pPr>
      <w:shd w:val="clear" w:color="000000" w:fill="C4BD97"/>
      <w:spacing w:before="100" w:beforeAutospacing="1" w:after="100" w:afterAutospacing="1"/>
      <w:jc w:val="center"/>
    </w:pPr>
    <w:rPr>
      <w:rFonts w:eastAsia="Times New Roman" w:cs="Times New Roman"/>
      <w:sz w:val="24"/>
      <w:szCs w:val="24"/>
    </w:rPr>
  </w:style>
  <w:style w:type="paragraph" w:customStyle="1" w:styleId="xl90">
    <w:name w:val="xl90"/>
    <w:basedOn w:val="Normal"/>
    <w:rsid w:val="00D76B9F"/>
    <w:pPr>
      <w:shd w:val="clear" w:color="000000" w:fill="C4BD97"/>
      <w:spacing w:before="100" w:beforeAutospacing="1" w:after="100" w:afterAutospacing="1"/>
      <w:jc w:val="center"/>
    </w:pPr>
    <w:rPr>
      <w:rFonts w:eastAsia="Times New Roman" w:cs="Times New Roman"/>
      <w:sz w:val="24"/>
      <w:szCs w:val="24"/>
    </w:rPr>
  </w:style>
  <w:style w:type="paragraph" w:customStyle="1" w:styleId="xl91">
    <w:name w:val="xl91"/>
    <w:basedOn w:val="Normal"/>
    <w:rsid w:val="00D76B9F"/>
    <w:pPr>
      <w:shd w:val="clear" w:color="000000" w:fill="CCC0DA"/>
      <w:spacing w:before="100" w:beforeAutospacing="1" w:after="100" w:afterAutospacing="1"/>
      <w:jc w:val="left"/>
    </w:pPr>
    <w:rPr>
      <w:rFonts w:eastAsia="Times New Roman" w:cs="Times New Roman"/>
      <w:sz w:val="24"/>
      <w:szCs w:val="24"/>
    </w:rPr>
  </w:style>
  <w:style w:type="paragraph" w:customStyle="1" w:styleId="xl92">
    <w:name w:val="xl92"/>
    <w:basedOn w:val="Normal"/>
    <w:rsid w:val="00D76B9F"/>
    <w:pPr>
      <w:shd w:val="clear" w:color="000000" w:fill="CCC0DA"/>
      <w:spacing w:before="100" w:beforeAutospacing="1" w:after="100" w:afterAutospacing="1"/>
      <w:jc w:val="center"/>
    </w:pPr>
    <w:rPr>
      <w:rFonts w:eastAsia="Times New Roman" w:cs="Times New Roman"/>
      <w:sz w:val="24"/>
      <w:szCs w:val="24"/>
    </w:rPr>
  </w:style>
  <w:style w:type="paragraph" w:customStyle="1" w:styleId="xl93">
    <w:name w:val="xl93"/>
    <w:basedOn w:val="Normal"/>
    <w:rsid w:val="00D76B9F"/>
    <w:pPr>
      <w:shd w:val="clear" w:color="000000" w:fill="C4D79B"/>
      <w:spacing w:before="100" w:beforeAutospacing="1" w:after="100" w:afterAutospacing="1"/>
      <w:jc w:val="center"/>
    </w:pPr>
    <w:rPr>
      <w:rFonts w:eastAsia="Times New Roman" w:cs="Times New Roman"/>
      <w:sz w:val="24"/>
      <w:szCs w:val="24"/>
    </w:rPr>
  </w:style>
  <w:style w:type="paragraph" w:customStyle="1" w:styleId="xl94">
    <w:name w:val="xl94"/>
    <w:basedOn w:val="Normal"/>
    <w:rsid w:val="00D76B9F"/>
    <w:pPr>
      <w:shd w:val="clear" w:color="000000" w:fill="C4D79B"/>
      <w:spacing w:before="100" w:beforeAutospacing="1" w:after="100" w:afterAutospacing="1"/>
      <w:jc w:val="center"/>
    </w:pPr>
    <w:rPr>
      <w:rFonts w:ascii="Arial" w:eastAsia="Times New Roman" w:hAnsi="Arial" w:cs="Arial"/>
      <w:b/>
      <w:bCs/>
      <w:sz w:val="24"/>
      <w:szCs w:val="24"/>
    </w:rPr>
  </w:style>
  <w:style w:type="paragraph" w:customStyle="1" w:styleId="xl95">
    <w:name w:val="xl95"/>
    <w:basedOn w:val="Normal"/>
    <w:rsid w:val="00D76B9F"/>
    <w:pPr>
      <w:shd w:val="clear" w:color="000000" w:fill="C4D79B"/>
      <w:spacing w:before="100" w:beforeAutospacing="1" w:after="100" w:afterAutospacing="1"/>
      <w:jc w:val="center"/>
    </w:pPr>
    <w:rPr>
      <w:rFonts w:eastAsia="Times New Roman" w:cs="Times New Roman"/>
      <w:sz w:val="24"/>
      <w:szCs w:val="24"/>
    </w:rPr>
  </w:style>
  <w:style w:type="paragraph" w:customStyle="1" w:styleId="xl96">
    <w:name w:val="xl96"/>
    <w:basedOn w:val="Normal"/>
    <w:rsid w:val="00D76B9F"/>
    <w:pPr>
      <w:shd w:val="clear" w:color="000000" w:fill="C4D79B"/>
      <w:spacing w:before="100" w:beforeAutospacing="1" w:after="100" w:afterAutospacing="1"/>
      <w:jc w:val="left"/>
    </w:pPr>
    <w:rPr>
      <w:rFonts w:eastAsia="Times New Roman" w:cs="Times New Roman"/>
      <w:sz w:val="24"/>
      <w:szCs w:val="24"/>
    </w:rPr>
  </w:style>
  <w:style w:type="paragraph" w:customStyle="1" w:styleId="xl97">
    <w:name w:val="xl97"/>
    <w:basedOn w:val="Normal"/>
    <w:rsid w:val="00D76B9F"/>
    <w:pPr>
      <w:shd w:val="clear" w:color="000000" w:fill="C4BD97"/>
      <w:spacing w:before="100" w:beforeAutospacing="1" w:after="100" w:afterAutospacing="1"/>
      <w:jc w:val="left"/>
    </w:pPr>
    <w:rPr>
      <w:rFonts w:ascii="Arial" w:eastAsia="Times New Roman" w:hAnsi="Arial" w:cs="Arial"/>
      <w:b/>
      <w:bCs/>
      <w:sz w:val="24"/>
      <w:szCs w:val="24"/>
    </w:rPr>
  </w:style>
  <w:style w:type="paragraph" w:customStyle="1" w:styleId="xl98">
    <w:name w:val="xl98"/>
    <w:basedOn w:val="Normal"/>
    <w:rsid w:val="00D76B9F"/>
    <w:pPr>
      <w:shd w:val="clear" w:color="000000" w:fill="CCC0DA"/>
      <w:spacing w:before="100" w:beforeAutospacing="1" w:after="100" w:afterAutospacing="1"/>
      <w:jc w:val="left"/>
    </w:pPr>
    <w:rPr>
      <w:rFonts w:ascii="Arial" w:eastAsia="Times New Roman" w:hAnsi="Arial" w:cs="Arial"/>
      <w:b/>
      <w:bCs/>
      <w:sz w:val="24"/>
      <w:szCs w:val="24"/>
    </w:rPr>
  </w:style>
  <w:style w:type="paragraph" w:customStyle="1" w:styleId="xl99">
    <w:name w:val="xl99"/>
    <w:basedOn w:val="Normal"/>
    <w:rsid w:val="00D76B9F"/>
    <w:pPr>
      <w:shd w:val="clear" w:color="000000" w:fill="CCC0DA"/>
      <w:spacing w:before="100" w:beforeAutospacing="1" w:after="100" w:afterAutospacing="1"/>
      <w:jc w:val="center"/>
    </w:pPr>
    <w:rPr>
      <w:rFonts w:eastAsia="Times New Roman" w:cs="Times New Roman"/>
      <w:sz w:val="24"/>
      <w:szCs w:val="24"/>
    </w:rPr>
  </w:style>
  <w:style w:type="paragraph" w:customStyle="1" w:styleId="xl100">
    <w:name w:val="xl100"/>
    <w:basedOn w:val="Normal"/>
    <w:rsid w:val="00D76B9F"/>
    <w:pPr>
      <w:pBdr>
        <w:bottom w:val="single" w:sz="4" w:space="0" w:color="auto"/>
      </w:pBdr>
      <w:shd w:val="clear" w:color="000000" w:fill="C4D79B"/>
      <w:spacing w:before="100" w:beforeAutospacing="1" w:after="100" w:afterAutospacing="1"/>
      <w:jc w:val="left"/>
    </w:pPr>
    <w:rPr>
      <w:rFonts w:ascii="Arial" w:eastAsia="Times New Roman" w:hAnsi="Arial" w:cs="Arial"/>
      <w:b/>
      <w:bCs/>
      <w:sz w:val="24"/>
      <w:szCs w:val="24"/>
    </w:rPr>
  </w:style>
  <w:style w:type="paragraph" w:customStyle="1" w:styleId="xl101">
    <w:name w:val="xl101"/>
    <w:basedOn w:val="Normal"/>
    <w:rsid w:val="00D76B9F"/>
    <w:pPr>
      <w:shd w:val="clear" w:color="000000" w:fill="C4BD97"/>
      <w:spacing w:before="100" w:beforeAutospacing="1" w:after="100" w:afterAutospacing="1"/>
      <w:jc w:val="center"/>
    </w:pPr>
    <w:rPr>
      <w:rFonts w:ascii="Arial" w:eastAsia="Times New Roman" w:hAnsi="Arial" w:cs="Arial"/>
      <w:b/>
      <w:bCs/>
      <w:sz w:val="24"/>
      <w:szCs w:val="24"/>
    </w:rPr>
  </w:style>
  <w:style w:type="paragraph" w:customStyle="1" w:styleId="xl102">
    <w:name w:val="xl102"/>
    <w:basedOn w:val="Normal"/>
    <w:rsid w:val="00D76B9F"/>
    <w:pPr>
      <w:shd w:val="clear" w:color="000000" w:fill="DDD9C4"/>
      <w:spacing w:before="100" w:beforeAutospacing="1" w:after="100" w:afterAutospacing="1"/>
      <w:jc w:val="left"/>
    </w:pPr>
    <w:rPr>
      <w:rFonts w:ascii="Arial" w:eastAsia="Times New Roman" w:hAnsi="Arial" w:cs="Arial"/>
      <w:color w:val="DDD9C4"/>
      <w:sz w:val="24"/>
      <w:szCs w:val="24"/>
    </w:rPr>
  </w:style>
  <w:style w:type="paragraph" w:customStyle="1" w:styleId="xl103">
    <w:name w:val="xl103"/>
    <w:basedOn w:val="Normal"/>
    <w:rsid w:val="00D76B9F"/>
    <w:pPr>
      <w:shd w:val="clear" w:color="000000" w:fill="C4BD97"/>
      <w:spacing w:before="100" w:beforeAutospacing="1" w:after="100" w:afterAutospacing="1"/>
      <w:jc w:val="left"/>
    </w:pPr>
    <w:rPr>
      <w:rFonts w:eastAsia="Times New Roman" w:cs="Times New Roman"/>
      <w:sz w:val="24"/>
      <w:szCs w:val="24"/>
    </w:rPr>
  </w:style>
  <w:style w:type="paragraph" w:customStyle="1" w:styleId="xl104">
    <w:name w:val="xl104"/>
    <w:basedOn w:val="Normal"/>
    <w:rsid w:val="00D76B9F"/>
    <w:pPr>
      <w:shd w:val="clear" w:color="000000" w:fill="C4BD97"/>
      <w:spacing w:before="100" w:beforeAutospacing="1" w:after="100" w:afterAutospacing="1"/>
      <w:jc w:val="left"/>
    </w:pPr>
    <w:rPr>
      <w:rFonts w:ascii="Arial" w:eastAsia="Times New Roman" w:hAnsi="Arial" w:cs="Arial"/>
      <w:sz w:val="24"/>
      <w:szCs w:val="24"/>
    </w:rPr>
  </w:style>
  <w:style w:type="paragraph" w:customStyle="1" w:styleId="xl105">
    <w:name w:val="xl105"/>
    <w:basedOn w:val="Normal"/>
    <w:rsid w:val="00D76B9F"/>
    <w:pPr>
      <w:shd w:val="clear" w:color="000000" w:fill="BFBFBF"/>
      <w:spacing w:before="100" w:beforeAutospacing="1" w:after="100" w:afterAutospacing="1"/>
      <w:jc w:val="left"/>
    </w:pPr>
    <w:rPr>
      <w:rFonts w:eastAsia="Times New Roman" w:cs="Times New Roman"/>
      <w:sz w:val="24"/>
      <w:szCs w:val="24"/>
    </w:rPr>
  </w:style>
  <w:style w:type="paragraph" w:customStyle="1" w:styleId="xl106">
    <w:name w:val="xl106"/>
    <w:basedOn w:val="Normal"/>
    <w:rsid w:val="00D76B9F"/>
    <w:pPr>
      <w:shd w:val="clear" w:color="000000" w:fill="C4D79B"/>
      <w:spacing w:before="100" w:beforeAutospacing="1" w:after="100" w:afterAutospacing="1"/>
      <w:jc w:val="left"/>
    </w:pPr>
    <w:rPr>
      <w:rFonts w:ascii="Arial" w:eastAsia="Times New Roman" w:hAnsi="Arial" w:cs="Arial"/>
      <w:b/>
      <w:bCs/>
      <w:sz w:val="24"/>
      <w:szCs w:val="24"/>
    </w:rPr>
  </w:style>
  <w:style w:type="paragraph" w:customStyle="1" w:styleId="xl107">
    <w:name w:val="xl107"/>
    <w:basedOn w:val="Normal"/>
    <w:rsid w:val="00D76B9F"/>
    <w:pPr>
      <w:shd w:val="clear" w:color="000000" w:fill="CCC0DA"/>
      <w:spacing w:before="100" w:beforeAutospacing="1" w:after="100" w:afterAutospacing="1"/>
      <w:jc w:val="center"/>
    </w:pPr>
    <w:rPr>
      <w:rFonts w:ascii="Arial" w:eastAsia="Times New Roman" w:hAnsi="Arial" w:cs="Arial"/>
      <w:b/>
      <w:bCs/>
      <w:sz w:val="24"/>
      <w:szCs w:val="24"/>
    </w:rPr>
  </w:style>
  <w:style w:type="paragraph" w:customStyle="1" w:styleId="xl108">
    <w:name w:val="xl108"/>
    <w:basedOn w:val="Normal"/>
    <w:rsid w:val="00D76B9F"/>
    <w:pPr>
      <w:shd w:val="clear" w:color="000000" w:fill="948A54"/>
      <w:spacing w:before="100" w:beforeAutospacing="1" w:after="100" w:afterAutospacing="1"/>
      <w:jc w:val="left"/>
    </w:pPr>
    <w:rPr>
      <w:rFonts w:eastAsia="Times New Roman" w:cs="Times New Roman"/>
      <w:sz w:val="24"/>
      <w:szCs w:val="24"/>
    </w:rPr>
  </w:style>
  <w:style w:type="paragraph" w:customStyle="1" w:styleId="xl109">
    <w:name w:val="xl109"/>
    <w:basedOn w:val="Normal"/>
    <w:rsid w:val="00D76B9F"/>
    <w:pPr>
      <w:shd w:val="clear" w:color="000000" w:fill="E6B8B7"/>
      <w:spacing w:before="100" w:beforeAutospacing="1" w:after="100" w:afterAutospacing="1"/>
      <w:jc w:val="left"/>
    </w:pPr>
    <w:rPr>
      <w:rFonts w:eastAsia="Times New Roman" w:cs="Times New Roman"/>
      <w:sz w:val="24"/>
      <w:szCs w:val="24"/>
    </w:rPr>
  </w:style>
  <w:style w:type="paragraph" w:customStyle="1" w:styleId="xl110">
    <w:name w:val="xl110"/>
    <w:basedOn w:val="Normal"/>
    <w:rsid w:val="00D76B9F"/>
    <w:pPr>
      <w:shd w:val="clear" w:color="000000" w:fill="C4BD97"/>
      <w:spacing w:before="100" w:beforeAutospacing="1" w:after="100" w:afterAutospacing="1"/>
      <w:jc w:val="right"/>
    </w:pPr>
    <w:rPr>
      <w:rFonts w:eastAsia="Times New Roman" w:cs="Times New Roman"/>
      <w:sz w:val="24"/>
      <w:szCs w:val="24"/>
    </w:rPr>
  </w:style>
  <w:style w:type="paragraph" w:customStyle="1" w:styleId="xl111">
    <w:name w:val="xl111"/>
    <w:basedOn w:val="Normal"/>
    <w:rsid w:val="00D76B9F"/>
    <w:pPr>
      <w:shd w:val="clear" w:color="000000" w:fill="C4D79B"/>
      <w:spacing w:before="100" w:beforeAutospacing="1" w:after="100" w:afterAutospacing="1"/>
      <w:jc w:val="center"/>
    </w:pPr>
    <w:rPr>
      <w:rFonts w:ascii="Arial" w:eastAsia="Times New Roman" w:hAnsi="Arial" w:cs="Arial"/>
      <w:sz w:val="18"/>
      <w:szCs w:val="18"/>
    </w:rPr>
  </w:style>
  <w:style w:type="paragraph" w:customStyle="1" w:styleId="xl112">
    <w:name w:val="xl112"/>
    <w:basedOn w:val="Normal"/>
    <w:rsid w:val="00D76B9F"/>
    <w:pPr>
      <w:shd w:val="clear" w:color="000000" w:fill="BFBFBF"/>
      <w:spacing w:before="100" w:beforeAutospacing="1" w:after="100" w:afterAutospacing="1"/>
      <w:jc w:val="left"/>
    </w:pPr>
    <w:rPr>
      <w:rFonts w:ascii="Arial" w:eastAsia="Times New Roman" w:hAnsi="Arial" w:cs="Arial"/>
      <w:sz w:val="24"/>
      <w:szCs w:val="24"/>
    </w:rPr>
  </w:style>
  <w:style w:type="paragraph" w:customStyle="1" w:styleId="xl113">
    <w:name w:val="xl113"/>
    <w:basedOn w:val="Normal"/>
    <w:rsid w:val="00D76B9F"/>
    <w:pPr>
      <w:shd w:val="clear" w:color="000000" w:fill="BFBFBF"/>
      <w:spacing w:before="100" w:beforeAutospacing="1" w:after="100" w:afterAutospacing="1"/>
      <w:jc w:val="left"/>
    </w:pPr>
    <w:rPr>
      <w:rFonts w:ascii="Arial" w:eastAsia="Times New Roman" w:hAnsi="Arial" w:cs="Arial"/>
      <w:sz w:val="24"/>
      <w:szCs w:val="24"/>
    </w:rPr>
  </w:style>
  <w:style w:type="paragraph" w:customStyle="1" w:styleId="xl114">
    <w:name w:val="xl114"/>
    <w:basedOn w:val="Normal"/>
    <w:rsid w:val="00D76B9F"/>
    <w:pPr>
      <w:shd w:val="clear" w:color="000000" w:fill="A6A6A6"/>
      <w:spacing w:before="100" w:beforeAutospacing="1" w:after="100" w:afterAutospacing="1"/>
      <w:jc w:val="left"/>
    </w:pPr>
    <w:rPr>
      <w:rFonts w:eastAsia="Times New Roman" w:cs="Times New Roman"/>
      <w:sz w:val="24"/>
      <w:szCs w:val="24"/>
    </w:rPr>
  </w:style>
  <w:style w:type="paragraph" w:customStyle="1" w:styleId="xl115">
    <w:name w:val="xl115"/>
    <w:basedOn w:val="Normal"/>
    <w:rsid w:val="00D76B9F"/>
    <w:pPr>
      <w:shd w:val="clear" w:color="000000" w:fill="A6A6A6"/>
      <w:spacing w:before="100" w:beforeAutospacing="1" w:after="100" w:afterAutospacing="1"/>
      <w:jc w:val="right"/>
    </w:pPr>
    <w:rPr>
      <w:rFonts w:ascii="Arial" w:eastAsia="Times New Roman" w:hAnsi="Arial" w:cs="Arial"/>
      <w:sz w:val="24"/>
      <w:szCs w:val="24"/>
    </w:rPr>
  </w:style>
  <w:style w:type="paragraph" w:customStyle="1" w:styleId="xl116">
    <w:name w:val="xl116"/>
    <w:basedOn w:val="Normal"/>
    <w:rsid w:val="00D76B9F"/>
    <w:pPr>
      <w:shd w:val="clear" w:color="000000" w:fill="BFBFBF"/>
      <w:spacing w:before="100" w:beforeAutospacing="1" w:after="100" w:afterAutospacing="1"/>
      <w:jc w:val="left"/>
    </w:pPr>
    <w:rPr>
      <w:rFonts w:eastAsia="Times New Roman" w:cs="Times New Roman"/>
      <w:sz w:val="24"/>
      <w:szCs w:val="24"/>
    </w:rPr>
  </w:style>
  <w:style w:type="paragraph" w:customStyle="1" w:styleId="xl117">
    <w:name w:val="xl117"/>
    <w:basedOn w:val="Normal"/>
    <w:rsid w:val="00D76B9F"/>
    <w:pPr>
      <w:shd w:val="clear" w:color="000000" w:fill="A6A6A6"/>
      <w:spacing w:before="100" w:beforeAutospacing="1" w:after="100" w:afterAutospacing="1"/>
      <w:jc w:val="left"/>
    </w:pPr>
    <w:rPr>
      <w:rFonts w:eastAsia="Times New Roman" w:cs="Times New Roman"/>
      <w:sz w:val="24"/>
      <w:szCs w:val="24"/>
    </w:rPr>
  </w:style>
  <w:style w:type="paragraph" w:customStyle="1" w:styleId="xl118">
    <w:name w:val="xl118"/>
    <w:basedOn w:val="Normal"/>
    <w:rsid w:val="00D76B9F"/>
    <w:pPr>
      <w:shd w:val="clear" w:color="000000" w:fill="C4BD97"/>
      <w:spacing w:before="100" w:beforeAutospacing="1" w:after="100" w:afterAutospacing="1"/>
      <w:jc w:val="left"/>
    </w:pPr>
    <w:rPr>
      <w:rFonts w:eastAsia="Times New Roman" w:cs="Times New Roman"/>
      <w:sz w:val="24"/>
      <w:szCs w:val="24"/>
    </w:rPr>
  </w:style>
  <w:style w:type="paragraph" w:customStyle="1" w:styleId="xl119">
    <w:name w:val="xl119"/>
    <w:basedOn w:val="Normal"/>
    <w:rsid w:val="00D76B9F"/>
    <w:pPr>
      <w:shd w:val="clear" w:color="000000" w:fill="948A54"/>
      <w:spacing w:before="100" w:beforeAutospacing="1" w:after="100" w:afterAutospacing="1"/>
      <w:jc w:val="left"/>
    </w:pPr>
    <w:rPr>
      <w:rFonts w:eastAsia="Times New Roman" w:cs="Times New Roman"/>
      <w:sz w:val="24"/>
      <w:szCs w:val="24"/>
    </w:rPr>
  </w:style>
  <w:style w:type="paragraph" w:customStyle="1" w:styleId="xl120">
    <w:name w:val="xl120"/>
    <w:basedOn w:val="Normal"/>
    <w:rsid w:val="00D76B9F"/>
    <w:pPr>
      <w:shd w:val="clear" w:color="000000" w:fill="DDD9C4"/>
      <w:spacing w:before="100" w:beforeAutospacing="1" w:after="100" w:afterAutospacing="1"/>
      <w:jc w:val="center"/>
    </w:pPr>
    <w:rPr>
      <w:rFonts w:ascii="Arial" w:eastAsia="Times New Roman" w:hAnsi="Arial" w:cs="Arial"/>
      <w:color w:val="DDD9C4"/>
      <w:sz w:val="24"/>
      <w:szCs w:val="24"/>
    </w:rPr>
  </w:style>
  <w:style w:type="paragraph" w:customStyle="1" w:styleId="xl121">
    <w:name w:val="xl121"/>
    <w:basedOn w:val="Normal"/>
    <w:rsid w:val="00D76B9F"/>
    <w:pPr>
      <w:shd w:val="clear" w:color="000000" w:fill="DDD9C4"/>
      <w:spacing w:before="100" w:beforeAutospacing="1" w:after="100" w:afterAutospacing="1"/>
      <w:jc w:val="center"/>
    </w:pPr>
    <w:rPr>
      <w:rFonts w:ascii="Arial" w:eastAsia="Times New Roman" w:hAnsi="Arial" w:cs="Arial"/>
      <w:color w:val="DDD9C4"/>
      <w:sz w:val="24"/>
      <w:szCs w:val="24"/>
    </w:rPr>
  </w:style>
  <w:style w:type="paragraph" w:customStyle="1" w:styleId="xl122">
    <w:name w:val="xl122"/>
    <w:basedOn w:val="Normal"/>
    <w:rsid w:val="00D76B9F"/>
    <w:pPr>
      <w:shd w:val="clear" w:color="000000" w:fill="DDD9C4"/>
      <w:spacing w:before="100" w:beforeAutospacing="1" w:after="100" w:afterAutospacing="1"/>
      <w:jc w:val="center"/>
    </w:pPr>
    <w:rPr>
      <w:rFonts w:ascii="Arial" w:eastAsia="Times New Roman" w:hAnsi="Arial" w:cs="Arial"/>
      <w:color w:val="DDD9C4"/>
      <w:sz w:val="24"/>
      <w:szCs w:val="24"/>
    </w:rPr>
  </w:style>
  <w:style w:type="paragraph" w:customStyle="1" w:styleId="xl123">
    <w:name w:val="xl123"/>
    <w:basedOn w:val="Normal"/>
    <w:rsid w:val="00D76B9F"/>
    <w:pPr>
      <w:shd w:val="clear" w:color="000000" w:fill="948A54"/>
      <w:spacing w:before="100" w:beforeAutospacing="1" w:after="100" w:afterAutospacing="1"/>
      <w:jc w:val="right"/>
    </w:pPr>
    <w:rPr>
      <w:rFonts w:ascii="Arial" w:eastAsia="Times New Roman" w:hAnsi="Arial" w:cs="Arial"/>
      <w:b/>
      <w:bCs/>
      <w:color w:val="DDD9C4"/>
      <w:sz w:val="24"/>
      <w:szCs w:val="24"/>
    </w:rPr>
  </w:style>
  <w:style w:type="paragraph" w:customStyle="1" w:styleId="xl124">
    <w:name w:val="xl124"/>
    <w:basedOn w:val="Normal"/>
    <w:rsid w:val="00D76B9F"/>
    <w:pPr>
      <w:shd w:val="clear" w:color="000000" w:fill="948A54"/>
      <w:spacing w:before="100" w:beforeAutospacing="1" w:after="100" w:afterAutospacing="1"/>
      <w:jc w:val="left"/>
    </w:pPr>
    <w:rPr>
      <w:rFonts w:ascii="Arial" w:eastAsia="Times New Roman" w:hAnsi="Arial" w:cs="Arial"/>
      <w:color w:val="DDD9C4"/>
      <w:sz w:val="24"/>
      <w:szCs w:val="24"/>
    </w:rPr>
  </w:style>
  <w:style w:type="paragraph" w:customStyle="1" w:styleId="xl125">
    <w:name w:val="xl125"/>
    <w:basedOn w:val="Normal"/>
    <w:rsid w:val="00D76B9F"/>
    <w:pPr>
      <w:shd w:val="clear" w:color="000000" w:fill="948A54"/>
      <w:spacing w:before="100" w:beforeAutospacing="1" w:after="100" w:afterAutospacing="1"/>
      <w:jc w:val="left"/>
    </w:pPr>
    <w:rPr>
      <w:rFonts w:ascii="Arial" w:eastAsia="Times New Roman" w:hAnsi="Arial" w:cs="Arial"/>
      <w:b/>
      <w:bCs/>
      <w:color w:val="DDD9C4"/>
      <w:sz w:val="24"/>
      <w:szCs w:val="24"/>
    </w:rPr>
  </w:style>
  <w:style w:type="paragraph" w:customStyle="1" w:styleId="xl126">
    <w:name w:val="xl126"/>
    <w:basedOn w:val="Normal"/>
    <w:rsid w:val="00D76B9F"/>
    <w:pPr>
      <w:shd w:val="clear" w:color="000000" w:fill="948A54"/>
      <w:spacing w:before="100" w:beforeAutospacing="1" w:after="100" w:afterAutospacing="1"/>
      <w:jc w:val="right"/>
    </w:pPr>
    <w:rPr>
      <w:rFonts w:ascii="Arial" w:eastAsia="Times New Roman" w:hAnsi="Arial" w:cs="Arial"/>
      <w:b/>
      <w:bCs/>
      <w:color w:val="DDD9C4"/>
    </w:rPr>
  </w:style>
  <w:style w:type="paragraph" w:customStyle="1" w:styleId="xl127">
    <w:name w:val="xl127"/>
    <w:basedOn w:val="Normal"/>
    <w:rsid w:val="00D76B9F"/>
    <w:pPr>
      <w:shd w:val="clear" w:color="000000" w:fill="948A54"/>
      <w:spacing w:before="100" w:beforeAutospacing="1" w:after="100" w:afterAutospacing="1"/>
      <w:jc w:val="left"/>
    </w:pPr>
    <w:rPr>
      <w:rFonts w:ascii="Arial" w:eastAsia="Times New Roman" w:hAnsi="Arial" w:cs="Arial"/>
      <w:color w:val="DDD9C4"/>
    </w:rPr>
  </w:style>
  <w:style w:type="paragraph" w:customStyle="1" w:styleId="xl128">
    <w:name w:val="xl128"/>
    <w:basedOn w:val="Normal"/>
    <w:rsid w:val="00D76B9F"/>
    <w:pPr>
      <w:shd w:val="clear" w:color="000000" w:fill="948A54"/>
      <w:spacing w:before="100" w:beforeAutospacing="1" w:after="100" w:afterAutospacing="1"/>
      <w:jc w:val="left"/>
    </w:pPr>
    <w:rPr>
      <w:rFonts w:ascii="Arial" w:eastAsia="Times New Roman" w:hAnsi="Arial" w:cs="Arial"/>
      <w:i/>
      <w:iCs/>
      <w:color w:val="DDD9C4"/>
    </w:rPr>
  </w:style>
  <w:style w:type="paragraph" w:customStyle="1" w:styleId="xl129">
    <w:name w:val="xl129"/>
    <w:basedOn w:val="Normal"/>
    <w:rsid w:val="00D76B9F"/>
    <w:pPr>
      <w:shd w:val="clear" w:color="000000" w:fill="948A54"/>
      <w:spacing w:before="100" w:beforeAutospacing="1" w:after="100" w:afterAutospacing="1"/>
      <w:jc w:val="left"/>
    </w:pPr>
    <w:rPr>
      <w:rFonts w:ascii="Arial" w:eastAsia="Times New Roman" w:hAnsi="Arial" w:cs="Arial"/>
      <w:i/>
      <w:iCs/>
      <w:color w:val="DDD9C4"/>
    </w:rPr>
  </w:style>
  <w:style w:type="paragraph" w:customStyle="1" w:styleId="xl130">
    <w:name w:val="xl130"/>
    <w:basedOn w:val="Normal"/>
    <w:rsid w:val="00D76B9F"/>
    <w:pPr>
      <w:shd w:val="clear" w:color="000000" w:fill="C4BD97"/>
      <w:spacing w:before="100" w:beforeAutospacing="1" w:after="100" w:afterAutospacing="1"/>
      <w:jc w:val="left"/>
    </w:pPr>
    <w:rPr>
      <w:rFonts w:ascii="Arial" w:eastAsia="Times New Roman" w:hAnsi="Arial" w:cs="Arial"/>
      <w:b/>
      <w:bCs/>
      <w:sz w:val="24"/>
      <w:szCs w:val="24"/>
    </w:rPr>
  </w:style>
  <w:style w:type="paragraph" w:customStyle="1" w:styleId="xl131">
    <w:name w:val="xl131"/>
    <w:basedOn w:val="Normal"/>
    <w:rsid w:val="00D76B9F"/>
    <w:pPr>
      <w:shd w:val="clear" w:color="000000" w:fill="CCC0DA"/>
      <w:spacing w:before="100" w:beforeAutospacing="1" w:after="100" w:afterAutospacing="1"/>
      <w:jc w:val="center"/>
    </w:pPr>
    <w:rPr>
      <w:rFonts w:ascii="Arial" w:eastAsia="Times New Roman" w:hAnsi="Arial" w:cs="Arial"/>
      <w:b/>
      <w:bCs/>
      <w:sz w:val="24"/>
      <w:szCs w:val="24"/>
    </w:rPr>
  </w:style>
  <w:style w:type="paragraph" w:customStyle="1" w:styleId="xl132">
    <w:name w:val="xl132"/>
    <w:basedOn w:val="Normal"/>
    <w:rsid w:val="00D76B9F"/>
    <w:pPr>
      <w:shd w:val="clear" w:color="000000" w:fill="DDD9C4"/>
      <w:spacing w:before="100" w:beforeAutospacing="1" w:after="100" w:afterAutospacing="1"/>
      <w:jc w:val="left"/>
    </w:pPr>
    <w:rPr>
      <w:rFonts w:ascii="Arial" w:eastAsia="Times New Roman" w:hAnsi="Arial" w:cs="Arial"/>
      <w:b/>
      <w:bCs/>
      <w:i/>
      <w:iCs/>
      <w:sz w:val="24"/>
      <w:szCs w:val="24"/>
    </w:rPr>
  </w:style>
  <w:style w:type="paragraph" w:customStyle="1" w:styleId="xl133">
    <w:name w:val="xl133"/>
    <w:basedOn w:val="Normal"/>
    <w:rsid w:val="00D76B9F"/>
    <w:pPr>
      <w:shd w:val="clear" w:color="000000" w:fill="DDD9C4"/>
      <w:spacing w:before="100" w:beforeAutospacing="1" w:after="100" w:afterAutospacing="1"/>
      <w:jc w:val="left"/>
      <w:textAlignment w:val="center"/>
    </w:pPr>
    <w:rPr>
      <w:rFonts w:eastAsia="Times New Roman" w:cs="Times New Roman"/>
      <w:sz w:val="24"/>
      <w:szCs w:val="24"/>
    </w:rPr>
  </w:style>
  <w:style w:type="paragraph" w:customStyle="1" w:styleId="xl134">
    <w:name w:val="xl134"/>
    <w:basedOn w:val="Normal"/>
    <w:rsid w:val="00D76B9F"/>
    <w:pPr>
      <w:shd w:val="clear" w:color="000000" w:fill="948A54"/>
      <w:spacing w:before="100" w:beforeAutospacing="1" w:after="100" w:afterAutospacing="1"/>
      <w:jc w:val="right"/>
    </w:pPr>
    <w:rPr>
      <w:rFonts w:ascii="Arial" w:eastAsia="Times New Roman" w:hAnsi="Arial" w:cs="Arial"/>
      <w:b/>
      <w:bCs/>
      <w:color w:val="DDD9C4"/>
      <w:sz w:val="18"/>
      <w:szCs w:val="18"/>
    </w:rPr>
  </w:style>
  <w:style w:type="paragraph" w:customStyle="1" w:styleId="xl135">
    <w:name w:val="xl135"/>
    <w:basedOn w:val="Normal"/>
    <w:rsid w:val="00D76B9F"/>
    <w:pPr>
      <w:shd w:val="clear" w:color="000000" w:fill="C4D79B"/>
      <w:spacing w:before="100" w:beforeAutospacing="1" w:after="100" w:afterAutospacing="1"/>
      <w:jc w:val="left"/>
    </w:pPr>
    <w:rPr>
      <w:rFonts w:ascii="Arial" w:eastAsia="Times New Roman" w:hAnsi="Arial" w:cs="Arial"/>
      <w:b/>
      <w:bCs/>
      <w:sz w:val="24"/>
      <w:szCs w:val="24"/>
    </w:rPr>
  </w:style>
  <w:style w:type="paragraph" w:customStyle="1" w:styleId="xl136">
    <w:name w:val="xl136"/>
    <w:basedOn w:val="Normal"/>
    <w:rsid w:val="00D76B9F"/>
    <w:pPr>
      <w:shd w:val="clear" w:color="000000" w:fill="C4BD97"/>
      <w:spacing w:before="100" w:beforeAutospacing="1" w:after="100" w:afterAutospacing="1"/>
      <w:jc w:val="center"/>
    </w:pPr>
    <w:rPr>
      <w:rFonts w:eastAsia="Times New Roman" w:cs="Times New Roman"/>
      <w:sz w:val="24"/>
      <w:szCs w:val="24"/>
    </w:rPr>
  </w:style>
  <w:style w:type="paragraph" w:customStyle="1" w:styleId="xl137">
    <w:name w:val="xl137"/>
    <w:basedOn w:val="Normal"/>
    <w:rsid w:val="00D76B9F"/>
    <w:pPr>
      <w:shd w:val="clear" w:color="000000" w:fill="C4BD97"/>
      <w:spacing w:before="100" w:beforeAutospacing="1" w:after="100" w:afterAutospacing="1"/>
      <w:jc w:val="center"/>
    </w:pPr>
    <w:rPr>
      <w:rFonts w:ascii="Arial" w:eastAsia="Times New Roman" w:hAnsi="Arial" w:cs="Arial"/>
      <w:b/>
      <w:bCs/>
      <w:sz w:val="24"/>
      <w:szCs w:val="24"/>
    </w:rPr>
  </w:style>
  <w:style w:type="paragraph" w:customStyle="1" w:styleId="xl138">
    <w:name w:val="xl138"/>
    <w:basedOn w:val="Normal"/>
    <w:rsid w:val="00D76B9F"/>
    <w:pPr>
      <w:shd w:val="clear" w:color="000000" w:fill="C4BD97"/>
      <w:spacing w:before="100" w:beforeAutospacing="1" w:after="100" w:afterAutospacing="1"/>
      <w:jc w:val="left"/>
    </w:pPr>
    <w:rPr>
      <w:rFonts w:eastAsia="Times New Roman" w:cs="Times New Roman"/>
      <w:sz w:val="24"/>
      <w:szCs w:val="24"/>
    </w:rPr>
  </w:style>
  <w:style w:type="paragraph" w:customStyle="1" w:styleId="xl139">
    <w:name w:val="xl139"/>
    <w:basedOn w:val="Normal"/>
    <w:rsid w:val="00D76B9F"/>
    <w:pPr>
      <w:shd w:val="clear" w:color="000000" w:fill="948A54"/>
      <w:spacing w:before="100" w:beforeAutospacing="1" w:after="100" w:afterAutospacing="1"/>
      <w:jc w:val="left"/>
    </w:pPr>
    <w:rPr>
      <w:rFonts w:ascii="Arial" w:eastAsia="Times New Roman" w:hAnsi="Arial" w:cs="Arial"/>
      <w:b/>
      <w:bCs/>
      <w:sz w:val="24"/>
      <w:szCs w:val="24"/>
    </w:rPr>
  </w:style>
  <w:style w:type="paragraph" w:customStyle="1" w:styleId="xl140">
    <w:name w:val="xl140"/>
    <w:basedOn w:val="Normal"/>
    <w:rsid w:val="00D76B9F"/>
    <w:pPr>
      <w:shd w:val="clear" w:color="000000" w:fill="DDD9C4"/>
      <w:spacing w:before="100" w:beforeAutospacing="1" w:after="100" w:afterAutospacing="1"/>
      <w:jc w:val="left"/>
    </w:pPr>
    <w:rPr>
      <w:rFonts w:ascii="Arial" w:eastAsia="Times New Roman" w:hAnsi="Arial" w:cs="Arial"/>
      <w:b/>
      <w:bCs/>
      <w:i/>
      <w:iCs/>
      <w:sz w:val="24"/>
      <w:szCs w:val="24"/>
    </w:rPr>
  </w:style>
  <w:style w:type="paragraph" w:customStyle="1" w:styleId="xl141">
    <w:name w:val="xl141"/>
    <w:basedOn w:val="Normal"/>
    <w:rsid w:val="00D76B9F"/>
    <w:pPr>
      <w:shd w:val="clear" w:color="000000" w:fill="DDD9C4"/>
      <w:spacing w:before="100" w:beforeAutospacing="1" w:after="100" w:afterAutospacing="1"/>
      <w:jc w:val="left"/>
    </w:pPr>
    <w:rPr>
      <w:rFonts w:ascii="Arial" w:eastAsia="Times New Roman" w:hAnsi="Arial" w:cs="Arial"/>
      <w:b/>
      <w:bCs/>
      <w:color w:val="DDD9C4"/>
      <w:sz w:val="24"/>
      <w:szCs w:val="24"/>
    </w:rPr>
  </w:style>
  <w:style w:type="paragraph" w:customStyle="1" w:styleId="xl142">
    <w:name w:val="xl142"/>
    <w:basedOn w:val="Normal"/>
    <w:rsid w:val="00D76B9F"/>
    <w:pPr>
      <w:shd w:val="clear" w:color="000000" w:fill="DDD9C4"/>
      <w:spacing w:before="100" w:beforeAutospacing="1" w:after="100" w:afterAutospacing="1"/>
      <w:jc w:val="center"/>
    </w:pPr>
    <w:rPr>
      <w:rFonts w:ascii="Arial" w:eastAsia="Times New Roman" w:hAnsi="Arial" w:cs="Arial"/>
      <w:b/>
      <w:bCs/>
      <w:color w:val="DDD9C4"/>
      <w:sz w:val="24"/>
      <w:szCs w:val="24"/>
    </w:rPr>
  </w:style>
  <w:style w:type="paragraph" w:customStyle="1" w:styleId="xl143">
    <w:name w:val="xl143"/>
    <w:basedOn w:val="Normal"/>
    <w:rsid w:val="00D76B9F"/>
    <w:pPr>
      <w:shd w:val="clear" w:color="000000" w:fill="C4BD97"/>
      <w:spacing w:before="100" w:beforeAutospacing="1" w:after="100" w:afterAutospacing="1"/>
      <w:jc w:val="center"/>
      <w:textAlignment w:val="center"/>
    </w:pPr>
    <w:rPr>
      <w:rFonts w:ascii="Arial" w:eastAsia="Times New Roman" w:hAnsi="Arial" w:cs="Arial"/>
      <w:b/>
      <w:bCs/>
      <w:sz w:val="24"/>
      <w:szCs w:val="24"/>
    </w:rPr>
  </w:style>
  <w:style w:type="paragraph" w:customStyle="1" w:styleId="xl144">
    <w:name w:val="xl144"/>
    <w:basedOn w:val="Normal"/>
    <w:rsid w:val="00D76B9F"/>
    <w:pPr>
      <w:shd w:val="clear" w:color="000000" w:fill="C4BD97"/>
      <w:spacing w:before="100" w:beforeAutospacing="1" w:after="100" w:afterAutospacing="1"/>
      <w:jc w:val="left"/>
    </w:pPr>
    <w:rPr>
      <w:rFonts w:eastAsia="Times New Roman" w:cs="Times New Roman"/>
      <w:sz w:val="24"/>
      <w:szCs w:val="24"/>
    </w:rPr>
  </w:style>
  <w:style w:type="paragraph" w:customStyle="1" w:styleId="xl145">
    <w:name w:val="xl145"/>
    <w:basedOn w:val="Normal"/>
    <w:rsid w:val="00D76B9F"/>
    <w:pPr>
      <w:shd w:val="clear" w:color="000000" w:fill="E6B8B7"/>
      <w:spacing w:before="100" w:beforeAutospacing="1" w:after="100" w:afterAutospacing="1"/>
      <w:jc w:val="center"/>
      <w:textAlignment w:val="center"/>
    </w:pPr>
    <w:rPr>
      <w:rFonts w:ascii="Arial" w:eastAsia="Times New Roman" w:hAnsi="Arial" w:cs="Arial"/>
      <w:color w:val="0000FF"/>
      <w:sz w:val="24"/>
      <w:szCs w:val="24"/>
      <w:u w:val="single"/>
    </w:rPr>
  </w:style>
  <w:style w:type="paragraph" w:customStyle="1" w:styleId="xl146">
    <w:name w:val="xl146"/>
    <w:basedOn w:val="Normal"/>
    <w:rsid w:val="00D76B9F"/>
    <w:pPr>
      <w:shd w:val="clear" w:color="000000" w:fill="FCD5B4"/>
      <w:spacing w:before="100" w:beforeAutospacing="1" w:after="100" w:afterAutospacing="1"/>
      <w:jc w:val="center"/>
      <w:textAlignment w:val="center"/>
    </w:pPr>
    <w:rPr>
      <w:rFonts w:ascii="Arial" w:eastAsia="Times New Roman" w:hAnsi="Arial" w:cs="Arial"/>
      <w:color w:val="0000FF"/>
      <w:sz w:val="24"/>
      <w:szCs w:val="24"/>
      <w:u w:val="single"/>
    </w:rPr>
  </w:style>
  <w:style w:type="paragraph" w:customStyle="1" w:styleId="C41stOrderBullets">
    <w:name w:val="C4 1st Order Bullets"/>
    <w:basedOn w:val="Normal"/>
    <w:link w:val="C41stOrderBulletsChar"/>
    <w:qFormat/>
    <w:rsid w:val="0003172D"/>
    <w:pPr>
      <w:numPr>
        <w:numId w:val="11"/>
      </w:numPr>
    </w:pPr>
    <w:rPr>
      <w:rFonts w:ascii="Arial" w:eastAsia="MS Mincho" w:hAnsi="Arial" w:cs="Arial"/>
      <w:szCs w:val="20"/>
    </w:rPr>
  </w:style>
  <w:style w:type="paragraph" w:customStyle="1" w:styleId="C42ndorderbullets">
    <w:name w:val="C4 2nd order bullets"/>
    <w:basedOn w:val="C41stOrderBullets"/>
    <w:qFormat/>
    <w:rsid w:val="0003172D"/>
    <w:pPr>
      <w:numPr>
        <w:ilvl w:val="1"/>
      </w:numPr>
      <w:ind w:left="340" w:hanging="340"/>
    </w:pPr>
  </w:style>
  <w:style w:type="table" w:customStyle="1" w:styleId="TableGrid2">
    <w:name w:val="Table Grid2"/>
    <w:basedOn w:val="TableNormal"/>
    <w:next w:val="TableGrid"/>
    <w:uiPriority w:val="59"/>
    <w:rsid w:val="0003172D"/>
    <w:rPr>
      <w:rFonts w:ascii="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03172D"/>
    <w:rPr>
      <w:rFonts w:ascii="Century Gothic" w:hAnsi="Century Gothic"/>
      <w:b/>
      <w:bCs/>
      <w:i w:val="0"/>
      <w:iCs w:val="0"/>
      <w:color w:val="003E7E"/>
      <w:spacing w:val="20"/>
      <w:sz w:val="16"/>
      <w:szCs w:val="16"/>
    </w:rPr>
  </w:style>
  <w:style w:type="paragraph" w:customStyle="1" w:styleId="C4NumberedList">
    <w:name w:val="C4 Numbered List"/>
    <w:basedOn w:val="Normal"/>
    <w:qFormat/>
    <w:rsid w:val="0003172D"/>
    <w:pPr>
      <w:numPr>
        <w:numId w:val="12"/>
      </w:numPr>
      <w:ind w:left="397" w:hanging="397"/>
    </w:pPr>
    <w:rPr>
      <w:rFonts w:ascii="Arial" w:eastAsia="MS Mincho" w:hAnsi="Arial" w:cs="Arial"/>
      <w:szCs w:val="20"/>
    </w:rPr>
  </w:style>
  <w:style w:type="table" w:customStyle="1" w:styleId="TableGrid3">
    <w:name w:val="Table Grid3"/>
    <w:basedOn w:val="TableNormal"/>
    <w:next w:val="TableGrid"/>
    <w:uiPriority w:val="59"/>
    <w:rsid w:val="0003172D"/>
    <w:rPr>
      <w:rFonts w:ascii="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uiPriority w:val="49"/>
    <w:rsid w:val="00280760"/>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Mention11">
    <w:name w:val="Mention11"/>
    <w:basedOn w:val="DefaultParagraphFont"/>
    <w:uiPriority w:val="99"/>
    <w:semiHidden/>
    <w:unhideWhenUsed/>
    <w:rsid w:val="00EC5D7D"/>
    <w:rPr>
      <w:color w:val="2B579A"/>
      <w:shd w:val="clear" w:color="auto" w:fill="E6E6E6"/>
    </w:rPr>
  </w:style>
  <w:style w:type="character" w:customStyle="1" w:styleId="UnresolvedMention11">
    <w:name w:val="Unresolved Mention11"/>
    <w:basedOn w:val="DefaultParagraphFont"/>
    <w:uiPriority w:val="99"/>
    <w:semiHidden/>
    <w:unhideWhenUsed/>
    <w:rsid w:val="00EC5D7D"/>
    <w:rPr>
      <w:color w:val="808080"/>
      <w:shd w:val="clear" w:color="auto" w:fill="E6E6E6"/>
    </w:rPr>
  </w:style>
  <w:style w:type="paragraph" w:customStyle="1" w:styleId="Italics">
    <w:name w:val="Italics"/>
    <w:basedOn w:val="Normal"/>
    <w:rsid w:val="00EC5D7D"/>
    <w:pPr>
      <w:jc w:val="left"/>
    </w:pPr>
    <w:rPr>
      <w:rFonts w:ascii="Tahoma" w:eastAsia="Times New Roman" w:hAnsi="Tahoma" w:cs="Times New Roman"/>
      <w:i/>
      <w:sz w:val="16"/>
      <w:szCs w:val="24"/>
    </w:rPr>
  </w:style>
  <w:style w:type="paragraph" w:customStyle="1" w:styleId="Text">
    <w:name w:val="Text"/>
    <w:basedOn w:val="Normal"/>
    <w:rsid w:val="00EC5D7D"/>
    <w:pPr>
      <w:spacing w:before="100" w:after="100" w:line="288" w:lineRule="auto"/>
      <w:jc w:val="left"/>
    </w:pPr>
    <w:rPr>
      <w:rFonts w:ascii="Tahoma" w:eastAsia="Times New Roman" w:hAnsi="Tahoma" w:cs="Times New Roman"/>
      <w:sz w:val="16"/>
      <w:szCs w:val="24"/>
    </w:rPr>
  </w:style>
  <w:style w:type="paragraph" w:customStyle="1" w:styleId="RequirementsList">
    <w:name w:val="Requirements List"/>
    <w:basedOn w:val="Text"/>
    <w:rsid w:val="00EC5D7D"/>
    <w:pPr>
      <w:numPr>
        <w:numId w:val="13"/>
      </w:numPr>
    </w:pPr>
  </w:style>
  <w:style w:type="character" w:customStyle="1" w:styleId="TitleChar1">
    <w:name w:val="Title Char1"/>
    <w:basedOn w:val="DefaultParagraphFont"/>
    <w:uiPriority w:val="10"/>
    <w:rsid w:val="00EC5D7D"/>
    <w:rPr>
      <w:rFonts w:asciiTheme="majorHAnsi" w:eastAsiaTheme="majorEastAsia" w:hAnsiTheme="majorHAnsi" w:cstheme="majorBidi"/>
      <w:spacing w:val="-10"/>
      <w:kern w:val="28"/>
      <w:sz w:val="56"/>
      <w:szCs w:val="56"/>
      <w:lang w:eastAsia="en-US"/>
    </w:rPr>
  </w:style>
  <w:style w:type="paragraph" w:customStyle="1" w:styleId="Indentromannumber">
    <w:name w:val="Indent roman number"/>
    <w:basedOn w:val="Normal"/>
    <w:autoRedefine/>
    <w:qFormat/>
    <w:rsid w:val="00EC5D7D"/>
    <w:pPr>
      <w:numPr>
        <w:numId w:val="14"/>
      </w:numPr>
      <w:tabs>
        <w:tab w:val="left" w:pos="851"/>
        <w:tab w:val="left" w:pos="1380"/>
      </w:tabs>
      <w:jc w:val="left"/>
    </w:pPr>
    <w:rPr>
      <w:rFonts w:ascii="Garamond" w:eastAsia="Times New Roman" w:hAnsi="Garamond" w:cs="Times New Roman"/>
      <w:sz w:val="24"/>
      <w:szCs w:val="24"/>
    </w:rPr>
  </w:style>
  <w:style w:type="paragraph" w:styleId="Subtitle">
    <w:name w:val="Subtitle"/>
    <w:aliases w:val="Document Subtitle"/>
    <w:basedOn w:val="Normal"/>
    <w:next w:val="Normal"/>
    <w:link w:val="SubtitleChar"/>
    <w:uiPriority w:val="11"/>
    <w:rsid w:val="00EC5D7D"/>
    <w:pPr>
      <w:numPr>
        <w:ilvl w:val="1"/>
      </w:numPr>
      <w:spacing w:before="100" w:beforeAutospacing="1" w:after="360" w:line="260" w:lineRule="exact"/>
      <w:jc w:val="left"/>
    </w:pPr>
    <w:rPr>
      <w:rFonts w:ascii="Century Gothic" w:eastAsiaTheme="majorEastAsia" w:hAnsi="Century Gothic" w:cstheme="majorBidi"/>
      <w:iCs/>
      <w:spacing w:val="15"/>
      <w:sz w:val="28"/>
      <w:szCs w:val="24"/>
    </w:rPr>
  </w:style>
  <w:style w:type="character" w:customStyle="1" w:styleId="SubtitleChar">
    <w:name w:val="Subtitle Char"/>
    <w:aliases w:val="Document Subtitle Char"/>
    <w:basedOn w:val="DefaultParagraphFont"/>
    <w:link w:val="Subtitle"/>
    <w:uiPriority w:val="11"/>
    <w:rsid w:val="00EC5D7D"/>
    <w:rPr>
      <w:rFonts w:ascii="Century Gothic" w:eastAsiaTheme="majorEastAsia" w:hAnsi="Century Gothic" w:cstheme="majorBidi"/>
      <w:iCs/>
      <w:spacing w:val="15"/>
      <w:sz w:val="28"/>
      <w:szCs w:val="24"/>
      <w:lang w:eastAsia="en-US"/>
    </w:rPr>
  </w:style>
  <w:style w:type="character" w:customStyle="1" w:styleId="C41stOrderBulletsChar">
    <w:name w:val="C4 1st Order Bullets Char"/>
    <w:basedOn w:val="DefaultParagraphFont"/>
    <w:link w:val="C41stOrderBullets"/>
    <w:rsid w:val="00EC5D7D"/>
    <w:rPr>
      <w:rFonts w:cs="Arial"/>
      <w:sz w:val="21"/>
      <w:szCs w:val="20"/>
      <w:lang w:val="en-US" w:eastAsia="en-US"/>
    </w:rPr>
  </w:style>
  <w:style w:type="paragraph" w:customStyle="1" w:styleId="C4Heading1">
    <w:name w:val="C4 Heading 1"/>
    <w:basedOn w:val="Heading1"/>
    <w:next w:val="Normal"/>
    <w:link w:val="C4Heading1Char"/>
    <w:rsid w:val="00EC5D7D"/>
    <w:pPr>
      <w:numPr>
        <w:numId w:val="15"/>
      </w:numPr>
      <w:spacing w:before="120" w:line="276" w:lineRule="auto"/>
    </w:pPr>
    <w:rPr>
      <w:b/>
      <w:sz w:val="24"/>
      <w:szCs w:val="24"/>
    </w:rPr>
  </w:style>
  <w:style w:type="character" w:customStyle="1" w:styleId="C4Heading1Char">
    <w:name w:val="C4 Heading 1 Char"/>
    <w:basedOn w:val="Heading1Char"/>
    <w:link w:val="C4Heading1"/>
    <w:rsid w:val="00EC5D7D"/>
    <w:rPr>
      <w:rFonts w:ascii="Times New Roman" w:eastAsiaTheme="majorEastAsia" w:hAnsi="Times New Roman" w:cstheme="majorBidi"/>
      <w:b/>
      <w:sz w:val="24"/>
      <w:szCs w:val="24"/>
      <w:lang w:val="en-US" w:eastAsia="en-US"/>
    </w:rPr>
  </w:style>
  <w:style w:type="paragraph" w:customStyle="1" w:styleId="C4Heading2">
    <w:name w:val="C4 Heading 2"/>
    <w:basedOn w:val="Heading2"/>
    <w:next w:val="Normal"/>
    <w:rsid w:val="00EC5D7D"/>
    <w:pPr>
      <w:numPr>
        <w:numId w:val="15"/>
      </w:numPr>
      <w:spacing w:before="120" w:line="276" w:lineRule="auto"/>
    </w:pPr>
    <w:rPr>
      <w:rFonts w:ascii="Arial" w:hAnsi="Arial"/>
      <w:i w:val="0"/>
      <w:sz w:val="24"/>
      <w:szCs w:val="24"/>
    </w:rPr>
  </w:style>
  <w:style w:type="paragraph" w:customStyle="1" w:styleId="C4Heading3">
    <w:name w:val="C4 Heading 3"/>
    <w:basedOn w:val="Heading3"/>
    <w:next w:val="Normal"/>
    <w:rsid w:val="00EC5D7D"/>
    <w:pPr>
      <w:numPr>
        <w:numId w:val="15"/>
      </w:numPr>
      <w:spacing w:before="120" w:line="276" w:lineRule="auto"/>
    </w:pPr>
    <w:rPr>
      <w:rFonts w:ascii="Arial" w:hAnsi="Arial"/>
      <w:u w:val="single"/>
    </w:rPr>
  </w:style>
  <w:style w:type="numbering" w:customStyle="1" w:styleId="C4Headings">
    <w:name w:val="C4 Headings"/>
    <w:basedOn w:val="NoList"/>
    <w:uiPriority w:val="99"/>
    <w:rsid w:val="00EC5D7D"/>
    <w:pPr>
      <w:numPr>
        <w:numId w:val="15"/>
      </w:numPr>
    </w:pPr>
  </w:style>
  <w:style w:type="paragraph" w:customStyle="1" w:styleId="C4Paragraph">
    <w:name w:val="C4 Paragraph"/>
    <w:basedOn w:val="Normal"/>
    <w:link w:val="C4ParagraphChar"/>
    <w:rsid w:val="00EC5D7D"/>
    <w:rPr>
      <w:rFonts w:ascii="Arial" w:eastAsiaTheme="minorEastAsia" w:hAnsi="Arial" w:cs="Arial"/>
      <w:sz w:val="22"/>
      <w:szCs w:val="20"/>
    </w:rPr>
  </w:style>
  <w:style w:type="character" w:customStyle="1" w:styleId="C4ParagraphChar">
    <w:name w:val="C4 Paragraph Char"/>
    <w:basedOn w:val="DefaultParagraphFont"/>
    <w:link w:val="C4Paragraph"/>
    <w:rsid w:val="00EC5D7D"/>
    <w:rPr>
      <w:rFonts w:eastAsiaTheme="minorEastAsia" w:cs="Arial"/>
      <w:szCs w:val="20"/>
      <w:lang w:eastAsia="en-US"/>
    </w:rPr>
  </w:style>
  <w:style w:type="character" w:styleId="Strong">
    <w:name w:val="Strong"/>
    <w:basedOn w:val="DefaultParagraphFont"/>
    <w:uiPriority w:val="22"/>
    <w:qFormat/>
    <w:rsid w:val="00EC5D7D"/>
    <w:rPr>
      <w:b/>
      <w:bCs/>
    </w:rPr>
  </w:style>
  <w:style w:type="paragraph" w:customStyle="1" w:styleId="C4DocSub-title">
    <w:name w:val="C4 Doc Sub-title"/>
    <w:basedOn w:val="Normal"/>
    <w:rsid w:val="00EC5D7D"/>
    <w:pPr>
      <w:spacing w:before="120" w:line="276" w:lineRule="auto"/>
      <w:contextualSpacing/>
      <w:jc w:val="left"/>
    </w:pPr>
    <w:rPr>
      <w:rFonts w:ascii="Arial" w:eastAsiaTheme="majorEastAsia" w:hAnsi="Arial" w:cs="Arial"/>
      <w:color w:val="000000" w:themeColor="text1"/>
      <w:spacing w:val="5"/>
      <w:kern w:val="28"/>
      <w:sz w:val="32"/>
      <w:szCs w:val="32"/>
    </w:rPr>
  </w:style>
  <w:style w:type="paragraph" w:customStyle="1" w:styleId="C4DocTitle">
    <w:name w:val="C4 Doc Title"/>
    <w:basedOn w:val="Title"/>
    <w:next w:val="C4DocSub-title"/>
    <w:rsid w:val="00EC5D7D"/>
    <w:pPr>
      <w:keepNext w:val="0"/>
      <w:keepLines w:val="0"/>
      <w:numPr>
        <w:ilvl w:val="0"/>
        <w:numId w:val="0"/>
      </w:numPr>
      <w:spacing w:before="120" w:line="276" w:lineRule="auto"/>
      <w:contextualSpacing/>
      <w:jc w:val="left"/>
      <w:outlineLvl w:val="9"/>
    </w:pPr>
    <w:rPr>
      <w:rFonts w:ascii="Arial" w:hAnsi="Arial"/>
      <w:bCs w:val="0"/>
      <w:color w:val="000000" w:themeColor="text1"/>
      <w:spacing w:val="5"/>
      <w:kern w:val="28"/>
      <w:sz w:val="36"/>
      <w:szCs w:val="52"/>
    </w:rPr>
  </w:style>
  <w:style w:type="paragraph" w:customStyle="1" w:styleId="C4FrontSub-title">
    <w:name w:val="C4 Front Sub-title"/>
    <w:basedOn w:val="Normal"/>
    <w:rsid w:val="00EC5D7D"/>
    <w:pPr>
      <w:spacing w:before="120"/>
      <w:jc w:val="center"/>
    </w:pPr>
    <w:rPr>
      <w:rFonts w:ascii="Arial" w:eastAsia="Times New Roman" w:hAnsi="Arial" w:cs="Times New Roman"/>
      <w:sz w:val="36"/>
      <w:szCs w:val="24"/>
    </w:rPr>
  </w:style>
  <w:style w:type="paragraph" w:customStyle="1" w:styleId="footnotedescription">
    <w:name w:val="footnote description"/>
    <w:next w:val="Normal"/>
    <w:link w:val="footnotedescriptionChar"/>
    <w:hidden/>
    <w:rsid w:val="00EC5D7D"/>
    <w:pPr>
      <w:spacing w:line="259" w:lineRule="auto"/>
      <w:ind w:left="19"/>
    </w:pPr>
    <w:rPr>
      <w:rFonts w:ascii="Times New Roman" w:hAnsi="Times New Roman" w:cs="Times New Roman"/>
      <w:color w:val="000000"/>
      <w:szCs w:val="22"/>
    </w:rPr>
  </w:style>
  <w:style w:type="character" w:customStyle="1" w:styleId="footnotedescriptionChar">
    <w:name w:val="footnote description Char"/>
    <w:link w:val="footnotedescription"/>
    <w:rsid w:val="00EC5D7D"/>
    <w:rPr>
      <w:rFonts w:ascii="Times New Roman" w:hAnsi="Times New Roman" w:cs="Times New Roman"/>
      <w:color w:val="000000"/>
      <w:szCs w:val="22"/>
    </w:rPr>
  </w:style>
  <w:style w:type="character" w:customStyle="1" w:styleId="footnotemark">
    <w:name w:val="footnote mark"/>
    <w:hidden/>
    <w:rsid w:val="00EC5D7D"/>
    <w:rPr>
      <w:rFonts w:ascii="Times New Roman" w:eastAsia="Times New Roman" w:hAnsi="Times New Roman" w:cs="Times New Roman"/>
      <w:color w:val="000000"/>
      <w:sz w:val="22"/>
      <w:vertAlign w:val="superscript"/>
    </w:rPr>
  </w:style>
  <w:style w:type="table" w:customStyle="1" w:styleId="TableGrid0">
    <w:name w:val="TableGrid"/>
    <w:rsid w:val="00EC5D7D"/>
    <w:rPr>
      <w:rFonts w:asciiTheme="minorHAnsi" w:eastAsiaTheme="minorEastAsia" w:hAnsiTheme="minorHAnsi" w:cstheme="minorBidi"/>
      <w:szCs w:val="22"/>
    </w:rPr>
    <w:tblPr>
      <w:tblCellMar>
        <w:top w:w="0" w:type="dxa"/>
        <w:left w:w="0" w:type="dxa"/>
        <w:bottom w:w="0" w:type="dxa"/>
        <w:right w:w="0" w:type="dxa"/>
      </w:tblCellMar>
    </w:tblPr>
  </w:style>
  <w:style w:type="table" w:customStyle="1" w:styleId="GridTable2-Accent11">
    <w:name w:val="Grid Table 2 - Accent 11"/>
    <w:basedOn w:val="TableNormal"/>
    <w:uiPriority w:val="47"/>
    <w:rsid w:val="00EC5D7D"/>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Revision">
    <w:name w:val="Revision"/>
    <w:hidden/>
    <w:uiPriority w:val="99"/>
    <w:semiHidden/>
    <w:rsid w:val="00EC5D7D"/>
    <w:rPr>
      <w:rFonts w:ascii="Times New Roman" w:hAnsi="Times New Roman" w:cs="Times New Roman"/>
      <w:sz w:val="24"/>
      <w:szCs w:val="24"/>
      <w:lang w:eastAsia="en-US"/>
    </w:rPr>
  </w:style>
  <w:style w:type="paragraph" w:customStyle="1" w:styleId="xl68">
    <w:name w:val="xl68"/>
    <w:basedOn w:val="Normal"/>
    <w:rsid w:val="00590C1A"/>
    <w:pP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69">
    <w:name w:val="xl69"/>
    <w:basedOn w:val="Normal"/>
    <w:rsid w:val="00590C1A"/>
    <w:pPr>
      <w:spacing w:before="100" w:beforeAutospacing="1" w:after="100" w:afterAutospacing="1"/>
      <w:jc w:val="left"/>
      <w:textAlignment w:val="center"/>
    </w:pPr>
    <w:rPr>
      <w:rFonts w:ascii="Arial Narrow" w:eastAsia="Times New Roman" w:hAnsi="Arial Narrow" w:cs="Times New Roman"/>
      <w:color w:val="FF00FF"/>
      <w:sz w:val="24"/>
      <w:szCs w:val="24"/>
      <w:lang w:eastAsia="ja-JP"/>
    </w:rPr>
  </w:style>
  <w:style w:type="paragraph" w:customStyle="1" w:styleId="xl70">
    <w:name w:val="xl70"/>
    <w:basedOn w:val="Normal"/>
    <w:rsid w:val="00590C1A"/>
    <w:pP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71">
    <w:name w:val="xl71"/>
    <w:basedOn w:val="Normal"/>
    <w:rsid w:val="00590C1A"/>
    <w:pPr>
      <w:spacing w:before="100" w:beforeAutospacing="1" w:after="100" w:afterAutospacing="1"/>
      <w:jc w:val="center"/>
      <w:textAlignment w:val="center"/>
    </w:pPr>
    <w:rPr>
      <w:rFonts w:ascii="Arial Narrow" w:eastAsia="Times New Roman" w:hAnsi="Arial Narrow" w:cs="Times New Roman"/>
      <w:sz w:val="24"/>
      <w:szCs w:val="24"/>
      <w:lang w:eastAsia="ja-JP"/>
    </w:rPr>
  </w:style>
  <w:style w:type="paragraph" w:customStyle="1" w:styleId="xl72">
    <w:name w:val="xl72"/>
    <w:basedOn w:val="Normal"/>
    <w:rsid w:val="00590C1A"/>
    <w:pPr>
      <w:pBdr>
        <w:top w:val="single" w:sz="8" w:space="0" w:color="auto"/>
        <w:bottom w:val="single" w:sz="8" w:space="0" w:color="auto"/>
      </w:pBdr>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73">
    <w:name w:val="xl73"/>
    <w:basedOn w:val="Normal"/>
    <w:rsid w:val="00590C1A"/>
    <w:pPr>
      <w:pBdr>
        <w:top w:val="single" w:sz="8" w:space="0" w:color="auto"/>
        <w:bottom w:val="single" w:sz="8" w:space="0" w:color="auto"/>
      </w:pBdr>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74">
    <w:name w:val="xl74"/>
    <w:basedOn w:val="Normal"/>
    <w:rsid w:val="00590C1A"/>
    <w:pPr>
      <w:pBdr>
        <w:top w:val="single" w:sz="8" w:space="0" w:color="auto"/>
        <w:bottom w:val="single" w:sz="8" w:space="0" w:color="auto"/>
      </w:pBdr>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147">
    <w:name w:val="xl147"/>
    <w:basedOn w:val="Normal"/>
    <w:rsid w:val="00590C1A"/>
    <w:pP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48">
    <w:name w:val="xl148"/>
    <w:basedOn w:val="Normal"/>
    <w:rsid w:val="00590C1A"/>
    <w:pPr>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49">
    <w:name w:val="xl149"/>
    <w:basedOn w:val="Normal"/>
    <w:rsid w:val="00590C1A"/>
    <w:pP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50">
    <w:name w:val="xl150"/>
    <w:basedOn w:val="Normal"/>
    <w:rsid w:val="00590C1A"/>
    <w:pPr>
      <w:spacing w:before="100" w:beforeAutospacing="1" w:after="100" w:afterAutospacing="1"/>
      <w:jc w:val="left"/>
      <w:textAlignment w:val="center"/>
    </w:pPr>
    <w:rPr>
      <w:rFonts w:ascii="Arial Narrow" w:eastAsia="Times New Roman" w:hAnsi="Arial Narrow" w:cs="Times New Roman"/>
      <w:color w:val="FF00FF"/>
      <w:sz w:val="24"/>
      <w:szCs w:val="24"/>
      <w:lang w:eastAsia="ja-JP"/>
    </w:rPr>
  </w:style>
  <w:style w:type="paragraph" w:customStyle="1" w:styleId="xl151">
    <w:name w:val="xl151"/>
    <w:basedOn w:val="Normal"/>
    <w:rsid w:val="00590C1A"/>
    <w:pPr>
      <w:pBdr>
        <w:left w:val="single" w:sz="8" w:space="0" w:color="auto"/>
        <w:bottom w:val="single" w:sz="8" w:space="0" w:color="auto"/>
        <w:right w:val="single" w:sz="8" w:space="0" w:color="auto"/>
      </w:pBdr>
      <w:shd w:val="clear" w:color="000000" w:fill="CCFFCC"/>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52">
    <w:name w:val="xl152"/>
    <w:basedOn w:val="Normal"/>
    <w:rsid w:val="00590C1A"/>
    <w:pPr>
      <w:pBdr>
        <w:top w:val="single" w:sz="8" w:space="0" w:color="auto"/>
        <w:left w:val="single" w:sz="8" w:space="0" w:color="auto"/>
        <w:bottom w:val="single" w:sz="8" w:space="0" w:color="auto"/>
        <w:right w:val="single" w:sz="8" w:space="0" w:color="auto"/>
      </w:pBdr>
      <w:shd w:val="clear" w:color="000000" w:fill="CCFF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153">
    <w:name w:val="xl153"/>
    <w:basedOn w:val="Normal"/>
    <w:rsid w:val="00590C1A"/>
    <w:pPr>
      <w:pBdr>
        <w:left w:val="single" w:sz="8" w:space="0" w:color="auto"/>
        <w:bottom w:val="single" w:sz="8" w:space="0" w:color="auto"/>
        <w:right w:val="single" w:sz="8" w:space="0" w:color="auto"/>
      </w:pBdr>
      <w:shd w:val="clear" w:color="000000" w:fill="F8CBAD"/>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54">
    <w:name w:val="xl154"/>
    <w:basedOn w:val="Normal"/>
    <w:rsid w:val="00590C1A"/>
    <w:pPr>
      <w:pBdr>
        <w:bottom w:val="single" w:sz="8" w:space="0" w:color="auto"/>
        <w:right w:val="single" w:sz="8" w:space="0" w:color="auto"/>
      </w:pBdr>
      <w:shd w:val="clear" w:color="000000" w:fill="F8CBAD"/>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155">
    <w:name w:val="xl155"/>
    <w:basedOn w:val="Normal"/>
    <w:rsid w:val="00590C1A"/>
    <w:pPr>
      <w:pBdr>
        <w:right w:val="single" w:sz="8" w:space="0" w:color="auto"/>
      </w:pBdr>
      <w:shd w:val="clear" w:color="000000" w:fill="FF99CC"/>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56">
    <w:name w:val="xl156"/>
    <w:basedOn w:val="Normal"/>
    <w:rsid w:val="00590C1A"/>
    <w:pPr>
      <w:pBdr>
        <w:right w:val="single" w:sz="8" w:space="0" w:color="auto"/>
      </w:pBdr>
      <w:shd w:val="clear" w:color="000000" w:fill="FF99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157">
    <w:name w:val="xl157"/>
    <w:basedOn w:val="Normal"/>
    <w:rsid w:val="00590C1A"/>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58">
    <w:name w:val="xl158"/>
    <w:basedOn w:val="Normal"/>
    <w:rsid w:val="00590C1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159">
    <w:name w:val="xl159"/>
    <w:basedOn w:val="Normal"/>
    <w:rsid w:val="00590C1A"/>
    <w:pPr>
      <w:pBdr>
        <w:left w:val="single" w:sz="8" w:space="0" w:color="auto"/>
        <w:bottom w:val="single" w:sz="8" w:space="0" w:color="auto"/>
        <w:right w:val="single" w:sz="8" w:space="0" w:color="auto"/>
      </w:pBdr>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60">
    <w:name w:val="xl160"/>
    <w:basedOn w:val="Normal"/>
    <w:rsid w:val="00590C1A"/>
    <w:pPr>
      <w:pBdr>
        <w:bottom w:val="single" w:sz="8" w:space="0" w:color="auto"/>
        <w:right w:val="single" w:sz="8" w:space="0" w:color="auto"/>
      </w:pBdr>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161">
    <w:name w:val="xl161"/>
    <w:basedOn w:val="Normal"/>
    <w:rsid w:val="00590C1A"/>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62">
    <w:name w:val="xl162"/>
    <w:basedOn w:val="Normal"/>
    <w:rsid w:val="00590C1A"/>
    <w:pPr>
      <w:pBdr>
        <w:left w:val="single" w:sz="8" w:space="0" w:color="auto"/>
        <w:bottom w:val="single" w:sz="8" w:space="0" w:color="auto"/>
        <w:right w:val="single" w:sz="8" w:space="0" w:color="auto"/>
      </w:pBdr>
      <w:shd w:val="clear" w:color="000000" w:fill="DDEBF7"/>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63">
    <w:name w:val="xl163"/>
    <w:basedOn w:val="Normal"/>
    <w:rsid w:val="00590C1A"/>
    <w:pPr>
      <w:pBdr>
        <w:top w:val="single" w:sz="8" w:space="0" w:color="auto"/>
        <w:left w:val="single" w:sz="8" w:space="0" w:color="auto"/>
        <w:bottom w:val="single" w:sz="8" w:space="0" w:color="auto"/>
        <w:right w:val="single" w:sz="8" w:space="0" w:color="auto"/>
      </w:pBdr>
      <w:shd w:val="clear" w:color="000000" w:fill="DDEBF7"/>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164">
    <w:name w:val="xl164"/>
    <w:basedOn w:val="Normal"/>
    <w:rsid w:val="00590C1A"/>
    <w:pPr>
      <w:spacing w:before="100" w:beforeAutospacing="1" w:after="100" w:afterAutospacing="1"/>
      <w:jc w:val="right"/>
      <w:textAlignment w:val="center"/>
    </w:pPr>
    <w:rPr>
      <w:rFonts w:ascii="Arial Narrow" w:eastAsia="Times New Roman" w:hAnsi="Arial Narrow" w:cs="Times New Roman"/>
      <w:sz w:val="24"/>
      <w:szCs w:val="24"/>
      <w:lang w:eastAsia="ja-JP"/>
    </w:rPr>
  </w:style>
  <w:style w:type="paragraph" w:customStyle="1" w:styleId="xl165">
    <w:name w:val="xl165"/>
    <w:basedOn w:val="Normal"/>
    <w:rsid w:val="00590C1A"/>
    <w:pPr>
      <w:pBdr>
        <w:left w:val="single" w:sz="4" w:space="0" w:color="auto"/>
        <w:right w:val="single" w:sz="4" w:space="0" w:color="auto"/>
      </w:pBdr>
      <w:spacing w:before="100" w:beforeAutospacing="1" w:after="100" w:afterAutospacing="1"/>
      <w:jc w:val="right"/>
      <w:textAlignment w:val="center"/>
    </w:pPr>
    <w:rPr>
      <w:rFonts w:ascii="Arial Narrow" w:eastAsia="Times New Roman" w:hAnsi="Arial Narrow" w:cs="Times New Roman"/>
      <w:sz w:val="24"/>
      <w:szCs w:val="24"/>
      <w:lang w:eastAsia="ja-JP"/>
    </w:rPr>
  </w:style>
  <w:style w:type="paragraph" w:customStyle="1" w:styleId="xl166">
    <w:name w:val="xl166"/>
    <w:basedOn w:val="Normal"/>
    <w:rsid w:val="00590C1A"/>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Narrow" w:eastAsia="Times New Roman" w:hAnsi="Arial Narrow" w:cs="Times New Roman"/>
      <w:sz w:val="24"/>
      <w:szCs w:val="24"/>
      <w:lang w:eastAsia="ja-JP"/>
    </w:rPr>
  </w:style>
  <w:style w:type="paragraph" w:customStyle="1" w:styleId="xl167">
    <w:name w:val="xl167"/>
    <w:basedOn w:val="Normal"/>
    <w:rsid w:val="00590C1A"/>
    <w:pPr>
      <w:pBdr>
        <w:left w:val="single" w:sz="8" w:space="0" w:color="auto"/>
        <w:bottom w:val="single" w:sz="4" w:space="0" w:color="auto"/>
        <w:right w:val="single" w:sz="4"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68">
    <w:name w:val="xl168"/>
    <w:basedOn w:val="Normal"/>
    <w:rsid w:val="00590C1A"/>
    <w:pPr>
      <w:pBdr>
        <w:left w:val="single" w:sz="8" w:space="0" w:color="auto"/>
        <w:right w:val="single" w:sz="4"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69">
    <w:name w:val="xl169"/>
    <w:basedOn w:val="Normal"/>
    <w:rsid w:val="00590C1A"/>
    <w:pPr>
      <w:pBdr>
        <w:top w:val="single" w:sz="4" w:space="0" w:color="auto"/>
        <w:left w:val="single" w:sz="8" w:space="0" w:color="auto"/>
        <w:right w:val="single" w:sz="4"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70">
    <w:name w:val="xl170"/>
    <w:basedOn w:val="Normal"/>
    <w:rsid w:val="00590C1A"/>
    <w:pPr>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71">
    <w:name w:val="xl171"/>
    <w:basedOn w:val="Normal"/>
    <w:rsid w:val="00590C1A"/>
    <w:pPr>
      <w:pBdr>
        <w:left w:val="single" w:sz="4" w:space="0" w:color="auto"/>
        <w:right w:val="single" w:sz="4"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72">
    <w:name w:val="xl172"/>
    <w:basedOn w:val="Normal"/>
    <w:rsid w:val="00590C1A"/>
    <w:pPr>
      <w:pBdr>
        <w:top w:val="single" w:sz="4" w:space="0" w:color="auto"/>
        <w:left w:val="single" w:sz="4" w:space="0" w:color="auto"/>
        <w:right w:val="single" w:sz="4"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73">
    <w:name w:val="xl173"/>
    <w:basedOn w:val="Normal"/>
    <w:rsid w:val="00590C1A"/>
    <w:pPr>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rFonts w:ascii="Arial Narrow" w:eastAsia="Times New Roman" w:hAnsi="Arial Narrow" w:cs="Times New Roman"/>
      <w:sz w:val="24"/>
      <w:szCs w:val="24"/>
      <w:lang w:eastAsia="ja-JP"/>
    </w:rPr>
  </w:style>
  <w:style w:type="paragraph" w:customStyle="1" w:styleId="xl174">
    <w:name w:val="xl174"/>
    <w:basedOn w:val="Normal"/>
    <w:rsid w:val="00590C1A"/>
    <w:pPr>
      <w:pBdr>
        <w:left w:val="single" w:sz="4" w:space="0" w:color="auto"/>
        <w:right w:val="single" w:sz="4" w:space="0" w:color="auto"/>
      </w:pBdr>
      <w:spacing w:before="100" w:beforeAutospacing="1" w:after="100" w:afterAutospacing="1"/>
      <w:jc w:val="right"/>
      <w:textAlignment w:val="center"/>
    </w:pPr>
    <w:rPr>
      <w:rFonts w:ascii="Arial Narrow" w:eastAsia="Times New Roman" w:hAnsi="Arial Narrow" w:cs="Times New Roman"/>
      <w:sz w:val="24"/>
      <w:szCs w:val="24"/>
      <w:lang w:eastAsia="ja-JP"/>
    </w:rPr>
  </w:style>
  <w:style w:type="paragraph" w:customStyle="1" w:styleId="xl175">
    <w:name w:val="xl175"/>
    <w:basedOn w:val="Normal"/>
    <w:rsid w:val="00590C1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Narrow" w:eastAsia="Times New Roman" w:hAnsi="Arial Narrow" w:cs="Times New Roman"/>
      <w:sz w:val="24"/>
      <w:szCs w:val="24"/>
      <w:lang w:eastAsia="ja-JP"/>
    </w:rPr>
  </w:style>
  <w:style w:type="paragraph" w:customStyle="1" w:styleId="xl176">
    <w:name w:val="xl176"/>
    <w:basedOn w:val="Normal"/>
    <w:rsid w:val="00590C1A"/>
    <w:pPr>
      <w:pBdr>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eastAsia="Times New Roman" w:hAnsi="Arial Narrow" w:cs="Times New Roman"/>
      <w:sz w:val="24"/>
      <w:szCs w:val="24"/>
      <w:lang w:eastAsia="ja-JP"/>
    </w:rPr>
  </w:style>
  <w:style w:type="paragraph" w:customStyle="1" w:styleId="xl177">
    <w:name w:val="xl177"/>
    <w:basedOn w:val="Normal"/>
    <w:rsid w:val="00590C1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Arial Narrow" w:eastAsia="Times New Roman" w:hAnsi="Arial Narrow" w:cs="Times New Roman"/>
      <w:sz w:val="24"/>
      <w:szCs w:val="24"/>
      <w:lang w:eastAsia="ja-JP"/>
    </w:rPr>
  </w:style>
  <w:style w:type="paragraph" w:customStyle="1" w:styleId="xl178">
    <w:name w:val="xl178"/>
    <w:basedOn w:val="Normal"/>
    <w:rsid w:val="00590C1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79">
    <w:name w:val="xl179"/>
    <w:basedOn w:val="Normal"/>
    <w:rsid w:val="00590C1A"/>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80">
    <w:name w:val="xl180"/>
    <w:basedOn w:val="Normal"/>
    <w:rsid w:val="00590C1A"/>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81">
    <w:name w:val="xl181"/>
    <w:basedOn w:val="Normal"/>
    <w:rsid w:val="00590C1A"/>
    <w:pPr>
      <w:pBdr>
        <w:top w:val="single" w:sz="8" w:space="0" w:color="auto"/>
        <w:left w:val="single" w:sz="8" w:space="0" w:color="auto"/>
        <w:bottom w:val="single" w:sz="8" w:space="0" w:color="auto"/>
      </w:pBdr>
      <w:shd w:val="clear" w:color="000000" w:fill="C0C0C0"/>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82">
    <w:name w:val="xl182"/>
    <w:basedOn w:val="Normal"/>
    <w:rsid w:val="00590C1A"/>
    <w:pPr>
      <w:pBdr>
        <w:top w:val="single" w:sz="8" w:space="0" w:color="auto"/>
        <w:bottom w:val="single" w:sz="8" w:space="0" w:color="auto"/>
      </w:pBdr>
      <w:shd w:val="clear" w:color="000000" w:fill="C0C0C0"/>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83">
    <w:name w:val="xl183"/>
    <w:basedOn w:val="Normal"/>
    <w:rsid w:val="00590C1A"/>
    <w:pPr>
      <w:pBdr>
        <w:top w:val="single" w:sz="8" w:space="0" w:color="auto"/>
        <w:bottom w:val="single" w:sz="8" w:space="0" w:color="auto"/>
        <w:right w:val="single" w:sz="8" w:space="0" w:color="auto"/>
      </w:pBdr>
      <w:shd w:val="clear" w:color="000000" w:fill="C0C0C0"/>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84">
    <w:name w:val="xl184"/>
    <w:basedOn w:val="Normal"/>
    <w:rsid w:val="00590C1A"/>
    <w:pPr>
      <w:pBdr>
        <w:top w:val="single" w:sz="8" w:space="0" w:color="auto"/>
        <w:left w:val="single" w:sz="8" w:space="0" w:color="auto"/>
        <w:bottom w:val="single" w:sz="8" w:space="0" w:color="auto"/>
      </w:pBdr>
      <w:shd w:val="clear" w:color="000000" w:fill="BFBFBF"/>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85">
    <w:name w:val="xl185"/>
    <w:basedOn w:val="Normal"/>
    <w:rsid w:val="00590C1A"/>
    <w:pPr>
      <w:pBdr>
        <w:top w:val="single" w:sz="8" w:space="0" w:color="auto"/>
        <w:bottom w:val="single" w:sz="8"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86">
    <w:name w:val="xl186"/>
    <w:basedOn w:val="Normal"/>
    <w:rsid w:val="00590C1A"/>
    <w:pPr>
      <w:pBdr>
        <w:top w:val="single" w:sz="8" w:space="0" w:color="auto"/>
        <w:bottom w:val="single" w:sz="8" w:space="0" w:color="auto"/>
        <w:right w:val="single" w:sz="8"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87">
    <w:name w:val="xl187"/>
    <w:basedOn w:val="Normal"/>
    <w:rsid w:val="00590C1A"/>
    <w:pPr>
      <w:pBdr>
        <w:top w:val="single" w:sz="8" w:space="0" w:color="auto"/>
        <w:left w:val="single" w:sz="8" w:space="0" w:color="auto"/>
        <w:bottom w:val="single" w:sz="8" w:space="0" w:color="auto"/>
      </w:pBdr>
      <w:shd w:val="clear" w:color="000000" w:fill="C0C0C0"/>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88">
    <w:name w:val="xl188"/>
    <w:basedOn w:val="Normal"/>
    <w:rsid w:val="00590C1A"/>
    <w:pPr>
      <w:pBdr>
        <w:top w:val="single" w:sz="8" w:space="0" w:color="auto"/>
        <w:bottom w:val="single" w:sz="8" w:space="0" w:color="auto"/>
      </w:pBdr>
      <w:shd w:val="clear" w:color="000000" w:fill="BFBFBF"/>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89">
    <w:name w:val="xl189"/>
    <w:basedOn w:val="Normal"/>
    <w:rsid w:val="00590C1A"/>
    <w:pPr>
      <w:pBdr>
        <w:top w:val="single" w:sz="8" w:space="0" w:color="auto"/>
        <w:bottom w:val="single" w:sz="8" w:space="0" w:color="auto"/>
        <w:right w:val="single" w:sz="8" w:space="0" w:color="auto"/>
      </w:pBdr>
      <w:shd w:val="clear" w:color="000000" w:fill="BFBFBF"/>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90">
    <w:name w:val="xl190"/>
    <w:basedOn w:val="Normal"/>
    <w:rsid w:val="00590C1A"/>
    <w:pPr>
      <w:pBdr>
        <w:left w:val="single" w:sz="8" w:space="0" w:color="auto"/>
        <w:bottom w:val="single" w:sz="8" w:space="0" w:color="auto"/>
      </w:pBdr>
      <w:shd w:val="clear" w:color="000000" w:fill="C0C0C0"/>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91">
    <w:name w:val="xl191"/>
    <w:basedOn w:val="Normal"/>
    <w:rsid w:val="00590C1A"/>
    <w:pPr>
      <w:pBdr>
        <w:bottom w:val="single" w:sz="8"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92">
    <w:name w:val="xl192"/>
    <w:basedOn w:val="Normal"/>
    <w:rsid w:val="00590C1A"/>
    <w:pPr>
      <w:pBdr>
        <w:bottom w:val="single" w:sz="8" w:space="0" w:color="auto"/>
        <w:right w:val="single" w:sz="8" w:space="0" w:color="auto"/>
      </w:pBdr>
      <w:spacing w:before="100" w:beforeAutospacing="1" w:after="100" w:afterAutospacing="1"/>
      <w:jc w:val="left"/>
      <w:textAlignment w:val="center"/>
    </w:pPr>
    <w:rPr>
      <w:rFonts w:ascii="Arial Narrow" w:eastAsia="Times New Roman" w:hAnsi="Arial Narrow" w:cs="Times New Roman"/>
      <w:sz w:val="24"/>
      <w:szCs w:val="24"/>
      <w:lang w:eastAsia="ja-JP"/>
    </w:rPr>
  </w:style>
  <w:style w:type="paragraph" w:customStyle="1" w:styleId="xl193">
    <w:name w:val="xl193"/>
    <w:basedOn w:val="Normal"/>
    <w:rsid w:val="00590C1A"/>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194">
    <w:name w:val="xl194"/>
    <w:basedOn w:val="Normal"/>
    <w:rsid w:val="00590C1A"/>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195">
    <w:name w:val="xl195"/>
    <w:basedOn w:val="Normal"/>
    <w:rsid w:val="00590C1A"/>
    <w:pPr>
      <w:pBdr>
        <w:top w:val="single" w:sz="8" w:space="0" w:color="auto"/>
        <w:left w:val="single" w:sz="8" w:space="0" w:color="auto"/>
        <w:right w:val="single" w:sz="8" w:space="0" w:color="auto"/>
      </w:pBdr>
      <w:shd w:val="clear" w:color="000000" w:fill="FFF2CC"/>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96">
    <w:name w:val="xl196"/>
    <w:basedOn w:val="Normal"/>
    <w:rsid w:val="00590C1A"/>
    <w:pPr>
      <w:pBdr>
        <w:left w:val="single" w:sz="8" w:space="0" w:color="auto"/>
        <w:bottom w:val="single" w:sz="8" w:space="0" w:color="auto"/>
        <w:right w:val="single" w:sz="8" w:space="0" w:color="auto"/>
      </w:pBdr>
      <w:shd w:val="clear" w:color="000000" w:fill="FFF2CC"/>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197">
    <w:name w:val="xl197"/>
    <w:basedOn w:val="Normal"/>
    <w:rsid w:val="00590C1A"/>
    <w:pPr>
      <w:pBdr>
        <w:top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198">
    <w:name w:val="xl198"/>
    <w:basedOn w:val="Normal"/>
    <w:rsid w:val="00590C1A"/>
    <w:pPr>
      <w:pBdr>
        <w:bottom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sz w:val="24"/>
      <w:szCs w:val="24"/>
      <w:lang w:eastAsia="ja-JP"/>
    </w:rPr>
  </w:style>
  <w:style w:type="paragraph" w:customStyle="1" w:styleId="xl199">
    <w:name w:val="xl199"/>
    <w:basedOn w:val="Normal"/>
    <w:rsid w:val="00590C1A"/>
    <w:pPr>
      <w:pBdr>
        <w:top w:val="single" w:sz="8" w:space="0" w:color="auto"/>
        <w:left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00">
    <w:name w:val="xl200"/>
    <w:basedOn w:val="Normal"/>
    <w:rsid w:val="00590C1A"/>
    <w:pPr>
      <w:pBdr>
        <w:left w:val="single" w:sz="8" w:space="0" w:color="auto"/>
        <w:bottom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sz w:val="24"/>
      <w:szCs w:val="24"/>
      <w:lang w:eastAsia="ja-JP"/>
    </w:rPr>
  </w:style>
  <w:style w:type="paragraph" w:customStyle="1" w:styleId="xl201">
    <w:name w:val="xl201"/>
    <w:basedOn w:val="Normal"/>
    <w:rsid w:val="00590C1A"/>
    <w:pPr>
      <w:pBdr>
        <w:top w:val="single" w:sz="8" w:space="0" w:color="auto"/>
        <w:left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02">
    <w:name w:val="xl202"/>
    <w:basedOn w:val="Normal"/>
    <w:rsid w:val="00590C1A"/>
    <w:pPr>
      <w:pBdr>
        <w:left w:val="single" w:sz="8" w:space="0" w:color="auto"/>
        <w:bottom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03">
    <w:name w:val="xl203"/>
    <w:basedOn w:val="Normal"/>
    <w:rsid w:val="00590C1A"/>
    <w:pPr>
      <w:pBdr>
        <w:top w:val="single" w:sz="8" w:space="0" w:color="auto"/>
        <w:left w:val="single" w:sz="8" w:space="0" w:color="auto"/>
        <w:bottom w:val="single" w:sz="8" w:space="0" w:color="auto"/>
      </w:pBdr>
      <w:shd w:val="clear" w:color="000000" w:fill="E2EFDA"/>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04">
    <w:name w:val="xl204"/>
    <w:basedOn w:val="Normal"/>
    <w:rsid w:val="00590C1A"/>
    <w:pPr>
      <w:pBdr>
        <w:top w:val="single" w:sz="8" w:space="0" w:color="auto"/>
        <w:bottom w:val="single" w:sz="8" w:space="0" w:color="auto"/>
      </w:pBdr>
      <w:shd w:val="clear" w:color="000000" w:fill="E2EFDA"/>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05">
    <w:name w:val="xl205"/>
    <w:basedOn w:val="Normal"/>
    <w:rsid w:val="00590C1A"/>
    <w:pPr>
      <w:pBdr>
        <w:top w:val="single" w:sz="8" w:space="0" w:color="auto"/>
        <w:bottom w:val="single" w:sz="8" w:space="0" w:color="auto"/>
      </w:pBdr>
      <w:shd w:val="clear" w:color="000000" w:fill="E2EFDA"/>
      <w:spacing w:before="100" w:beforeAutospacing="1" w:after="100" w:afterAutospacing="1"/>
      <w:jc w:val="center"/>
      <w:textAlignment w:val="center"/>
    </w:pPr>
    <w:rPr>
      <w:rFonts w:ascii="Arial Narrow" w:eastAsia="Times New Roman" w:hAnsi="Arial Narrow" w:cs="Times New Roman"/>
      <w:sz w:val="24"/>
      <w:szCs w:val="24"/>
      <w:lang w:eastAsia="ja-JP"/>
    </w:rPr>
  </w:style>
  <w:style w:type="paragraph" w:customStyle="1" w:styleId="xl206">
    <w:name w:val="xl206"/>
    <w:basedOn w:val="Normal"/>
    <w:rsid w:val="00590C1A"/>
    <w:pPr>
      <w:pBdr>
        <w:top w:val="single" w:sz="8" w:space="0" w:color="auto"/>
        <w:left w:val="single" w:sz="8" w:space="0" w:color="auto"/>
        <w:bottom w:val="single" w:sz="8" w:space="0" w:color="auto"/>
      </w:pBdr>
      <w:shd w:val="clear" w:color="000000" w:fill="99CCFF"/>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07">
    <w:name w:val="xl207"/>
    <w:basedOn w:val="Normal"/>
    <w:rsid w:val="00590C1A"/>
    <w:pPr>
      <w:pBdr>
        <w:top w:val="single" w:sz="8" w:space="0" w:color="auto"/>
        <w:bottom w:val="single" w:sz="8" w:space="0" w:color="auto"/>
      </w:pBdr>
      <w:shd w:val="clear" w:color="000000" w:fill="99CCFF"/>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08">
    <w:name w:val="xl208"/>
    <w:basedOn w:val="Normal"/>
    <w:rsid w:val="00590C1A"/>
    <w:pPr>
      <w:pBdr>
        <w:top w:val="single" w:sz="8" w:space="0" w:color="auto"/>
        <w:left w:val="single" w:sz="8" w:space="0" w:color="auto"/>
        <w:bottom w:val="single" w:sz="8" w:space="0" w:color="auto"/>
      </w:pBdr>
      <w:shd w:val="clear" w:color="000000" w:fill="FF99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09">
    <w:name w:val="xl209"/>
    <w:basedOn w:val="Normal"/>
    <w:rsid w:val="00590C1A"/>
    <w:pPr>
      <w:pBdr>
        <w:top w:val="single" w:sz="8" w:space="0" w:color="auto"/>
        <w:bottom w:val="single" w:sz="8" w:space="0" w:color="auto"/>
      </w:pBdr>
      <w:shd w:val="clear" w:color="000000" w:fill="FF99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10">
    <w:name w:val="xl210"/>
    <w:basedOn w:val="Normal"/>
    <w:rsid w:val="00590C1A"/>
    <w:pPr>
      <w:pBdr>
        <w:top w:val="single" w:sz="8" w:space="0" w:color="auto"/>
        <w:bottom w:val="single" w:sz="8" w:space="0" w:color="auto"/>
        <w:right w:val="single" w:sz="8" w:space="0" w:color="auto"/>
      </w:pBdr>
      <w:shd w:val="clear" w:color="000000" w:fill="FF99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11">
    <w:name w:val="xl211"/>
    <w:basedOn w:val="Normal"/>
    <w:rsid w:val="00590C1A"/>
    <w:pPr>
      <w:pBdr>
        <w:top w:val="single" w:sz="8" w:space="0" w:color="auto"/>
        <w:left w:val="single" w:sz="8" w:space="0" w:color="auto"/>
        <w:bottom w:val="single" w:sz="8" w:space="0" w:color="auto"/>
      </w:pBdr>
      <w:shd w:val="clear" w:color="000000" w:fill="FFFF99"/>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12">
    <w:name w:val="xl212"/>
    <w:basedOn w:val="Normal"/>
    <w:rsid w:val="00590C1A"/>
    <w:pPr>
      <w:pBdr>
        <w:top w:val="single" w:sz="8" w:space="0" w:color="auto"/>
        <w:bottom w:val="single" w:sz="8" w:space="0" w:color="auto"/>
      </w:pBdr>
      <w:shd w:val="clear" w:color="000000" w:fill="FFFF99"/>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13">
    <w:name w:val="xl213"/>
    <w:basedOn w:val="Normal"/>
    <w:rsid w:val="00590C1A"/>
    <w:pPr>
      <w:pBdr>
        <w:top w:val="single" w:sz="8" w:space="0" w:color="auto"/>
        <w:bottom w:val="single" w:sz="8" w:space="0" w:color="auto"/>
        <w:right w:val="single" w:sz="8" w:space="0" w:color="auto"/>
      </w:pBdr>
      <w:shd w:val="clear" w:color="000000" w:fill="FFFF99"/>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14">
    <w:name w:val="xl214"/>
    <w:basedOn w:val="Normal"/>
    <w:rsid w:val="00714BEA"/>
    <w:pPr>
      <w:pBdr>
        <w:left w:val="single" w:sz="8" w:space="0" w:color="auto"/>
        <w:bottom w:val="single" w:sz="8" w:space="0" w:color="auto"/>
        <w:right w:val="single" w:sz="8" w:space="0" w:color="auto"/>
      </w:pBdr>
      <w:shd w:val="clear" w:color="000000" w:fill="FFF2CC"/>
      <w:spacing w:before="100" w:beforeAutospacing="1" w:after="100" w:afterAutospacing="1"/>
      <w:jc w:val="left"/>
      <w:textAlignment w:val="center"/>
    </w:pPr>
    <w:rPr>
      <w:rFonts w:ascii="Arial Narrow" w:eastAsia="Times New Roman" w:hAnsi="Arial Narrow" w:cs="Times New Roman"/>
      <w:b/>
      <w:bCs/>
      <w:sz w:val="24"/>
      <w:szCs w:val="24"/>
      <w:lang w:eastAsia="ja-JP"/>
    </w:rPr>
  </w:style>
  <w:style w:type="paragraph" w:customStyle="1" w:styleId="xl215">
    <w:name w:val="xl215"/>
    <w:basedOn w:val="Normal"/>
    <w:rsid w:val="00714BEA"/>
    <w:pPr>
      <w:pBdr>
        <w:top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16">
    <w:name w:val="xl216"/>
    <w:basedOn w:val="Normal"/>
    <w:rsid w:val="00714BEA"/>
    <w:pPr>
      <w:pBdr>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17">
    <w:name w:val="xl217"/>
    <w:basedOn w:val="Normal"/>
    <w:rsid w:val="00714BEA"/>
    <w:pPr>
      <w:pBdr>
        <w:bottom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sz w:val="24"/>
      <w:szCs w:val="24"/>
      <w:lang w:eastAsia="ja-JP"/>
    </w:rPr>
  </w:style>
  <w:style w:type="paragraph" w:customStyle="1" w:styleId="xl218">
    <w:name w:val="xl218"/>
    <w:basedOn w:val="Normal"/>
    <w:rsid w:val="00714BEA"/>
    <w:pPr>
      <w:pBdr>
        <w:top w:val="single" w:sz="8" w:space="0" w:color="auto"/>
        <w:left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19">
    <w:name w:val="xl219"/>
    <w:basedOn w:val="Normal"/>
    <w:rsid w:val="00714BEA"/>
    <w:pPr>
      <w:pBdr>
        <w:left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20">
    <w:name w:val="xl220"/>
    <w:basedOn w:val="Normal"/>
    <w:rsid w:val="00714BEA"/>
    <w:pPr>
      <w:pBdr>
        <w:left w:val="single" w:sz="8" w:space="0" w:color="auto"/>
        <w:bottom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sz w:val="24"/>
      <w:szCs w:val="24"/>
      <w:lang w:eastAsia="ja-JP"/>
    </w:rPr>
  </w:style>
  <w:style w:type="paragraph" w:customStyle="1" w:styleId="xl221">
    <w:name w:val="xl221"/>
    <w:basedOn w:val="Normal"/>
    <w:rsid w:val="00714BEA"/>
    <w:pPr>
      <w:pBdr>
        <w:top w:val="single" w:sz="8" w:space="0" w:color="auto"/>
        <w:left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22">
    <w:name w:val="xl222"/>
    <w:basedOn w:val="Normal"/>
    <w:rsid w:val="00714BEA"/>
    <w:pPr>
      <w:pBdr>
        <w:left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23">
    <w:name w:val="xl223"/>
    <w:basedOn w:val="Normal"/>
    <w:rsid w:val="00714BEA"/>
    <w:pPr>
      <w:pBdr>
        <w:left w:val="single" w:sz="8" w:space="0" w:color="auto"/>
        <w:bottom w:val="single" w:sz="8" w:space="0" w:color="auto"/>
        <w:right w:val="single" w:sz="8" w:space="0" w:color="auto"/>
      </w:pBdr>
      <w:shd w:val="clear" w:color="000000" w:fill="FFF2CC"/>
      <w:spacing w:before="100" w:beforeAutospacing="1" w:after="100" w:afterAutospacing="1"/>
      <w:jc w:val="center"/>
      <w:textAlignment w:val="center"/>
    </w:pPr>
    <w:rPr>
      <w:rFonts w:ascii="Arial Narrow" w:eastAsia="Times New Roman" w:hAnsi="Arial Narrow" w:cs="Times New Roman"/>
      <w:b/>
      <w:bCs/>
      <w:sz w:val="24"/>
      <w:szCs w:val="24"/>
      <w:lang w:eastAsia="ja-JP"/>
    </w:rPr>
  </w:style>
  <w:style w:type="paragraph" w:customStyle="1" w:styleId="xl224">
    <w:name w:val="xl224"/>
    <w:basedOn w:val="Normal"/>
    <w:rsid w:val="00714BEA"/>
    <w:pPr>
      <w:pBdr>
        <w:top w:val="single" w:sz="8" w:space="0" w:color="auto"/>
        <w:bottom w:val="single" w:sz="8" w:space="0" w:color="auto"/>
      </w:pBdr>
      <w:shd w:val="clear" w:color="000000" w:fill="E2EFDA"/>
      <w:spacing w:before="100" w:beforeAutospacing="1" w:after="100" w:afterAutospacing="1"/>
      <w:jc w:val="center"/>
      <w:textAlignment w:val="center"/>
    </w:pPr>
    <w:rPr>
      <w:rFonts w:ascii="Arial Narrow" w:eastAsia="Times New Roman" w:hAnsi="Arial Narrow" w:cs="Times New Roman"/>
      <w:sz w:val="24"/>
      <w:szCs w:val="24"/>
      <w:lang w:eastAsia="ja-JP"/>
    </w:rPr>
  </w:style>
  <w:style w:type="paragraph" w:customStyle="1" w:styleId="GEFQuestion">
    <w:name w:val="GEF Question"/>
    <w:basedOn w:val="Normal"/>
    <w:next w:val="Normal"/>
    <w:qFormat/>
    <w:rsid w:val="0088560B"/>
    <w:pPr>
      <w:ind w:left="-720"/>
      <w:jc w:val="left"/>
    </w:pPr>
    <w:rPr>
      <w:rFonts w:eastAsia="Times New Roman" w:cs="Times New Roman"/>
      <w:sz w:val="22"/>
      <w:szCs w:val="24"/>
    </w:rPr>
  </w:style>
  <w:style w:type="paragraph" w:styleId="NormalWeb">
    <w:name w:val="Normal (Web)"/>
    <w:basedOn w:val="Normal"/>
    <w:uiPriority w:val="99"/>
    <w:rsid w:val="004C6CFC"/>
    <w:pPr>
      <w:spacing w:before="100" w:beforeAutospacing="1" w:after="100" w:afterAutospacing="1"/>
      <w:jc w:val="left"/>
    </w:pPr>
    <w:rPr>
      <w:rFonts w:eastAsia="PMingLiU" w:cs="Times New Roman"/>
      <w:sz w:val="24"/>
      <w:szCs w:val="24"/>
      <w:lang w:eastAsia="zh-TW"/>
    </w:rPr>
  </w:style>
  <w:style w:type="paragraph" w:customStyle="1" w:styleId="Figure">
    <w:name w:val="Figure"/>
    <w:basedOn w:val="Normal"/>
    <w:link w:val="FigureChar"/>
    <w:qFormat/>
    <w:rsid w:val="00A121D3"/>
    <w:pPr>
      <w:keepNext/>
    </w:pPr>
    <w:rPr>
      <w:sz w:val="22"/>
    </w:rPr>
  </w:style>
  <w:style w:type="paragraph" w:customStyle="1" w:styleId="Table">
    <w:name w:val="Table"/>
    <w:basedOn w:val="NumberedParagraph"/>
    <w:link w:val="TableChar"/>
    <w:qFormat/>
    <w:rsid w:val="00A121D3"/>
    <w:pPr>
      <w:keepNext/>
      <w:numPr>
        <w:numId w:val="0"/>
      </w:numPr>
    </w:pPr>
    <w:rPr>
      <w:sz w:val="22"/>
    </w:rPr>
  </w:style>
  <w:style w:type="character" w:customStyle="1" w:styleId="FigureChar">
    <w:name w:val="Figure Char"/>
    <w:basedOn w:val="DefaultParagraphFont"/>
    <w:link w:val="Figure"/>
    <w:rsid w:val="00A121D3"/>
    <w:rPr>
      <w:rFonts w:ascii="Times New Roman" w:eastAsiaTheme="minorHAnsi" w:hAnsi="Times New Roman" w:cstheme="minorBidi"/>
      <w:szCs w:val="22"/>
      <w:lang w:eastAsia="en-US"/>
    </w:rPr>
  </w:style>
  <w:style w:type="character" w:customStyle="1" w:styleId="NumberedParagraphChar">
    <w:name w:val="Numbered Paragraph Char"/>
    <w:basedOn w:val="DefaultParagraphFont"/>
    <w:link w:val="NumberedParagraph"/>
    <w:rsid w:val="00A121D3"/>
    <w:rPr>
      <w:rFonts w:ascii="Times New Roman" w:eastAsia="Times New Roman" w:hAnsi="Times New Roman" w:cs="Times New Roman"/>
      <w:sz w:val="21"/>
      <w:szCs w:val="22"/>
      <w:lang w:val="en-US" w:eastAsia="en-US"/>
    </w:rPr>
  </w:style>
  <w:style w:type="character" w:customStyle="1" w:styleId="TableChar">
    <w:name w:val="Table Char"/>
    <w:basedOn w:val="NumberedParagraphChar"/>
    <w:link w:val="Table"/>
    <w:rsid w:val="00A121D3"/>
    <w:rPr>
      <w:rFonts w:ascii="Times New Roman" w:eastAsia="Times New Roman" w:hAnsi="Times New Roman" w:cs="Times New Roman"/>
      <w:sz w:val="21"/>
      <w:szCs w:val="22"/>
      <w:lang w:val="en-US" w:eastAsia="en-US"/>
    </w:rPr>
  </w:style>
  <w:style w:type="paragraph" w:customStyle="1" w:styleId="Pa26">
    <w:name w:val="Pa26"/>
    <w:basedOn w:val="Normal"/>
    <w:next w:val="Normal"/>
    <w:uiPriority w:val="99"/>
    <w:rsid w:val="001B3F3E"/>
    <w:pPr>
      <w:autoSpaceDE w:val="0"/>
      <w:autoSpaceDN w:val="0"/>
      <w:adjustRightInd w:val="0"/>
      <w:spacing w:line="201" w:lineRule="atLeast"/>
      <w:jc w:val="left"/>
    </w:pPr>
    <w:rPr>
      <w:rFonts w:ascii="Utopia Std" w:hAnsi="Utopia Std"/>
      <w:sz w:val="24"/>
      <w:szCs w:val="24"/>
    </w:rPr>
  </w:style>
  <w:style w:type="paragraph" w:customStyle="1" w:styleId="Bookmark1">
    <w:name w:val="Bookmark 1"/>
    <w:basedOn w:val="Heading1"/>
    <w:link w:val="Bookmark1Char"/>
    <w:qFormat/>
    <w:rsid w:val="000632A0"/>
    <w:pPr>
      <w:spacing w:before="120"/>
      <w:jc w:val="left"/>
    </w:pPr>
    <w:rPr>
      <w:rFonts w:asciiTheme="minorHAnsi" w:hAnsiTheme="minorHAnsi"/>
      <w:b/>
      <w:bCs/>
      <w:color w:val="2F5496" w:themeColor="accent1" w:themeShade="BF"/>
      <w:sz w:val="24"/>
      <w:szCs w:val="28"/>
    </w:rPr>
  </w:style>
  <w:style w:type="character" w:customStyle="1" w:styleId="Bookmark1Char">
    <w:name w:val="Bookmark 1 Char"/>
    <w:basedOn w:val="Heading1Char"/>
    <w:link w:val="Bookmark1"/>
    <w:rsid w:val="000632A0"/>
    <w:rPr>
      <w:rFonts w:asciiTheme="minorHAnsi" w:eastAsiaTheme="majorEastAsia" w:hAnsiTheme="minorHAnsi" w:cstheme="majorBidi"/>
      <w:b/>
      <w:bCs/>
      <w:color w:val="2F5496" w:themeColor="accent1" w:themeShade="BF"/>
      <w:sz w:val="24"/>
      <w:szCs w:val="28"/>
      <w:lang w:val="en-US" w:eastAsia="en-US"/>
    </w:rPr>
  </w:style>
  <w:style w:type="paragraph" w:customStyle="1" w:styleId="xl65">
    <w:name w:val="xl65"/>
    <w:basedOn w:val="Normal"/>
    <w:rsid w:val="00EE6CBD"/>
    <w:pPr>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Arial Narrow" w:eastAsia="Times New Roman" w:hAnsi="Arial Narrow" w:cs="Times New Roman"/>
      <w:sz w:val="18"/>
      <w:szCs w:val="18"/>
    </w:rPr>
  </w:style>
  <w:style w:type="paragraph" w:customStyle="1" w:styleId="xl66">
    <w:name w:val="xl66"/>
    <w:basedOn w:val="Normal"/>
    <w:rsid w:val="00EE6CBD"/>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Narrow" w:eastAsia="Times New Roman" w:hAnsi="Arial Narrow" w:cs="Times New Roman"/>
      <w:sz w:val="18"/>
      <w:szCs w:val="18"/>
    </w:rPr>
  </w:style>
  <w:style w:type="paragraph" w:customStyle="1" w:styleId="xl67">
    <w:name w:val="xl67"/>
    <w:basedOn w:val="Normal"/>
    <w:rsid w:val="00EE6CBD"/>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left"/>
      <w:textAlignment w:val="center"/>
    </w:pPr>
    <w:rPr>
      <w:rFonts w:ascii="Arial Narrow" w:eastAsia="Times New Roman" w:hAnsi="Arial Narrow" w:cs="Times New Roman"/>
      <w:sz w:val="18"/>
      <w:szCs w:val="18"/>
    </w:rPr>
  </w:style>
  <w:style w:type="paragraph" w:customStyle="1" w:styleId="xl225">
    <w:name w:val="xl225"/>
    <w:basedOn w:val="Normal"/>
    <w:rsid w:val="00D2587C"/>
    <w:pPr>
      <w:pBdr>
        <w:top w:val="single" w:sz="4" w:space="0" w:color="auto"/>
        <w:left w:val="single" w:sz="4" w:space="0" w:color="auto"/>
      </w:pBdr>
      <w:spacing w:before="100" w:beforeAutospacing="1" w:after="100" w:afterAutospacing="1"/>
      <w:jc w:val="center"/>
      <w:textAlignment w:val="center"/>
    </w:pPr>
    <w:rPr>
      <w:rFonts w:ascii="Arial Narrow" w:eastAsia="Times New Roman" w:hAnsi="Arial Narrow" w:cs="Times New Roman"/>
      <w:sz w:val="20"/>
      <w:szCs w:val="20"/>
    </w:rPr>
  </w:style>
  <w:style w:type="paragraph" w:customStyle="1" w:styleId="xl226">
    <w:name w:val="xl226"/>
    <w:basedOn w:val="Normal"/>
    <w:rsid w:val="00D2587C"/>
    <w:pPr>
      <w:pBdr>
        <w:top w:val="single" w:sz="4" w:space="0" w:color="auto"/>
        <w:bottom w:val="single" w:sz="4"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xl227">
    <w:name w:val="xl227"/>
    <w:basedOn w:val="Normal"/>
    <w:rsid w:val="00D2587C"/>
    <w:pPr>
      <w:pBdr>
        <w:top w:val="single" w:sz="4" w:space="0" w:color="auto"/>
        <w:bottom w:val="single" w:sz="4" w:space="0" w:color="auto"/>
        <w:right w:val="single" w:sz="4"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xl228">
    <w:name w:val="xl228"/>
    <w:basedOn w:val="Normal"/>
    <w:rsid w:val="00D2587C"/>
    <w:pPr>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Narrow" w:eastAsia="Times New Roman" w:hAnsi="Arial Narrow" w:cs="Times New Roman"/>
      <w:b/>
      <w:bCs/>
      <w:sz w:val="20"/>
      <w:szCs w:val="20"/>
    </w:rPr>
  </w:style>
  <w:style w:type="paragraph" w:customStyle="1" w:styleId="xl229">
    <w:name w:val="xl229"/>
    <w:basedOn w:val="Normal"/>
    <w:rsid w:val="00D258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eastAsia="Times New Roman" w:hAnsi="Arial Narrow" w:cs="Times New Roman"/>
      <w:sz w:val="20"/>
      <w:szCs w:val="20"/>
    </w:rPr>
  </w:style>
  <w:style w:type="paragraph" w:customStyle="1" w:styleId="xl230">
    <w:name w:val="xl230"/>
    <w:basedOn w:val="Normal"/>
    <w:rsid w:val="00D2587C"/>
    <w:pPr>
      <w:pBdr>
        <w:top w:val="single" w:sz="4" w:space="0" w:color="auto"/>
        <w:left w:val="single" w:sz="4" w:space="0" w:color="auto"/>
        <w:bottom w:val="double" w:sz="6" w:space="0" w:color="auto"/>
        <w:right w:val="single" w:sz="4" w:space="0" w:color="auto"/>
      </w:pBdr>
      <w:shd w:val="clear" w:color="000000" w:fill="FFFF00"/>
      <w:spacing w:before="100" w:beforeAutospacing="1" w:after="100" w:afterAutospacing="1"/>
      <w:jc w:val="center"/>
      <w:textAlignment w:val="center"/>
    </w:pPr>
    <w:rPr>
      <w:rFonts w:ascii="Arial Narrow" w:eastAsia="Times New Roman" w:hAnsi="Arial Narrow" w:cs="Times New Roman"/>
      <w:sz w:val="20"/>
      <w:szCs w:val="20"/>
    </w:rPr>
  </w:style>
  <w:style w:type="paragraph" w:customStyle="1" w:styleId="xl231">
    <w:name w:val="xl231"/>
    <w:basedOn w:val="Normal"/>
    <w:rsid w:val="00D2587C"/>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Arial Narrow" w:eastAsia="Times New Roman" w:hAnsi="Arial Narrow" w:cs="Times New Roman"/>
      <w:sz w:val="20"/>
      <w:szCs w:val="20"/>
    </w:rPr>
  </w:style>
  <w:style w:type="paragraph" w:customStyle="1" w:styleId="xl232">
    <w:name w:val="xl232"/>
    <w:basedOn w:val="Normal"/>
    <w:rsid w:val="00D2587C"/>
    <w:pPr>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xl233">
    <w:name w:val="xl233"/>
    <w:basedOn w:val="Normal"/>
    <w:rsid w:val="00D2587C"/>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Narrow" w:eastAsia="Times New Roman" w:hAnsi="Arial Narrow" w:cs="Times New Roman"/>
      <w:sz w:val="20"/>
      <w:szCs w:val="20"/>
    </w:rPr>
  </w:style>
  <w:style w:type="paragraph" w:customStyle="1" w:styleId="xl234">
    <w:name w:val="xl234"/>
    <w:basedOn w:val="Normal"/>
    <w:rsid w:val="00D2587C"/>
    <w:pPr>
      <w:pBdr>
        <w:left w:val="single" w:sz="4" w:space="0" w:color="auto"/>
        <w:right w:val="single" w:sz="4" w:space="0" w:color="auto"/>
      </w:pBdr>
      <w:spacing w:before="100" w:beforeAutospacing="1" w:after="100" w:afterAutospacing="1"/>
      <w:jc w:val="center"/>
      <w:textAlignment w:val="center"/>
    </w:pPr>
    <w:rPr>
      <w:rFonts w:ascii="Arial Narrow" w:eastAsia="Times New Roman" w:hAnsi="Arial Narrow" w:cs="Times New Roman"/>
      <w:sz w:val="20"/>
      <w:szCs w:val="20"/>
    </w:rPr>
  </w:style>
  <w:style w:type="paragraph" w:customStyle="1" w:styleId="xl235">
    <w:name w:val="xl235"/>
    <w:basedOn w:val="Normal"/>
    <w:rsid w:val="00D2587C"/>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rPr>
      <w:rFonts w:ascii="Arial Narrow" w:eastAsia="Times New Roman" w:hAnsi="Arial Narrow" w:cs="Times New Roman"/>
      <w:sz w:val="20"/>
      <w:szCs w:val="20"/>
    </w:rPr>
  </w:style>
  <w:style w:type="paragraph" w:customStyle="1" w:styleId="xl236">
    <w:name w:val="xl236"/>
    <w:basedOn w:val="Normal"/>
    <w:rsid w:val="00D2587C"/>
    <w:pPr>
      <w:pBdr>
        <w:top w:val="single" w:sz="4"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xl237">
    <w:name w:val="xl237"/>
    <w:basedOn w:val="Normal"/>
    <w:rsid w:val="00D2587C"/>
    <w:pPr>
      <w:pBdr>
        <w:right w:val="single" w:sz="4"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xl238">
    <w:name w:val="xl238"/>
    <w:basedOn w:val="Normal"/>
    <w:rsid w:val="00D2587C"/>
    <w:pPr>
      <w:pBdr>
        <w:top w:val="single" w:sz="4" w:space="0" w:color="auto"/>
        <w:right w:val="single" w:sz="4"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xl239">
    <w:name w:val="xl239"/>
    <w:basedOn w:val="Normal"/>
    <w:rsid w:val="00D2587C"/>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Narrow" w:eastAsia="Times New Roman" w:hAnsi="Arial Narrow" w:cs="Times New Roman"/>
      <w:b/>
      <w:bCs/>
      <w:sz w:val="20"/>
      <w:szCs w:val="20"/>
    </w:rPr>
  </w:style>
  <w:style w:type="paragraph" w:customStyle="1" w:styleId="xl240">
    <w:name w:val="xl240"/>
    <w:basedOn w:val="Normal"/>
    <w:rsid w:val="00D2587C"/>
    <w:pPr>
      <w:pBdr>
        <w:top w:val="single" w:sz="4" w:space="0" w:color="auto"/>
        <w:left w:val="single" w:sz="8" w:space="0" w:color="auto"/>
        <w:right w:val="single" w:sz="4" w:space="0" w:color="auto"/>
      </w:pBdr>
      <w:spacing w:before="100" w:beforeAutospacing="1" w:after="100" w:afterAutospacing="1"/>
      <w:jc w:val="center"/>
    </w:pPr>
    <w:rPr>
      <w:rFonts w:ascii="Arial Narrow" w:eastAsia="Times New Roman" w:hAnsi="Arial Narrow" w:cs="Times New Roman"/>
      <w:b/>
      <w:bCs/>
      <w:sz w:val="20"/>
      <w:szCs w:val="20"/>
    </w:rPr>
  </w:style>
  <w:style w:type="paragraph" w:customStyle="1" w:styleId="xl241">
    <w:name w:val="xl241"/>
    <w:basedOn w:val="Normal"/>
    <w:rsid w:val="00D2587C"/>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Times New Roman" w:hAnsi="Arial Narrow" w:cs="Times New Roman"/>
      <w:b/>
      <w:bCs/>
      <w:sz w:val="20"/>
      <w:szCs w:val="20"/>
    </w:rPr>
  </w:style>
  <w:style w:type="paragraph" w:customStyle="1" w:styleId="xl242">
    <w:name w:val="xl242"/>
    <w:basedOn w:val="Normal"/>
    <w:rsid w:val="00D2587C"/>
    <w:pPr>
      <w:pBdr>
        <w:top w:val="single" w:sz="4" w:space="0" w:color="auto"/>
        <w:left w:val="single" w:sz="4" w:space="0" w:color="auto"/>
        <w:right w:val="single" w:sz="4" w:space="0" w:color="auto"/>
      </w:pBdr>
      <w:spacing w:before="100" w:beforeAutospacing="1" w:after="100" w:afterAutospacing="1"/>
      <w:jc w:val="center"/>
    </w:pPr>
    <w:rPr>
      <w:rFonts w:ascii="Arial Narrow" w:eastAsia="Times New Roman" w:hAnsi="Arial Narrow" w:cs="Times New Roman"/>
      <w:b/>
      <w:bCs/>
      <w:sz w:val="20"/>
      <w:szCs w:val="20"/>
    </w:rPr>
  </w:style>
  <w:style w:type="paragraph" w:customStyle="1" w:styleId="xl243">
    <w:name w:val="xl243"/>
    <w:basedOn w:val="Normal"/>
    <w:rsid w:val="00D2587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Narrow" w:eastAsia="Times New Roman" w:hAnsi="Arial Narrow" w:cs="Times New Roman"/>
      <w:b/>
      <w:bCs/>
      <w:sz w:val="20"/>
      <w:szCs w:val="20"/>
    </w:rPr>
  </w:style>
  <w:style w:type="paragraph" w:customStyle="1" w:styleId="xl244">
    <w:name w:val="xl244"/>
    <w:basedOn w:val="Normal"/>
    <w:rsid w:val="00D2587C"/>
    <w:pPr>
      <w:pBdr>
        <w:top w:val="single" w:sz="8" w:space="0" w:color="auto"/>
        <w:bottom w:val="single" w:sz="4" w:space="0" w:color="auto"/>
      </w:pBdr>
      <w:spacing w:before="100" w:beforeAutospacing="1" w:after="100" w:afterAutospacing="1"/>
      <w:jc w:val="center"/>
      <w:textAlignment w:val="center"/>
    </w:pPr>
    <w:rPr>
      <w:rFonts w:ascii="Arial Narrow" w:eastAsia="Times New Roman" w:hAnsi="Arial Narrow" w:cs="Times New Roman"/>
      <w:b/>
      <w:bCs/>
      <w:sz w:val="20"/>
      <w:szCs w:val="20"/>
    </w:rPr>
  </w:style>
  <w:style w:type="paragraph" w:customStyle="1" w:styleId="xl245">
    <w:name w:val="xl245"/>
    <w:basedOn w:val="Normal"/>
    <w:rsid w:val="00D2587C"/>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Narrow" w:eastAsia="Times New Roman" w:hAnsi="Arial Narrow" w:cs="Times New Roman"/>
      <w:b/>
      <w:bCs/>
      <w:sz w:val="20"/>
      <w:szCs w:val="20"/>
    </w:rPr>
  </w:style>
  <w:style w:type="paragraph" w:customStyle="1" w:styleId="xl246">
    <w:name w:val="xl246"/>
    <w:basedOn w:val="Normal"/>
    <w:rsid w:val="00D2587C"/>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Narrow" w:eastAsia="Times New Roman" w:hAnsi="Arial Narrow" w:cs="Times New Roman"/>
      <w:b/>
      <w:bCs/>
      <w:sz w:val="20"/>
      <w:szCs w:val="20"/>
    </w:rPr>
  </w:style>
  <w:style w:type="paragraph" w:customStyle="1" w:styleId="xl247">
    <w:name w:val="xl247"/>
    <w:basedOn w:val="Normal"/>
    <w:rsid w:val="00D2587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Narrow" w:eastAsia="Times New Roman" w:hAnsi="Arial Narrow" w:cs="Times New Roman"/>
      <w:b/>
      <w:bCs/>
      <w:sz w:val="20"/>
      <w:szCs w:val="20"/>
    </w:rPr>
  </w:style>
  <w:style w:type="paragraph" w:customStyle="1" w:styleId="xl248">
    <w:name w:val="xl248"/>
    <w:basedOn w:val="Normal"/>
    <w:rsid w:val="00D2587C"/>
    <w:pPr>
      <w:pBdr>
        <w:top w:val="single" w:sz="8" w:space="0" w:color="auto"/>
        <w:left w:val="single" w:sz="8" w:space="0" w:color="auto"/>
        <w:bottom w:val="single" w:sz="4" w:space="0" w:color="auto"/>
      </w:pBdr>
      <w:spacing w:before="100" w:beforeAutospacing="1" w:after="100" w:afterAutospacing="1"/>
      <w:jc w:val="center"/>
      <w:textAlignment w:val="center"/>
    </w:pPr>
    <w:rPr>
      <w:rFonts w:ascii="Arial Narrow" w:eastAsia="Times New Roman" w:hAnsi="Arial Narrow" w:cs="Times New Roman"/>
      <w:b/>
      <w:bCs/>
      <w:sz w:val="20"/>
      <w:szCs w:val="20"/>
    </w:rPr>
  </w:style>
  <w:style w:type="paragraph" w:customStyle="1" w:styleId="xl249">
    <w:name w:val="xl249"/>
    <w:basedOn w:val="Normal"/>
    <w:rsid w:val="00D2587C"/>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Narrow" w:eastAsia="Times New Roman" w:hAnsi="Arial Narrow" w:cs="Times New Roman"/>
      <w:b/>
      <w:bCs/>
      <w:sz w:val="20"/>
      <w:szCs w:val="20"/>
    </w:rPr>
  </w:style>
  <w:style w:type="paragraph" w:customStyle="1" w:styleId="xl250">
    <w:name w:val="xl250"/>
    <w:basedOn w:val="Normal"/>
    <w:rsid w:val="00D2587C"/>
    <w:pPr>
      <w:pBdr>
        <w:top w:val="single" w:sz="4"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xl251">
    <w:name w:val="xl251"/>
    <w:basedOn w:val="Normal"/>
    <w:rsid w:val="00D2587C"/>
    <w:pPr>
      <w:pBdr>
        <w:top w:val="single" w:sz="8" w:space="0" w:color="auto"/>
        <w:left w:val="single" w:sz="8"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xl252">
    <w:name w:val="xl252"/>
    <w:basedOn w:val="Normal"/>
    <w:rsid w:val="00D2587C"/>
    <w:pPr>
      <w:pBdr>
        <w:top w:val="single" w:sz="8"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xl253">
    <w:name w:val="xl253"/>
    <w:basedOn w:val="Normal"/>
    <w:rsid w:val="00D2587C"/>
    <w:pPr>
      <w:pBdr>
        <w:top w:val="single" w:sz="4"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xl254">
    <w:name w:val="xl254"/>
    <w:basedOn w:val="Normal"/>
    <w:rsid w:val="00D2587C"/>
    <w:pPr>
      <w:pBdr>
        <w:top w:val="single" w:sz="4" w:space="0" w:color="auto"/>
        <w:left w:val="single" w:sz="8" w:space="0" w:color="auto"/>
      </w:pBdr>
      <w:spacing w:before="100" w:beforeAutospacing="1" w:after="100" w:afterAutospacing="1"/>
      <w:jc w:val="left"/>
      <w:textAlignment w:val="top"/>
    </w:pPr>
    <w:rPr>
      <w:rFonts w:ascii="Arial Narrow" w:eastAsia="Times New Roman" w:hAnsi="Arial Narrow" w:cs="Times New Roman"/>
      <w:sz w:val="20"/>
      <w:szCs w:val="20"/>
    </w:rPr>
  </w:style>
  <w:style w:type="paragraph" w:customStyle="1" w:styleId="yiv1708067615ydp615d02f2msonormal">
    <w:name w:val="yiv1708067615ydp615d02f2msonormal"/>
    <w:basedOn w:val="Normal"/>
    <w:rsid w:val="00812E6F"/>
    <w:pPr>
      <w:spacing w:before="100" w:beforeAutospacing="1" w:after="100" w:afterAutospacing="1"/>
      <w:jc w:val="left"/>
    </w:pPr>
    <w:rPr>
      <w:rFonts w:eastAsia="Times New Roman" w:cs="Times New Roman"/>
      <w:sz w:val="24"/>
      <w:szCs w:val="24"/>
    </w:rPr>
  </w:style>
  <w:style w:type="paragraph" w:customStyle="1" w:styleId="Pa17">
    <w:name w:val="Pa17"/>
    <w:basedOn w:val="Normal"/>
    <w:next w:val="Normal"/>
    <w:uiPriority w:val="99"/>
    <w:rsid w:val="009C6AB2"/>
    <w:pPr>
      <w:autoSpaceDE w:val="0"/>
      <w:autoSpaceDN w:val="0"/>
      <w:adjustRightInd w:val="0"/>
      <w:spacing w:line="211" w:lineRule="atLeast"/>
      <w:jc w:val="left"/>
    </w:pPr>
    <w:rPr>
      <w:rFonts w:ascii="Ch Pragmatica" w:hAnsi="Ch Pragmatica"/>
      <w:sz w:val="24"/>
      <w:szCs w:val="24"/>
      <w:lang w:val="en-GB"/>
    </w:rPr>
  </w:style>
  <w:style w:type="paragraph" w:styleId="HTMLPreformatted">
    <w:name w:val="HTML Preformatted"/>
    <w:basedOn w:val="Normal"/>
    <w:link w:val="HTMLPreformattedChar"/>
    <w:uiPriority w:val="99"/>
    <w:semiHidden/>
    <w:unhideWhenUsed/>
    <w:rsid w:val="00A27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27E82"/>
    <w:rPr>
      <w:rFonts w:ascii="Courier New" w:eastAsia="Times New Roman" w:hAnsi="Courier New" w:cs="Courier New"/>
      <w:sz w:val="20"/>
      <w:szCs w:val="20"/>
      <w:lang w:val="en-US" w:eastAsia="en-US"/>
    </w:rPr>
  </w:style>
  <w:style w:type="character" w:customStyle="1" w:styleId="Normal2">
    <w:name w:val="Normal2"/>
    <w:basedOn w:val="DefaultParagraphFont"/>
    <w:rsid w:val="001A6237"/>
  </w:style>
  <w:style w:type="character" w:customStyle="1" w:styleId="UnresolvedMention2">
    <w:name w:val="Unresolved Mention2"/>
    <w:basedOn w:val="DefaultParagraphFont"/>
    <w:uiPriority w:val="99"/>
    <w:semiHidden/>
    <w:unhideWhenUsed/>
    <w:rsid w:val="00350042"/>
    <w:rPr>
      <w:color w:val="605E5C"/>
      <w:shd w:val="clear" w:color="auto" w:fill="E1DFDD"/>
    </w:rPr>
  </w:style>
  <w:style w:type="character" w:customStyle="1" w:styleId="UnresolvedMention3">
    <w:name w:val="Unresolved Mention3"/>
    <w:basedOn w:val="DefaultParagraphFont"/>
    <w:uiPriority w:val="99"/>
    <w:semiHidden/>
    <w:unhideWhenUsed/>
    <w:rsid w:val="003B1514"/>
    <w:rPr>
      <w:color w:val="605E5C"/>
      <w:shd w:val="clear" w:color="auto" w:fill="E1DFDD"/>
    </w:rPr>
  </w:style>
  <w:style w:type="character" w:styleId="HTMLCite">
    <w:name w:val="HTML Cite"/>
    <w:basedOn w:val="DefaultParagraphFont"/>
    <w:uiPriority w:val="99"/>
    <w:semiHidden/>
    <w:unhideWhenUsed/>
    <w:rsid w:val="001C0941"/>
    <w:rPr>
      <w:i/>
      <w:iCs/>
    </w:rPr>
  </w:style>
  <w:style w:type="character" w:customStyle="1" w:styleId="UnresolvedMention">
    <w:name w:val="Unresolved Mention"/>
    <w:basedOn w:val="DefaultParagraphFont"/>
    <w:uiPriority w:val="99"/>
    <w:semiHidden/>
    <w:unhideWhenUsed/>
    <w:rsid w:val="00A262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650011">
      <w:bodyDiv w:val="1"/>
      <w:marLeft w:val="0"/>
      <w:marRight w:val="0"/>
      <w:marTop w:val="0"/>
      <w:marBottom w:val="0"/>
      <w:divBdr>
        <w:top w:val="none" w:sz="0" w:space="0" w:color="auto"/>
        <w:left w:val="none" w:sz="0" w:space="0" w:color="auto"/>
        <w:bottom w:val="none" w:sz="0" w:space="0" w:color="auto"/>
        <w:right w:val="none" w:sz="0" w:space="0" w:color="auto"/>
      </w:divBdr>
    </w:div>
    <w:div w:id="39062198">
      <w:bodyDiv w:val="1"/>
      <w:marLeft w:val="0"/>
      <w:marRight w:val="0"/>
      <w:marTop w:val="0"/>
      <w:marBottom w:val="0"/>
      <w:divBdr>
        <w:top w:val="none" w:sz="0" w:space="0" w:color="auto"/>
        <w:left w:val="none" w:sz="0" w:space="0" w:color="auto"/>
        <w:bottom w:val="none" w:sz="0" w:space="0" w:color="auto"/>
        <w:right w:val="none" w:sz="0" w:space="0" w:color="auto"/>
      </w:divBdr>
    </w:div>
    <w:div w:id="41102129">
      <w:bodyDiv w:val="1"/>
      <w:marLeft w:val="0"/>
      <w:marRight w:val="0"/>
      <w:marTop w:val="0"/>
      <w:marBottom w:val="0"/>
      <w:divBdr>
        <w:top w:val="none" w:sz="0" w:space="0" w:color="auto"/>
        <w:left w:val="none" w:sz="0" w:space="0" w:color="auto"/>
        <w:bottom w:val="none" w:sz="0" w:space="0" w:color="auto"/>
        <w:right w:val="none" w:sz="0" w:space="0" w:color="auto"/>
      </w:divBdr>
    </w:div>
    <w:div w:id="43146522">
      <w:bodyDiv w:val="1"/>
      <w:marLeft w:val="0"/>
      <w:marRight w:val="0"/>
      <w:marTop w:val="0"/>
      <w:marBottom w:val="0"/>
      <w:divBdr>
        <w:top w:val="none" w:sz="0" w:space="0" w:color="auto"/>
        <w:left w:val="none" w:sz="0" w:space="0" w:color="auto"/>
        <w:bottom w:val="none" w:sz="0" w:space="0" w:color="auto"/>
        <w:right w:val="none" w:sz="0" w:space="0" w:color="auto"/>
      </w:divBdr>
    </w:div>
    <w:div w:id="50464341">
      <w:bodyDiv w:val="1"/>
      <w:marLeft w:val="0"/>
      <w:marRight w:val="0"/>
      <w:marTop w:val="0"/>
      <w:marBottom w:val="0"/>
      <w:divBdr>
        <w:top w:val="none" w:sz="0" w:space="0" w:color="auto"/>
        <w:left w:val="none" w:sz="0" w:space="0" w:color="auto"/>
        <w:bottom w:val="none" w:sz="0" w:space="0" w:color="auto"/>
        <w:right w:val="none" w:sz="0" w:space="0" w:color="auto"/>
      </w:divBdr>
    </w:div>
    <w:div w:id="67727777">
      <w:bodyDiv w:val="1"/>
      <w:marLeft w:val="0"/>
      <w:marRight w:val="0"/>
      <w:marTop w:val="0"/>
      <w:marBottom w:val="0"/>
      <w:divBdr>
        <w:top w:val="none" w:sz="0" w:space="0" w:color="auto"/>
        <w:left w:val="none" w:sz="0" w:space="0" w:color="auto"/>
        <w:bottom w:val="none" w:sz="0" w:space="0" w:color="auto"/>
        <w:right w:val="none" w:sz="0" w:space="0" w:color="auto"/>
      </w:divBdr>
    </w:div>
    <w:div w:id="99372977">
      <w:bodyDiv w:val="1"/>
      <w:marLeft w:val="0"/>
      <w:marRight w:val="0"/>
      <w:marTop w:val="0"/>
      <w:marBottom w:val="0"/>
      <w:divBdr>
        <w:top w:val="none" w:sz="0" w:space="0" w:color="auto"/>
        <w:left w:val="none" w:sz="0" w:space="0" w:color="auto"/>
        <w:bottom w:val="none" w:sz="0" w:space="0" w:color="auto"/>
        <w:right w:val="none" w:sz="0" w:space="0" w:color="auto"/>
      </w:divBdr>
    </w:div>
    <w:div w:id="113527688">
      <w:bodyDiv w:val="1"/>
      <w:marLeft w:val="0"/>
      <w:marRight w:val="0"/>
      <w:marTop w:val="0"/>
      <w:marBottom w:val="0"/>
      <w:divBdr>
        <w:top w:val="none" w:sz="0" w:space="0" w:color="auto"/>
        <w:left w:val="none" w:sz="0" w:space="0" w:color="auto"/>
        <w:bottom w:val="none" w:sz="0" w:space="0" w:color="auto"/>
        <w:right w:val="none" w:sz="0" w:space="0" w:color="auto"/>
      </w:divBdr>
    </w:div>
    <w:div w:id="116728626">
      <w:bodyDiv w:val="1"/>
      <w:marLeft w:val="0"/>
      <w:marRight w:val="0"/>
      <w:marTop w:val="0"/>
      <w:marBottom w:val="0"/>
      <w:divBdr>
        <w:top w:val="none" w:sz="0" w:space="0" w:color="auto"/>
        <w:left w:val="none" w:sz="0" w:space="0" w:color="auto"/>
        <w:bottom w:val="none" w:sz="0" w:space="0" w:color="auto"/>
        <w:right w:val="none" w:sz="0" w:space="0" w:color="auto"/>
      </w:divBdr>
    </w:div>
    <w:div w:id="126700845">
      <w:bodyDiv w:val="1"/>
      <w:marLeft w:val="0"/>
      <w:marRight w:val="0"/>
      <w:marTop w:val="0"/>
      <w:marBottom w:val="0"/>
      <w:divBdr>
        <w:top w:val="none" w:sz="0" w:space="0" w:color="auto"/>
        <w:left w:val="none" w:sz="0" w:space="0" w:color="auto"/>
        <w:bottom w:val="none" w:sz="0" w:space="0" w:color="auto"/>
        <w:right w:val="none" w:sz="0" w:space="0" w:color="auto"/>
      </w:divBdr>
    </w:div>
    <w:div w:id="150144692">
      <w:bodyDiv w:val="1"/>
      <w:marLeft w:val="0"/>
      <w:marRight w:val="0"/>
      <w:marTop w:val="0"/>
      <w:marBottom w:val="0"/>
      <w:divBdr>
        <w:top w:val="none" w:sz="0" w:space="0" w:color="auto"/>
        <w:left w:val="none" w:sz="0" w:space="0" w:color="auto"/>
        <w:bottom w:val="none" w:sz="0" w:space="0" w:color="auto"/>
        <w:right w:val="none" w:sz="0" w:space="0" w:color="auto"/>
      </w:divBdr>
    </w:div>
    <w:div w:id="166987697">
      <w:bodyDiv w:val="1"/>
      <w:marLeft w:val="0"/>
      <w:marRight w:val="0"/>
      <w:marTop w:val="0"/>
      <w:marBottom w:val="0"/>
      <w:divBdr>
        <w:top w:val="none" w:sz="0" w:space="0" w:color="auto"/>
        <w:left w:val="none" w:sz="0" w:space="0" w:color="auto"/>
        <w:bottom w:val="none" w:sz="0" w:space="0" w:color="auto"/>
        <w:right w:val="none" w:sz="0" w:space="0" w:color="auto"/>
      </w:divBdr>
    </w:div>
    <w:div w:id="183133344">
      <w:bodyDiv w:val="1"/>
      <w:marLeft w:val="0"/>
      <w:marRight w:val="0"/>
      <w:marTop w:val="0"/>
      <w:marBottom w:val="0"/>
      <w:divBdr>
        <w:top w:val="none" w:sz="0" w:space="0" w:color="auto"/>
        <w:left w:val="none" w:sz="0" w:space="0" w:color="auto"/>
        <w:bottom w:val="none" w:sz="0" w:space="0" w:color="auto"/>
        <w:right w:val="none" w:sz="0" w:space="0" w:color="auto"/>
      </w:divBdr>
    </w:div>
    <w:div w:id="357122809">
      <w:bodyDiv w:val="1"/>
      <w:marLeft w:val="0"/>
      <w:marRight w:val="0"/>
      <w:marTop w:val="0"/>
      <w:marBottom w:val="0"/>
      <w:divBdr>
        <w:top w:val="none" w:sz="0" w:space="0" w:color="auto"/>
        <w:left w:val="none" w:sz="0" w:space="0" w:color="auto"/>
        <w:bottom w:val="none" w:sz="0" w:space="0" w:color="auto"/>
        <w:right w:val="none" w:sz="0" w:space="0" w:color="auto"/>
      </w:divBdr>
    </w:div>
    <w:div w:id="368339756">
      <w:bodyDiv w:val="1"/>
      <w:marLeft w:val="0"/>
      <w:marRight w:val="0"/>
      <w:marTop w:val="0"/>
      <w:marBottom w:val="0"/>
      <w:divBdr>
        <w:top w:val="none" w:sz="0" w:space="0" w:color="auto"/>
        <w:left w:val="none" w:sz="0" w:space="0" w:color="auto"/>
        <w:bottom w:val="none" w:sz="0" w:space="0" w:color="auto"/>
        <w:right w:val="none" w:sz="0" w:space="0" w:color="auto"/>
      </w:divBdr>
      <w:divsChild>
        <w:div w:id="599339658">
          <w:marLeft w:val="360"/>
          <w:marRight w:val="0"/>
          <w:marTop w:val="200"/>
          <w:marBottom w:val="0"/>
          <w:divBdr>
            <w:top w:val="none" w:sz="0" w:space="0" w:color="auto"/>
            <w:left w:val="none" w:sz="0" w:space="0" w:color="auto"/>
            <w:bottom w:val="none" w:sz="0" w:space="0" w:color="auto"/>
            <w:right w:val="none" w:sz="0" w:space="0" w:color="auto"/>
          </w:divBdr>
        </w:div>
        <w:div w:id="925771079">
          <w:marLeft w:val="360"/>
          <w:marRight w:val="0"/>
          <w:marTop w:val="200"/>
          <w:marBottom w:val="0"/>
          <w:divBdr>
            <w:top w:val="none" w:sz="0" w:space="0" w:color="auto"/>
            <w:left w:val="none" w:sz="0" w:space="0" w:color="auto"/>
            <w:bottom w:val="none" w:sz="0" w:space="0" w:color="auto"/>
            <w:right w:val="none" w:sz="0" w:space="0" w:color="auto"/>
          </w:divBdr>
        </w:div>
        <w:div w:id="1162700749">
          <w:marLeft w:val="360"/>
          <w:marRight w:val="0"/>
          <w:marTop w:val="200"/>
          <w:marBottom w:val="0"/>
          <w:divBdr>
            <w:top w:val="none" w:sz="0" w:space="0" w:color="auto"/>
            <w:left w:val="none" w:sz="0" w:space="0" w:color="auto"/>
            <w:bottom w:val="none" w:sz="0" w:space="0" w:color="auto"/>
            <w:right w:val="none" w:sz="0" w:space="0" w:color="auto"/>
          </w:divBdr>
        </w:div>
        <w:div w:id="1339430513">
          <w:marLeft w:val="360"/>
          <w:marRight w:val="0"/>
          <w:marTop w:val="200"/>
          <w:marBottom w:val="0"/>
          <w:divBdr>
            <w:top w:val="none" w:sz="0" w:space="0" w:color="auto"/>
            <w:left w:val="none" w:sz="0" w:space="0" w:color="auto"/>
            <w:bottom w:val="none" w:sz="0" w:space="0" w:color="auto"/>
            <w:right w:val="none" w:sz="0" w:space="0" w:color="auto"/>
          </w:divBdr>
        </w:div>
        <w:div w:id="1367635394">
          <w:marLeft w:val="360"/>
          <w:marRight w:val="0"/>
          <w:marTop w:val="200"/>
          <w:marBottom w:val="0"/>
          <w:divBdr>
            <w:top w:val="none" w:sz="0" w:space="0" w:color="auto"/>
            <w:left w:val="none" w:sz="0" w:space="0" w:color="auto"/>
            <w:bottom w:val="none" w:sz="0" w:space="0" w:color="auto"/>
            <w:right w:val="none" w:sz="0" w:space="0" w:color="auto"/>
          </w:divBdr>
        </w:div>
      </w:divsChild>
    </w:div>
    <w:div w:id="424889404">
      <w:bodyDiv w:val="1"/>
      <w:marLeft w:val="0"/>
      <w:marRight w:val="0"/>
      <w:marTop w:val="0"/>
      <w:marBottom w:val="0"/>
      <w:divBdr>
        <w:top w:val="none" w:sz="0" w:space="0" w:color="auto"/>
        <w:left w:val="none" w:sz="0" w:space="0" w:color="auto"/>
        <w:bottom w:val="none" w:sz="0" w:space="0" w:color="auto"/>
        <w:right w:val="none" w:sz="0" w:space="0" w:color="auto"/>
      </w:divBdr>
    </w:div>
    <w:div w:id="450248423">
      <w:bodyDiv w:val="1"/>
      <w:marLeft w:val="0"/>
      <w:marRight w:val="0"/>
      <w:marTop w:val="0"/>
      <w:marBottom w:val="0"/>
      <w:divBdr>
        <w:top w:val="none" w:sz="0" w:space="0" w:color="auto"/>
        <w:left w:val="none" w:sz="0" w:space="0" w:color="auto"/>
        <w:bottom w:val="none" w:sz="0" w:space="0" w:color="auto"/>
        <w:right w:val="none" w:sz="0" w:space="0" w:color="auto"/>
      </w:divBdr>
    </w:div>
    <w:div w:id="465047173">
      <w:bodyDiv w:val="1"/>
      <w:marLeft w:val="0"/>
      <w:marRight w:val="0"/>
      <w:marTop w:val="0"/>
      <w:marBottom w:val="0"/>
      <w:divBdr>
        <w:top w:val="none" w:sz="0" w:space="0" w:color="auto"/>
        <w:left w:val="none" w:sz="0" w:space="0" w:color="auto"/>
        <w:bottom w:val="none" w:sz="0" w:space="0" w:color="auto"/>
        <w:right w:val="none" w:sz="0" w:space="0" w:color="auto"/>
      </w:divBdr>
    </w:div>
    <w:div w:id="470368953">
      <w:bodyDiv w:val="1"/>
      <w:marLeft w:val="0"/>
      <w:marRight w:val="0"/>
      <w:marTop w:val="0"/>
      <w:marBottom w:val="0"/>
      <w:divBdr>
        <w:top w:val="none" w:sz="0" w:space="0" w:color="auto"/>
        <w:left w:val="none" w:sz="0" w:space="0" w:color="auto"/>
        <w:bottom w:val="none" w:sz="0" w:space="0" w:color="auto"/>
        <w:right w:val="none" w:sz="0" w:space="0" w:color="auto"/>
      </w:divBdr>
    </w:div>
    <w:div w:id="531381160">
      <w:bodyDiv w:val="1"/>
      <w:marLeft w:val="0"/>
      <w:marRight w:val="0"/>
      <w:marTop w:val="0"/>
      <w:marBottom w:val="0"/>
      <w:divBdr>
        <w:top w:val="none" w:sz="0" w:space="0" w:color="auto"/>
        <w:left w:val="none" w:sz="0" w:space="0" w:color="auto"/>
        <w:bottom w:val="none" w:sz="0" w:space="0" w:color="auto"/>
        <w:right w:val="none" w:sz="0" w:space="0" w:color="auto"/>
      </w:divBdr>
    </w:div>
    <w:div w:id="577784248">
      <w:bodyDiv w:val="1"/>
      <w:marLeft w:val="0"/>
      <w:marRight w:val="0"/>
      <w:marTop w:val="0"/>
      <w:marBottom w:val="0"/>
      <w:divBdr>
        <w:top w:val="none" w:sz="0" w:space="0" w:color="auto"/>
        <w:left w:val="none" w:sz="0" w:space="0" w:color="auto"/>
        <w:bottom w:val="none" w:sz="0" w:space="0" w:color="auto"/>
        <w:right w:val="none" w:sz="0" w:space="0" w:color="auto"/>
      </w:divBdr>
    </w:div>
    <w:div w:id="580482878">
      <w:bodyDiv w:val="1"/>
      <w:marLeft w:val="0"/>
      <w:marRight w:val="0"/>
      <w:marTop w:val="0"/>
      <w:marBottom w:val="0"/>
      <w:divBdr>
        <w:top w:val="none" w:sz="0" w:space="0" w:color="auto"/>
        <w:left w:val="none" w:sz="0" w:space="0" w:color="auto"/>
        <w:bottom w:val="none" w:sz="0" w:space="0" w:color="auto"/>
        <w:right w:val="none" w:sz="0" w:space="0" w:color="auto"/>
      </w:divBdr>
    </w:div>
    <w:div w:id="643699429">
      <w:bodyDiv w:val="1"/>
      <w:marLeft w:val="0"/>
      <w:marRight w:val="0"/>
      <w:marTop w:val="0"/>
      <w:marBottom w:val="0"/>
      <w:divBdr>
        <w:top w:val="none" w:sz="0" w:space="0" w:color="auto"/>
        <w:left w:val="none" w:sz="0" w:space="0" w:color="auto"/>
        <w:bottom w:val="none" w:sz="0" w:space="0" w:color="auto"/>
        <w:right w:val="none" w:sz="0" w:space="0" w:color="auto"/>
      </w:divBdr>
    </w:div>
    <w:div w:id="671757505">
      <w:bodyDiv w:val="1"/>
      <w:marLeft w:val="0"/>
      <w:marRight w:val="0"/>
      <w:marTop w:val="0"/>
      <w:marBottom w:val="0"/>
      <w:divBdr>
        <w:top w:val="none" w:sz="0" w:space="0" w:color="auto"/>
        <w:left w:val="none" w:sz="0" w:space="0" w:color="auto"/>
        <w:bottom w:val="none" w:sz="0" w:space="0" w:color="auto"/>
        <w:right w:val="none" w:sz="0" w:space="0" w:color="auto"/>
      </w:divBdr>
    </w:div>
    <w:div w:id="681975212">
      <w:bodyDiv w:val="1"/>
      <w:marLeft w:val="0"/>
      <w:marRight w:val="0"/>
      <w:marTop w:val="0"/>
      <w:marBottom w:val="0"/>
      <w:divBdr>
        <w:top w:val="none" w:sz="0" w:space="0" w:color="auto"/>
        <w:left w:val="none" w:sz="0" w:space="0" w:color="auto"/>
        <w:bottom w:val="none" w:sz="0" w:space="0" w:color="auto"/>
        <w:right w:val="none" w:sz="0" w:space="0" w:color="auto"/>
      </w:divBdr>
    </w:div>
    <w:div w:id="758867420">
      <w:bodyDiv w:val="1"/>
      <w:marLeft w:val="0"/>
      <w:marRight w:val="0"/>
      <w:marTop w:val="0"/>
      <w:marBottom w:val="0"/>
      <w:divBdr>
        <w:top w:val="none" w:sz="0" w:space="0" w:color="auto"/>
        <w:left w:val="none" w:sz="0" w:space="0" w:color="auto"/>
        <w:bottom w:val="none" w:sz="0" w:space="0" w:color="auto"/>
        <w:right w:val="none" w:sz="0" w:space="0" w:color="auto"/>
      </w:divBdr>
    </w:div>
    <w:div w:id="828443790">
      <w:bodyDiv w:val="1"/>
      <w:marLeft w:val="0"/>
      <w:marRight w:val="0"/>
      <w:marTop w:val="0"/>
      <w:marBottom w:val="0"/>
      <w:divBdr>
        <w:top w:val="none" w:sz="0" w:space="0" w:color="auto"/>
        <w:left w:val="none" w:sz="0" w:space="0" w:color="auto"/>
        <w:bottom w:val="none" w:sz="0" w:space="0" w:color="auto"/>
        <w:right w:val="none" w:sz="0" w:space="0" w:color="auto"/>
      </w:divBdr>
    </w:div>
    <w:div w:id="885147165">
      <w:bodyDiv w:val="1"/>
      <w:marLeft w:val="0"/>
      <w:marRight w:val="0"/>
      <w:marTop w:val="0"/>
      <w:marBottom w:val="0"/>
      <w:divBdr>
        <w:top w:val="none" w:sz="0" w:space="0" w:color="auto"/>
        <w:left w:val="none" w:sz="0" w:space="0" w:color="auto"/>
        <w:bottom w:val="none" w:sz="0" w:space="0" w:color="auto"/>
        <w:right w:val="none" w:sz="0" w:space="0" w:color="auto"/>
      </w:divBdr>
    </w:div>
    <w:div w:id="1056514266">
      <w:bodyDiv w:val="1"/>
      <w:marLeft w:val="0"/>
      <w:marRight w:val="0"/>
      <w:marTop w:val="0"/>
      <w:marBottom w:val="0"/>
      <w:divBdr>
        <w:top w:val="none" w:sz="0" w:space="0" w:color="auto"/>
        <w:left w:val="none" w:sz="0" w:space="0" w:color="auto"/>
        <w:bottom w:val="none" w:sz="0" w:space="0" w:color="auto"/>
        <w:right w:val="none" w:sz="0" w:space="0" w:color="auto"/>
      </w:divBdr>
    </w:div>
    <w:div w:id="1059475792">
      <w:bodyDiv w:val="1"/>
      <w:marLeft w:val="0"/>
      <w:marRight w:val="0"/>
      <w:marTop w:val="0"/>
      <w:marBottom w:val="0"/>
      <w:divBdr>
        <w:top w:val="none" w:sz="0" w:space="0" w:color="auto"/>
        <w:left w:val="none" w:sz="0" w:space="0" w:color="auto"/>
        <w:bottom w:val="none" w:sz="0" w:space="0" w:color="auto"/>
        <w:right w:val="none" w:sz="0" w:space="0" w:color="auto"/>
      </w:divBdr>
      <w:divsChild>
        <w:div w:id="312174623">
          <w:marLeft w:val="360"/>
          <w:marRight w:val="0"/>
          <w:marTop w:val="200"/>
          <w:marBottom w:val="0"/>
          <w:divBdr>
            <w:top w:val="none" w:sz="0" w:space="0" w:color="auto"/>
            <w:left w:val="none" w:sz="0" w:space="0" w:color="auto"/>
            <w:bottom w:val="none" w:sz="0" w:space="0" w:color="auto"/>
            <w:right w:val="none" w:sz="0" w:space="0" w:color="auto"/>
          </w:divBdr>
        </w:div>
        <w:div w:id="361252114">
          <w:marLeft w:val="360"/>
          <w:marRight w:val="0"/>
          <w:marTop w:val="200"/>
          <w:marBottom w:val="0"/>
          <w:divBdr>
            <w:top w:val="none" w:sz="0" w:space="0" w:color="auto"/>
            <w:left w:val="none" w:sz="0" w:space="0" w:color="auto"/>
            <w:bottom w:val="none" w:sz="0" w:space="0" w:color="auto"/>
            <w:right w:val="none" w:sz="0" w:space="0" w:color="auto"/>
          </w:divBdr>
        </w:div>
        <w:div w:id="515581099">
          <w:marLeft w:val="360"/>
          <w:marRight w:val="0"/>
          <w:marTop w:val="200"/>
          <w:marBottom w:val="0"/>
          <w:divBdr>
            <w:top w:val="none" w:sz="0" w:space="0" w:color="auto"/>
            <w:left w:val="none" w:sz="0" w:space="0" w:color="auto"/>
            <w:bottom w:val="none" w:sz="0" w:space="0" w:color="auto"/>
            <w:right w:val="none" w:sz="0" w:space="0" w:color="auto"/>
          </w:divBdr>
        </w:div>
        <w:div w:id="1027952664">
          <w:marLeft w:val="360"/>
          <w:marRight w:val="0"/>
          <w:marTop w:val="200"/>
          <w:marBottom w:val="0"/>
          <w:divBdr>
            <w:top w:val="none" w:sz="0" w:space="0" w:color="auto"/>
            <w:left w:val="none" w:sz="0" w:space="0" w:color="auto"/>
            <w:bottom w:val="none" w:sz="0" w:space="0" w:color="auto"/>
            <w:right w:val="none" w:sz="0" w:space="0" w:color="auto"/>
          </w:divBdr>
        </w:div>
        <w:div w:id="1648125216">
          <w:marLeft w:val="360"/>
          <w:marRight w:val="0"/>
          <w:marTop w:val="200"/>
          <w:marBottom w:val="0"/>
          <w:divBdr>
            <w:top w:val="none" w:sz="0" w:space="0" w:color="auto"/>
            <w:left w:val="none" w:sz="0" w:space="0" w:color="auto"/>
            <w:bottom w:val="none" w:sz="0" w:space="0" w:color="auto"/>
            <w:right w:val="none" w:sz="0" w:space="0" w:color="auto"/>
          </w:divBdr>
        </w:div>
      </w:divsChild>
    </w:div>
    <w:div w:id="1065029140">
      <w:bodyDiv w:val="1"/>
      <w:marLeft w:val="0"/>
      <w:marRight w:val="0"/>
      <w:marTop w:val="0"/>
      <w:marBottom w:val="0"/>
      <w:divBdr>
        <w:top w:val="none" w:sz="0" w:space="0" w:color="auto"/>
        <w:left w:val="none" w:sz="0" w:space="0" w:color="auto"/>
        <w:bottom w:val="none" w:sz="0" w:space="0" w:color="auto"/>
        <w:right w:val="none" w:sz="0" w:space="0" w:color="auto"/>
      </w:divBdr>
    </w:div>
    <w:div w:id="1069229031">
      <w:bodyDiv w:val="1"/>
      <w:marLeft w:val="0"/>
      <w:marRight w:val="0"/>
      <w:marTop w:val="0"/>
      <w:marBottom w:val="0"/>
      <w:divBdr>
        <w:top w:val="none" w:sz="0" w:space="0" w:color="auto"/>
        <w:left w:val="none" w:sz="0" w:space="0" w:color="auto"/>
        <w:bottom w:val="none" w:sz="0" w:space="0" w:color="auto"/>
        <w:right w:val="none" w:sz="0" w:space="0" w:color="auto"/>
      </w:divBdr>
    </w:div>
    <w:div w:id="1089694849">
      <w:bodyDiv w:val="1"/>
      <w:marLeft w:val="0"/>
      <w:marRight w:val="0"/>
      <w:marTop w:val="0"/>
      <w:marBottom w:val="0"/>
      <w:divBdr>
        <w:top w:val="none" w:sz="0" w:space="0" w:color="auto"/>
        <w:left w:val="none" w:sz="0" w:space="0" w:color="auto"/>
        <w:bottom w:val="none" w:sz="0" w:space="0" w:color="auto"/>
        <w:right w:val="none" w:sz="0" w:space="0" w:color="auto"/>
      </w:divBdr>
    </w:div>
    <w:div w:id="1184438715">
      <w:bodyDiv w:val="1"/>
      <w:marLeft w:val="0"/>
      <w:marRight w:val="0"/>
      <w:marTop w:val="0"/>
      <w:marBottom w:val="0"/>
      <w:divBdr>
        <w:top w:val="none" w:sz="0" w:space="0" w:color="auto"/>
        <w:left w:val="none" w:sz="0" w:space="0" w:color="auto"/>
        <w:bottom w:val="none" w:sz="0" w:space="0" w:color="auto"/>
        <w:right w:val="none" w:sz="0" w:space="0" w:color="auto"/>
      </w:divBdr>
      <w:divsChild>
        <w:div w:id="69886418">
          <w:marLeft w:val="0"/>
          <w:marRight w:val="0"/>
          <w:marTop w:val="0"/>
          <w:marBottom w:val="0"/>
          <w:divBdr>
            <w:top w:val="none" w:sz="0" w:space="0" w:color="auto"/>
            <w:left w:val="none" w:sz="0" w:space="0" w:color="auto"/>
            <w:bottom w:val="none" w:sz="0" w:space="0" w:color="auto"/>
            <w:right w:val="none" w:sz="0" w:space="0" w:color="auto"/>
          </w:divBdr>
        </w:div>
        <w:div w:id="673150926">
          <w:marLeft w:val="0"/>
          <w:marRight w:val="0"/>
          <w:marTop w:val="300"/>
          <w:marBottom w:val="0"/>
          <w:divBdr>
            <w:top w:val="none" w:sz="0" w:space="0" w:color="auto"/>
            <w:left w:val="none" w:sz="0" w:space="0" w:color="auto"/>
            <w:bottom w:val="none" w:sz="0" w:space="0" w:color="auto"/>
            <w:right w:val="none" w:sz="0" w:space="0" w:color="auto"/>
          </w:divBdr>
          <w:divsChild>
            <w:div w:id="1171793738">
              <w:marLeft w:val="0"/>
              <w:marRight w:val="300"/>
              <w:marTop w:val="0"/>
              <w:marBottom w:val="0"/>
              <w:divBdr>
                <w:top w:val="none" w:sz="0" w:space="0" w:color="auto"/>
                <w:left w:val="none" w:sz="0" w:space="0" w:color="auto"/>
                <w:bottom w:val="none" w:sz="0" w:space="0" w:color="auto"/>
                <w:right w:val="none" w:sz="0" w:space="0" w:color="auto"/>
              </w:divBdr>
            </w:div>
            <w:div w:id="1753892369">
              <w:marLeft w:val="0"/>
              <w:marRight w:val="0"/>
              <w:marTop w:val="0"/>
              <w:marBottom w:val="0"/>
              <w:divBdr>
                <w:top w:val="none" w:sz="0" w:space="0" w:color="auto"/>
                <w:left w:val="none" w:sz="0" w:space="0" w:color="auto"/>
                <w:bottom w:val="none" w:sz="0" w:space="0" w:color="auto"/>
                <w:right w:val="none" w:sz="0" w:space="0" w:color="auto"/>
              </w:divBdr>
              <w:divsChild>
                <w:div w:id="135190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764365">
      <w:bodyDiv w:val="1"/>
      <w:marLeft w:val="0"/>
      <w:marRight w:val="0"/>
      <w:marTop w:val="0"/>
      <w:marBottom w:val="0"/>
      <w:divBdr>
        <w:top w:val="none" w:sz="0" w:space="0" w:color="auto"/>
        <w:left w:val="none" w:sz="0" w:space="0" w:color="auto"/>
        <w:bottom w:val="none" w:sz="0" w:space="0" w:color="auto"/>
        <w:right w:val="none" w:sz="0" w:space="0" w:color="auto"/>
      </w:divBdr>
    </w:div>
    <w:div w:id="1351179646">
      <w:bodyDiv w:val="1"/>
      <w:marLeft w:val="0"/>
      <w:marRight w:val="0"/>
      <w:marTop w:val="0"/>
      <w:marBottom w:val="0"/>
      <w:divBdr>
        <w:top w:val="none" w:sz="0" w:space="0" w:color="auto"/>
        <w:left w:val="none" w:sz="0" w:space="0" w:color="auto"/>
        <w:bottom w:val="none" w:sz="0" w:space="0" w:color="auto"/>
        <w:right w:val="none" w:sz="0" w:space="0" w:color="auto"/>
      </w:divBdr>
    </w:div>
    <w:div w:id="1428188011">
      <w:bodyDiv w:val="1"/>
      <w:marLeft w:val="0"/>
      <w:marRight w:val="0"/>
      <w:marTop w:val="0"/>
      <w:marBottom w:val="0"/>
      <w:divBdr>
        <w:top w:val="none" w:sz="0" w:space="0" w:color="auto"/>
        <w:left w:val="none" w:sz="0" w:space="0" w:color="auto"/>
        <w:bottom w:val="none" w:sz="0" w:space="0" w:color="auto"/>
        <w:right w:val="none" w:sz="0" w:space="0" w:color="auto"/>
      </w:divBdr>
      <w:divsChild>
        <w:div w:id="1598783486">
          <w:marLeft w:val="0"/>
          <w:marRight w:val="0"/>
          <w:marTop w:val="0"/>
          <w:marBottom w:val="0"/>
          <w:divBdr>
            <w:top w:val="none" w:sz="0" w:space="0" w:color="auto"/>
            <w:left w:val="none" w:sz="0" w:space="0" w:color="auto"/>
            <w:bottom w:val="none" w:sz="0" w:space="0" w:color="auto"/>
            <w:right w:val="none" w:sz="0" w:space="0" w:color="auto"/>
          </w:divBdr>
        </w:div>
      </w:divsChild>
    </w:div>
    <w:div w:id="1431849806">
      <w:bodyDiv w:val="1"/>
      <w:marLeft w:val="0"/>
      <w:marRight w:val="0"/>
      <w:marTop w:val="0"/>
      <w:marBottom w:val="0"/>
      <w:divBdr>
        <w:top w:val="none" w:sz="0" w:space="0" w:color="auto"/>
        <w:left w:val="none" w:sz="0" w:space="0" w:color="auto"/>
        <w:bottom w:val="none" w:sz="0" w:space="0" w:color="auto"/>
        <w:right w:val="none" w:sz="0" w:space="0" w:color="auto"/>
      </w:divBdr>
    </w:div>
    <w:div w:id="1433238778">
      <w:bodyDiv w:val="1"/>
      <w:marLeft w:val="0"/>
      <w:marRight w:val="0"/>
      <w:marTop w:val="0"/>
      <w:marBottom w:val="0"/>
      <w:divBdr>
        <w:top w:val="none" w:sz="0" w:space="0" w:color="auto"/>
        <w:left w:val="none" w:sz="0" w:space="0" w:color="auto"/>
        <w:bottom w:val="none" w:sz="0" w:space="0" w:color="auto"/>
        <w:right w:val="none" w:sz="0" w:space="0" w:color="auto"/>
      </w:divBdr>
    </w:div>
    <w:div w:id="1445030780">
      <w:bodyDiv w:val="1"/>
      <w:marLeft w:val="0"/>
      <w:marRight w:val="0"/>
      <w:marTop w:val="0"/>
      <w:marBottom w:val="0"/>
      <w:divBdr>
        <w:top w:val="none" w:sz="0" w:space="0" w:color="auto"/>
        <w:left w:val="none" w:sz="0" w:space="0" w:color="auto"/>
        <w:bottom w:val="none" w:sz="0" w:space="0" w:color="auto"/>
        <w:right w:val="none" w:sz="0" w:space="0" w:color="auto"/>
      </w:divBdr>
    </w:div>
    <w:div w:id="1460951197">
      <w:bodyDiv w:val="1"/>
      <w:marLeft w:val="0"/>
      <w:marRight w:val="0"/>
      <w:marTop w:val="0"/>
      <w:marBottom w:val="0"/>
      <w:divBdr>
        <w:top w:val="none" w:sz="0" w:space="0" w:color="auto"/>
        <w:left w:val="none" w:sz="0" w:space="0" w:color="auto"/>
        <w:bottom w:val="none" w:sz="0" w:space="0" w:color="auto"/>
        <w:right w:val="none" w:sz="0" w:space="0" w:color="auto"/>
      </w:divBdr>
    </w:div>
    <w:div w:id="1478037475">
      <w:bodyDiv w:val="1"/>
      <w:marLeft w:val="0"/>
      <w:marRight w:val="0"/>
      <w:marTop w:val="0"/>
      <w:marBottom w:val="0"/>
      <w:divBdr>
        <w:top w:val="none" w:sz="0" w:space="0" w:color="auto"/>
        <w:left w:val="none" w:sz="0" w:space="0" w:color="auto"/>
        <w:bottom w:val="none" w:sz="0" w:space="0" w:color="auto"/>
        <w:right w:val="none" w:sz="0" w:space="0" w:color="auto"/>
      </w:divBdr>
    </w:div>
    <w:div w:id="1550608939">
      <w:bodyDiv w:val="1"/>
      <w:marLeft w:val="0"/>
      <w:marRight w:val="0"/>
      <w:marTop w:val="0"/>
      <w:marBottom w:val="0"/>
      <w:divBdr>
        <w:top w:val="none" w:sz="0" w:space="0" w:color="auto"/>
        <w:left w:val="none" w:sz="0" w:space="0" w:color="auto"/>
        <w:bottom w:val="none" w:sz="0" w:space="0" w:color="auto"/>
        <w:right w:val="none" w:sz="0" w:space="0" w:color="auto"/>
      </w:divBdr>
    </w:div>
    <w:div w:id="1611814368">
      <w:bodyDiv w:val="1"/>
      <w:marLeft w:val="0"/>
      <w:marRight w:val="0"/>
      <w:marTop w:val="0"/>
      <w:marBottom w:val="0"/>
      <w:divBdr>
        <w:top w:val="none" w:sz="0" w:space="0" w:color="auto"/>
        <w:left w:val="none" w:sz="0" w:space="0" w:color="auto"/>
        <w:bottom w:val="none" w:sz="0" w:space="0" w:color="auto"/>
        <w:right w:val="none" w:sz="0" w:space="0" w:color="auto"/>
      </w:divBdr>
      <w:divsChild>
        <w:div w:id="24067642">
          <w:marLeft w:val="1166"/>
          <w:marRight w:val="0"/>
          <w:marTop w:val="0"/>
          <w:marBottom w:val="0"/>
          <w:divBdr>
            <w:top w:val="none" w:sz="0" w:space="0" w:color="auto"/>
            <w:left w:val="none" w:sz="0" w:space="0" w:color="auto"/>
            <w:bottom w:val="none" w:sz="0" w:space="0" w:color="auto"/>
            <w:right w:val="none" w:sz="0" w:space="0" w:color="auto"/>
          </w:divBdr>
        </w:div>
      </w:divsChild>
    </w:div>
    <w:div w:id="1617372443">
      <w:bodyDiv w:val="1"/>
      <w:marLeft w:val="0"/>
      <w:marRight w:val="0"/>
      <w:marTop w:val="0"/>
      <w:marBottom w:val="0"/>
      <w:divBdr>
        <w:top w:val="none" w:sz="0" w:space="0" w:color="auto"/>
        <w:left w:val="none" w:sz="0" w:space="0" w:color="auto"/>
        <w:bottom w:val="none" w:sz="0" w:space="0" w:color="auto"/>
        <w:right w:val="none" w:sz="0" w:space="0" w:color="auto"/>
      </w:divBdr>
    </w:div>
    <w:div w:id="1630011550">
      <w:bodyDiv w:val="1"/>
      <w:marLeft w:val="0"/>
      <w:marRight w:val="0"/>
      <w:marTop w:val="0"/>
      <w:marBottom w:val="0"/>
      <w:divBdr>
        <w:top w:val="none" w:sz="0" w:space="0" w:color="auto"/>
        <w:left w:val="none" w:sz="0" w:space="0" w:color="auto"/>
        <w:bottom w:val="none" w:sz="0" w:space="0" w:color="auto"/>
        <w:right w:val="none" w:sz="0" w:space="0" w:color="auto"/>
      </w:divBdr>
    </w:div>
    <w:div w:id="1643925835">
      <w:bodyDiv w:val="1"/>
      <w:marLeft w:val="0"/>
      <w:marRight w:val="0"/>
      <w:marTop w:val="0"/>
      <w:marBottom w:val="0"/>
      <w:divBdr>
        <w:top w:val="none" w:sz="0" w:space="0" w:color="auto"/>
        <w:left w:val="none" w:sz="0" w:space="0" w:color="auto"/>
        <w:bottom w:val="none" w:sz="0" w:space="0" w:color="auto"/>
        <w:right w:val="none" w:sz="0" w:space="0" w:color="auto"/>
      </w:divBdr>
    </w:div>
    <w:div w:id="1688677453">
      <w:bodyDiv w:val="1"/>
      <w:marLeft w:val="0"/>
      <w:marRight w:val="0"/>
      <w:marTop w:val="0"/>
      <w:marBottom w:val="0"/>
      <w:divBdr>
        <w:top w:val="none" w:sz="0" w:space="0" w:color="auto"/>
        <w:left w:val="none" w:sz="0" w:space="0" w:color="auto"/>
        <w:bottom w:val="none" w:sz="0" w:space="0" w:color="auto"/>
        <w:right w:val="none" w:sz="0" w:space="0" w:color="auto"/>
      </w:divBdr>
    </w:div>
    <w:div w:id="1700931999">
      <w:bodyDiv w:val="1"/>
      <w:marLeft w:val="0"/>
      <w:marRight w:val="0"/>
      <w:marTop w:val="0"/>
      <w:marBottom w:val="0"/>
      <w:divBdr>
        <w:top w:val="none" w:sz="0" w:space="0" w:color="auto"/>
        <w:left w:val="none" w:sz="0" w:space="0" w:color="auto"/>
        <w:bottom w:val="none" w:sz="0" w:space="0" w:color="auto"/>
        <w:right w:val="none" w:sz="0" w:space="0" w:color="auto"/>
      </w:divBdr>
    </w:div>
    <w:div w:id="1733918571">
      <w:bodyDiv w:val="1"/>
      <w:marLeft w:val="0"/>
      <w:marRight w:val="0"/>
      <w:marTop w:val="0"/>
      <w:marBottom w:val="0"/>
      <w:divBdr>
        <w:top w:val="none" w:sz="0" w:space="0" w:color="auto"/>
        <w:left w:val="none" w:sz="0" w:space="0" w:color="auto"/>
        <w:bottom w:val="none" w:sz="0" w:space="0" w:color="auto"/>
        <w:right w:val="none" w:sz="0" w:space="0" w:color="auto"/>
      </w:divBdr>
    </w:div>
    <w:div w:id="1769153548">
      <w:bodyDiv w:val="1"/>
      <w:marLeft w:val="0"/>
      <w:marRight w:val="0"/>
      <w:marTop w:val="0"/>
      <w:marBottom w:val="0"/>
      <w:divBdr>
        <w:top w:val="none" w:sz="0" w:space="0" w:color="auto"/>
        <w:left w:val="none" w:sz="0" w:space="0" w:color="auto"/>
        <w:bottom w:val="none" w:sz="0" w:space="0" w:color="auto"/>
        <w:right w:val="none" w:sz="0" w:space="0" w:color="auto"/>
      </w:divBdr>
    </w:div>
    <w:div w:id="1829325535">
      <w:bodyDiv w:val="1"/>
      <w:marLeft w:val="0"/>
      <w:marRight w:val="0"/>
      <w:marTop w:val="0"/>
      <w:marBottom w:val="0"/>
      <w:divBdr>
        <w:top w:val="none" w:sz="0" w:space="0" w:color="auto"/>
        <w:left w:val="none" w:sz="0" w:space="0" w:color="auto"/>
        <w:bottom w:val="none" w:sz="0" w:space="0" w:color="auto"/>
        <w:right w:val="none" w:sz="0" w:space="0" w:color="auto"/>
      </w:divBdr>
      <w:divsChild>
        <w:div w:id="835806431">
          <w:marLeft w:val="360"/>
          <w:marRight w:val="0"/>
          <w:marTop w:val="200"/>
          <w:marBottom w:val="0"/>
          <w:divBdr>
            <w:top w:val="none" w:sz="0" w:space="0" w:color="auto"/>
            <w:left w:val="none" w:sz="0" w:space="0" w:color="auto"/>
            <w:bottom w:val="none" w:sz="0" w:space="0" w:color="auto"/>
            <w:right w:val="none" w:sz="0" w:space="0" w:color="auto"/>
          </w:divBdr>
        </w:div>
      </w:divsChild>
    </w:div>
    <w:div w:id="1863591310">
      <w:bodyDiv w:val="1"/>
      <w:marLeft w:val="0"/>
      <w:marRight w:val="0"/>
      <w:marTop w:val="0"/>
      <w:marBottom w:val="0"/>
      <w:divBdr>
        <w:top w:val="none" w:sz="0" w:space="0" w:color="auto"/>
        <w:left w:val="none" w:sz="0" w:space="0" w:color="auto"/>
        <w:bottom w:val="none" w:sz="0" w:space="0" w:color="auto"/>
        <w:right w:val="none" w:sz="0" w:space="0" w:color="auto"/>
      </w:divBdr>
    </w:div>
    <w:div w:id="1921258078">
      <w:bodyDiv w:val="1"/>
      <w:marLeft w:val="0"/>
      <w:marRight w:val="0"/>
      <w:marTop w:val="0"/>
      <w:marBottom w:val="0"/>
      <w:divBdr>
        <w:top w:val="none" w:sz="0" w:space="0" w:color="auto"/>
        <w:left w:val="none" w:sz="0" w:space="0" w:color="auto"/>
        <w:bottom w:val="none" w:sz="0" w:space="0" w:color="auto"/>
        <w:right w:val="none" w:sz="0" w:space="0" w:color="auto"/>
      </w:divBdr>
    </w:div>
    <w:div w:id="1942058090">
      <w:bodyDiv w:val="1"/>
      <w:marLeft w:val="0"/>
      <w:marRight w:val="0"/>
      <w:marTop w:val="0"/>
      <w:marBottom w:val="0"/>
      <w:divBdr>
        <w:top w:val="none" w:sz="0" w:space="0" w:color="auto"/>
        <w:left w:val="none" w:sz="0" w:space="0" w:color="auto"/>
        <w:bottom w:val="none" w:sz="0" w:space="0" w:color="auto"/>
        <w:right w:val="none" w:sz="0" w:space="0" w:color="auto"/>
      </w:divBdr>
      <w:divsChild>
        <w:div w:id="110321166">
          <w:marLeft w:val="360"/>
          <w:marRight w:val="0"/>
          <w:marTop w:val="200"/>
          <w:marBottom w:val="0"/>
          <w:divBdr>
            <w:top w:val="none" w:sz="0" w:space="0" w:color="auto"/>
            <w:left w:val="none" w:sz="0" w:space="0" w:color="auto"/>
            <w:bottom w:val="none" w:sz="0" w:space="0" w:color="auto"/>
            <w:right w:val="none" w:sz="0" w:space="0" w:color="auto"/>
          </w:divBdr>
        </w:div>
        <w:div w:id="253829539">
          <w:marLeft w:val="360"/>
          <w:marRight w:val="0"/>
          <w:marTop w:val="200"/>
          <w:marBottom w:val="0"/>
          <w:divBdr>
            <w:top w:val="none" w:sz="0" w:space="0" w:color="auto"/>
            <w:left w:val="none" w:sz="0" w:space="0" w:color="auto"/>
            <w:bottom w:val="none" w:sz="0" w:space="0" w:color="auto"/>
            <w:right w:val="none" w:sz="0" w:space="0" w:color="auto"/>
          </w:divBdr>
        </w:div>
        <w:div w:id="385111194">
          <w:marLeft w:val="360"/>
          <w:marRight w:val="0"/>
          <w:marTop w:val="200"/>
          <w:marBottom w:val="0"/>
          <w:divBdr>
            <w:top w:val="none" w:sz="0" w:space="0" w:color="auto"/>
            <w:left w:val="none" w:sz="0" w:space="0" w:color="auto"/>
            <w:bottom w:val="none" w:sz="0" w:space="0" w:color="auto"/>
            <w:right w:val="none" w:sz="0" w:space="0" w:color="auto"/>
          </w:divBdr>
        </w:div>
        <w:div w:id="945229327">
          <w:marLeft w:val="360"/>
          <w:marRight w:val="0"/>
          <w:marTop w:val="200"/>
          <w:marBottom w:val="0"/>
          <w:divBdr>
            <w:top w:val="none" w:sz="0" w:space="0" w:color="auto"/>
            <w:left w:val="none" w:sz="0" w:space="0" w:color="auto"/>
            <w:bottom w:val="none" w:sz="0" w:space="0" w:color="auto"/>
            <w:right w:val="none" w:sz="0" w:space="0" w:color="auto"/>
          </w:divBdr>
        </w:div>
        <w:div w:id="1339692126">
          <w:marLeft w:val="360"/>
          <w:marRight w:val="0"/>
          <w:marTop w:val="200"/>
          <w:marBottom w:val="0"/>
          <w:divBdr>
            <w:top w:val="none" w:sz="0" w:space="0" w:color="auto"/>
            <w:left w:val="none" w:sz="0" w:space="0" w:color="auto"/>
            <w:bottom w:val="none" w:sz="0" w:space="0" w:color="auto"/>
            <w:right w:val="none" w:sz="0" w:space="0" w:color="auto"/>
          </w:divBdr>
        </w:div>
        <w:div w:id="1916352745">
          <w:marLeft w:val="360"/>
          <w:marRight w:val="0"/>
          <w:marTop w:val="200"/>
          <w:marBottom w:val="0"/>
          <w:divBdr>
            <w:top w:val="none" w:sz="0" w:space="0" w:color="auto"/>
            <w:left w:val="none" w:sz="0" w:space="0" w:color="auto"/>
            <w:bottom w:val="none" w:sz="0" w:space="0" w:color="auto"/>
            <w:right w:val="none" w:sz="0" w:space="0" w:color="auto"/>
          </w:divBdr>
        </w:div>
      </w:divsChild>
    </w:div>
    <w:div w:id="1951354594">
      <w:bodyDiv w:val="1"/>
      <w:marLeft w:val="0"/>
      <w:marRight w:val="0"/>
      <w:marTop w:val="0"/>
      <w:marBottom w:val="0"/>
      <w:divBdr>
        <w:top w:val="none" w:sz="0" w:space="0" w:color="auto"/>
        <w:left w:val="none" w:sz="0" w:space="0" w:color="auto"/>
        <w:bottom w:val="none" w:sz="0" w:space="0" w:color="auto"/>
        <w:right w:val="none" w:sz="0" w:space="0" w:color="auto"/>
      </w:divBdr>
    </w:div>
    <w:div w:id="1970209249">
      <w:bodyDiv w:val="1"/>
      <w:marLeft w:val="0"/>
      <w:marRight w:val="0"/>
      <w:marTop w:val="0"/>
      <w:marBottom w:val="0"/>
      <w:divBdr>
        <w:top w:val="none" w:sz="0" w:space="0" w:color="auto"/>
        <w:left w:val="none" w:sz="0" w:space="0" w:color="auto"/>
        <w:bottom w:val="none" w:sz="0" w:space="0" w:color="auto"/>
        <w:right w:val="none" w:sz="0" w:space="0" w:color="auto"/>
      </w:divBdr>
    </w:div>
    <w:div w:id="1998143536">
      <w:bodyDiv w:val="1"/>
      <w:marLeft w:val="0"/>
      <w:marRight w:val="0"/>
      <w:marTop w:val="0"/>
      <w:marBottom w:val="0"/>
      <w:divBdr>
        <w:top w:val="none" w:sz="0" w:space="0" w:color="auto"/>
        <w:left w:val="none" w:sz="0" w:space="0" w:color="auto"/>
        <w:bottom w:val="none" w:sz="0" w:space="0" w:color="auto"/>
        <w:right w:val="none" w:sz="0" w:space="0" w:color="auto"/>
      </w:divBdr>
    </w:div>
    <w:div w:id="2021270470">
      <w:bodyDiv w:val="1"/>
      <w:marLeft w:val="0"/>
      <w:marRight w:val="0"/>
      <w:marTop w:val="0"/>
      <w:marBottom w:val="0"/>
      <w:divBdr>
        <w:top w:val="none" w:sz="0" w:space="0" w:color="auto"/>
        <w:left w:val="none" w:sz="0" w:space="0" w:color="auto"/>
        <w:bottom w:val="none" w:sz="0" w:space="0" w:color="auto"/>
        <w:right w:val="none" w:sz="0" w:space="0" w:color="auto"/>
      </w:divBdr>
    </w:div>
    <w:div w:id="2060931718">
      <w:bodyDiv w:val="1"/>
      <w:marLeft w:val="0"/>
      <w:marRight w:val="0"/>
      <w:marTop w:val="0"/>
      <w:marBottom w:val="0"/>
      <w:divBdr>
        <w:top w:val="none" w:sz="0" w:space="0" w:color="auto"/>
        <w:left w:val="none" w:sz="0" w:space="0" w:color="auto"/>
        <w:bottom w:val="none" w:sz="0" w:space="0" w:color="auto"/>
        <w:right w:val="none" w:sz="0" w:space="0" w:color="auto"/>
      </w:divBdr>
      <w:divsChild>
        <w:div w:id="178855237">
          <w:marLeft w:val="360"/>
          <w:marRight w:val="0"/>
          <w:marTop w:val="200"/>
          <w:marBottom w:val="0"/>
          <w:divBdr>
            <w:top w:val="none" w:sz="0" w:space="0" w:color="auto"/>
            <w:left w:val="none" w:sz="0" w:space="0" w:color="auto"/>
            <w:bottom w:val="none" w:sz="0" w:space="0" w:color="auto"/>
            <w:right w:val="none" w:sz="0" w:space="0" w:color="auto"/>
          </w:divBdr>
        </w:div>
        <w:div w:id="275914645">
          <w:marLeft w:val="360"/>
          <w:marRight w:val="0"/>
          <w:marTop w:val="200"/>
          <w:marBottom w:val="0"/>
          <w:divBdr>
            <w:top w:val="none" w:sz="0" w:space="0" w:color="auto"/>
            <w:left w:val="none" w:sz="0" w:space="0" w:color="auto"/>
            <w:bottom w:val="none" w:sz="0" w:space="0" w:color="auto"/>
            <w:right w:val="none" w:sz="0" w:space="0" w:color="auto"/>
          </w:divBdr>
        </w:div>
        <w:div w:id="359167224">
          <w:marLeft w:val="360"/>
          <w:marRight w:val="0"/>
          <w:marTop w:val="200"/>
          <w:marBottom w:val="0"/>
          <w:divBdr>
            <w:top w:val="none" w:sz="0" w:space="0" w:color="auto"/>
            <w:left w:val="none" w:sz="0" w:space="0" w:color="auto"/>
            <w:bottom w:val="none" w:sz="0" w:space="0" w:color="auto"/>
            <w:right w:val="none" w:sz="0" w:space="0" w:color="auto"/>
          </w:divBdr>
        </w:div>
        <w:div w:id="1107768847">
          <w:marLeft w:val="360"/>
          <w:marRight w:val="0"/>
          <w:marTop w:val="200"/>
          <w:marBottom w:val="0"/>
          <w:divBdr>
            <w:top w:val="none" w:sz="0" w:space="0" w:color="auto"/>
            <w:left w:val="none" w:sz="0" w:space="0" w:color="auto"/>
            <w:bottom w:val="none" w:sz="0" w:space="0" w:color="auto"/>
            <w:right w:val="none" w:sz="0" w:space="0" w:color="auto"/>
          </w:divBdr>
        </w:div>
        <w:div w:id="1130900523">
          <w:marLeft w:val="360"/>
          <w:marRight w:val="0"/>
          <w:marTop w:val="200"/>
          <w:marBottom w:val="0"/>
          <w:divBdr>
            <w:top w:val="none" w:sz="0" w:space="0" w:color="auto"/>
            <w:left w:val="none" w:sz="0" w:space="0" w:color="auto"/>
            <w:bottom w:val="none" w:sz="0" w:space="0" w:color="auto"/>
            <w:right w:val="none" w:sz="0" w:space="0" w:color="auto"/>
          </w:divBdr>
        </w:div>
        <w:div w:id="1692799972">
          <w:marLeft w:val="360"/>
          <w:marRight w:val="0"/>
          <w:marTop w:val="200"/>
          <w:marBottom w:val="0"/>
          <w:divBdr>
            <w:top w:val="none" w:sz="0" w:space="0" w:color="auto"/>
            <w:left w:val="none" w:sz="0" w:space="0" w:color="auto"/>
            <w:bottom w:val="none" w:sz="0" w:space="0" w:color="auto"/>
            <w:right w:val="none" w:sz="0" w:space="0" w:color="auto"/>
          </w:divBdr>
        </w:div>
        <w:div w:id="1809283096">
          <w:marLeft w:val="360"/>
          <w:marRight w:val="0"/>
          <w:marTop w:val="200"/>
          <w:marBottom w:val="0"/>
          <w:divBdr>
            <w:top w:val="none" w:sz="0" w:space="0" w:color="auto"/>
            <w:left w:val="none" w:sz="0" w:space="0" w:color="auto"/>
            <w:bottom w:val="none" w:sz="0" w:space="0" w:color="auto"/>
            <w:right w:val="none" w:sz="0" w:space="0" w:color="auto"/>
          </w:divBdr>
        </w:div>
        <w:div w:id="2052798028">
          <w:marLeft w:val="360"/>
          <w:marRight w:val="0"/>
          <w:marTop w:val="200"/>
          <w:marBottom w:val="0"/>
          <w:divBdr>
            <w:top w:val="none" w:sz="0" w:space="0" w:color="auto"/>
            <w:left w:val="none" w:sz="0" w:space="0" w:color="auto"/>
            <w:bottom w:val="none" w:sz="0" w:space="0" w:color="auto"/>
            <w:right w:val="none" w:sz="0" w:space="0" w:color="auto"/>
          </w:divBdr>
        </w:div>
      </w:divsChild>
    </w:div>
    <w:div w:id="2085495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http://www.statistics.gov.l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7.emf"/><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4.emf"/><Relationship Id="rId23" Type="http://schemas.openxmlformats.org/officeDocument/2006/relationships/image" Target="media/image8.emf"/><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isheriesdept.gov.lk/" TargetMode="External"/><Relationship Id="rId22" Type="http://schemas.openxmlformats.org/officeDocument/2006/relationships/package" Target="embeddings/Microsoft_Excel_Worksheet.xlsx"/></Relationships>
</file>

<file path=word/_rels/footnotes.xml.rels><?xml version="1.0" encoding="UTF-8" standalone="yes"?>
<Relationships xmlns="http://schemas.openxmlformats.org/package/2006/relationships"><Relationship Id="rId8" Type="http://schemas.openxmlformats.org/officeDocument/2006/relationships/hyperlink" Target="http://www.fao.org/in-action/micca/resources/tools/en/" TargetMode="External"/><Relationship Id="rId3" Type="http://schemas.openxmlformats.org/officeDocument/2006/relationships/hyperlink" Target="http://www.fao.org/3/a-i4260e.pdf" TargetMode="External"/><Relationship Id="rId7" Type="http://schemas.openxmlformats.org/officeDocument/2006/relationships/hyperlink" Target="https://www.thegef.org/sites/default/files/council-meeting-documents/C.30.9_Roles_and_Comparative_Advantages_of_the_GEF_Agencies_4.pdf" TargetMode="External"/><Relationship Id="rId2" Type="http://schemas.openxmlformats.org/officeDocument/2006/relationships/hyperlink" Target="https://www4.unfccc.int/sites/NAPC/Documents%20NAP/National%20Reports/National%20Adaptation%20Plan%20of%20Sri%20Lanka.pdf" TargetMode="External"/><Relationship Id="rId1" Type="http://schemas.openxmlformats.org/officeDocument/2006/relationships/hyperlink" Target="https://www.ipcc-nggip.iges.or.jp/public/2006gl/pdf/4_Volume4/V4_01_Ch1_Introduction.pdf" TargetMode="External"/><Relationship Id="rId6" Type="http://schemas.openxmlformats.org/officeDocument/2006/relationships/hyperlink" Target="http://www.fao.org/docrep/016/ap105e/ap105e.pdf" TargetMode="External"/><Relationship Id="rId11" Type="http://schemas.openxmlformats.org/officeDocument/2006/relationships/hyperlink" Target="http://www.fao.org/capacity-development/en/" TargetMode="External"/><Relationship Id="rId5" Type="http://schemas.openxmlformats.org/officeDocument/2006/relationships/hyperlink" Target="http://www.fao.org/3/a-i8145e.pdf" TargetMode="External"/><Relationship Id="rId10" Type="http://schemas.openxmlformats.org/officeDocument/2006/relationships/hyperlink" Target="http://www.fao.org/tc/exact/ex-act-home/en/" TargetMode="External"/><Relationship Id="rId4" Type="http://schemas.openxmlformats.org/officeDocument/2006/relationships/hyperlink" Target="http://www.fao.org/in-action/micca/resources/tools/en/" TargetMode="External"/><Relationship Id="rId9" Type="http://schemas.openxmlformats.org/officeDocument/2006/relationships/hyperlink" Target="http://www.fao.org/3/a-i4260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10040</GEFID>
    <ProjectType xmlns="ceb00776-aa5c-4fc8-b6fe-5f035152e4b6">MSP</ProjectType>
    <GEFProjectID xmlns="ceb00776-aa5c-4fc8-b6fe-5f035152e4b6">5fed5976-df7c-e811-8124-3863bb2e1360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Enhancing and Bridging Knowledge Gaps in Sri Lanka's NDC Implementation of AFOLU Sector for Enhanced Transparency Framework (ETF) </ProjectTitle>
    <TrustFundType xmlns="ceb00776-aa5c-4fc8-b6fe-5f035152e4b6">CBIT</TrustFundType>
    <TaxCatchAll xmlns="3e02667f-0271-471b-bd6e-11a2e16def1d" xsi:nil="true"/>
    <DocumentTitle xmlns="ceb00776-aa5c-4fc8-b6fe-5f035152e4b6">Prodoc</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9883FC-56AC-4480-A977-AB7423753850}"/>
</file>

<file path=customXml/itemProps2.xml><?xml version="1.0" encoding="utf-8"?>
<ds:datastoreItem xmlns:ds="http://schemas.openxmlformats.org/officeDocument/2006/customXml" ds:itemID="{F16FB932-D7E5-4F1B-BB8C-088A4CEDCB0B}">
  <ds:schemaRefs>
    <ds:schemaRef ds:uri="http://schemas.microsoft.com/sharepoint/v3/contenttype/forms"/>
  </ds:schemaRefs>
</ds:datastoreItem>
</file>

<file path=customXml/itemProps3.xml><?xml version="1.0" encoding="utf-8"?>
<ds:datastoreItem xmlns:ds="http://schemas.openxmlformats.org/officeDocument/2006/customXml" ds:itemID="{47F90F28-134A-4F2F-85DE-5DA406239C0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25330B6-B4A8-4048-B584-8E7EB483E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107</Pages>
  <Words>43711</Words>
  <Characters>249154</Characters>
  <Application>Microsoft Office Word</Application>
  <DocSecurity>0</DocSecurity>
  <Lines>2076</Lines>
  <Paragraphs>584</Paragraphs>
  <ScaleCrop>false</ScaleCrop>
  <HeadingPairs>
    <vt:vector size="2" baseType="variant">
      <vt:variant>
        <vt:lpstr>Title</vt:lpstr>
      </vt:variant>
      <vt:variant>
        <vt:i4>1</vt:i4>
      </vt:variant>
    </vt:vector>
  </HeadingPairs>
  <TitlesOfParts>
    <vt:vector size="1" baseType="lpstr">
      <vt:lpstr/>
    </vt:vector>
  </TitlesOfParts>
  <Company>IFAD</Company>
  <LinksUpToDate>false</LinksUpToDate>
  <CharactersWithSpaces>292281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Kumar, Raushan (FAOLK)</dc:creator>
  <cp:keywords/>
  <dc:description/>
  <cp:lastModifiedBy>Naito, Yurie (TCI)</cp:lastModifiedBy>
  <cp:revision>20</cp:revision>
  <cp:lastPrinted>2018-06-06T07:25:00Z</cp:lastPrinted>
  <dcterms:created xsi:type="dcterms:W3CDTF">2019-05-20T07:40:00Z</dcterms:created>
  <dcterms:modified xsi:type="dcterms:W3CDTF">2019-05-22T14:14:00Z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